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69005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351790</wp:posOffset>
            </wp:positionV>
            <wp:extent cx="69005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QUARTERLY REPORT PURSUANT TO SECTION 13 OR 15(d)</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1-1927</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THE GOODYEAR TIRE &amp; RUBBER COMPANY</w:t>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9" w:lineRule="exact"/>
        <w:rPr>
          <w:sz w:val="24"/>
          <w:szCs w:val="24"/>
          <w:color w:val="auto"/>
        </w:rPr>
      </w:pPr>
    </w:p>
    <w:tbl>
      <w:tblPr>
        <w:tblLayout w:type="fixed"/>
        <w:tblInd w:w="1240" w:type="dxa"/>
        <w:tblCellMar>
          <w:top w:w="0" w:type="dxa"/>
          <w:left w:w="0" w:type="dxa"/>
          <w:bottom w:w="0" w:type="dxa"/>
          <w:right w:w="0" w:type="dxa"/>
        </w:tblCellMar>
      </w:tblPr>
      <w:tr>
        <w:trPr>
          <w:trHeight w:val="238"/>
        </w:trPr>
        <w:tc>
          <w:tcPr>
            <w:tcW w:w="338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Ohio</w:t>
            </w:r>
          </w:p>
        </w:tc>
        <w:tc>
          <w:tcPr>
            <w:tcW w:w="4220" w:type="dxa"/>
            <w:vAlign w:val="bottom"/>
          </w:tcPr>
          <w:p>
            <w:pPr>
              <w:jc w:val="center"/>
              <w:ind w:left="2810"/>
              <w:spacing w:after="0"/>
              <w:rPr>
                <w:sz w:val="20"/>
                <w:szCs w:val="20"/>
                <w:color w:val="auto"/>
              </w:rPr>
            </w:pPr>
            <w:r>
              <w:rPr>
                <w:rFonts w:ascii="Times New Roman" w:cs="Times New Roman" w:eastAsia="Times New Roman" w:hAnsi="Times New Roman"/>
                <w:sz w:val="18"/>
                <w:szCs w:val="18"/>
                <w:b w:val="1"/>
                <w:bCs w:val="1"/>
                <w:color w:val="auto"/>
              </w:rPr>
              <w:t>34-0253240</w:t>
            </w:r>
          </w:p>
        </w:tc>
      </w:tr>
      <w:tr>
        <w:trPr>
          <w:trHeight w:val="252"/>
        </w:trPr>
        <w:tc>
          <w:tcPr>
            <w:tcW w:w="33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4220" w:type="dxa"/>
            <w:vAlign w:val="bottom"/>
          </w:tcPr>
          <w:p>
            <w:pPr>
              <w:jc w:val="center"/>
              <w:ind w:left="281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3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4220" w:type="dxa"/>
            <w:vAlign w:val="bottom"/>
          </w:tcPr>
          <w:p>
            <w:pPr>
              <w:jc w:val="center"/>
              <w:ind w:left="27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78"/>
        </w:trPr>
        <w:tc>
          <w:tcPr>
            <w:tcW w:w="338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200 Innovation Way, Akron, Ohio</w:t>
            </w:r>
          </w:p>
        </w:tc>
        <w:tc>
          <w:tcPr>
            <w:tcW w:w="4220" w:type="dxa"/>
            <w:vAlign w:val="bottom"/>
          </w:tcPr>
          <w:p>
            <w:pPr>
              <w:jc w:val="center"/>
              <w:ind w:left="2810"/>
              <w:spacing w:after="0"/>
              <w:rPr>
                <w:sz w:val="20"/>
                <w:szCs w:val="20"/>
                <w:color w:val="auto"/>
              </w:rPr>
            </w:pPr>
            <w:r>
              <w:rPr>
                <w:rFonts w:ascii="Times New Roman" w:cs="Times New Roman" w:eastAsia="Times New Roman" w:hAnsi="Times New Roman"/>
                <w:sz w:val="18"/>
                <w:szCs w:val="18"/>
                <w:b w:val="1"/>
                <w:bCs w:val="1"/>
                <w:color w:val="auto"/>
              </w:rPr>
              <w:t>44316-0001</w:t>
            </w:r>
          </w:p>
        </w:tc>
      </w:tr>
      <w:tr>
        <w:trPr>
          <w:trHeight w:val="270"/>
        </w:trPr>
        <w:tc>
          <w:tcPr>
            <w:tcW w:w="338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4220" w:type="dxa"/>
            <w:vAlign w:val="bottom"/>
          </w:tcPr>
          <w:p>
            <w:pPr>
              <w:jc w:val="center"/>
              <w:ind w:left="2810"/>
              <w:spacing w:after="0"/>
              <w:rPr>
                <w:sz w:val="20"/>
                <w:szCs w:val="20"/>
                <w:color w:val="auto"/>
              </w:rPr>
            </w:pPr>
            <w:r>
              <w:rPr>
                <w:rFonts w:ascii="Times New Roman" w:cs="Times New Roman" w:eastAsia="Times New Roman" w:hAnsi="Times New Roman"/>
                <w:sz w:val="18"/>
                <w:szCs w:val="18"/>
                <w:color w:val="auto"/>
              </w:rPr>
              <w:t>(Zip Code)</w:t>
            </w:r>
          </w:p>
        </w:tc>
      </w:tr>
      <w:tr>
        <w:trPr>
          <w:trHeight w:val="338"/>
        </w:trPr>
        <w:tc>
          <w:tcPr>
            <w:tcW w:w="3380" w:type="dxa"/>
            <w:vAlign w:val="bottom"/>
          </w:tcPr>
          <w:p>
            <w:pPr>
              <w:spacing w:after="0"/>
              <w:rPr>
                <w:sz w:val="24"/>
                <w:szCs w:val="24"/>
                <w:color w:val="auto"/>
              </w:rPr>
            </w:pPr>
          </w:p>
        </w:tc>
        <w:tc>
          <w:tcPr>
            <w:tcW w:w="4220" w:type="dxa"/>
            <w:vAlign w:val="bottom"/>
          </w:tcPr>
          <w:p>
            <w:pPr>
              <w:jc w:val="right"/>
              <w:ind w:right="2570"/>
              <w:spacing w:after="0"/>
              <w:rPr>
                <w:sz w:val="20"/>
                <w:szCs w:val="20"/>
                <w:color w:val="auto"/>
              </w:rPr>
            </w:pPr>
            <w:r>
              <w:rPr>
                <w:rFonts w:ascii="Times New Roman" w:cs="Times New Roman" w:eastAsia="Times New Roman" w:hAnsi="Times New Roman"/>
                <w:sz w:val="18"/>
                <w:szCs w:val="18"/>
                <w:b w:val="1"/>
                <w:bCs w:val="1"/>
                <w:color w:val="auto"/>
              </w:rPr>
              <w:t>(330) 796-2121</w:t>
            </w:r>
          </w:p>
        </w:tc>
      </w:tr>
    </w:tbl>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248"/>
        </w:trPr>
        <w:tc>
          <w:tcPr>
            <w:tcW w:w="4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38"/>
        </w:trPr>
        <w:tc>
          <w:tcPr>
            <w:tcW w:w="4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7"/>
        </w:trPr>
        <w:tc>
          <w:tcPr>
            <w:tcW w:w="4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r>
      <w:tr>
        <w:trPr>
          <w:trHeight w:val="237"/>
        </w:trPr>
        <w:tc>
          <w:tcPr>
            <w:tcW w:w="4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Common Stock, Without Par Value</w:t>
            </w:r>
          </w:p>
        </w:tc>
        <w:tc>
          <w:tcPr>
            <w:tcW w:w="1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GT</w:t>
            </w: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1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7"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u w:val="single" w:color="auto"/>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58"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jc w:val="center"/>
        <w:spacing w:after="0" w:line="207" w:lineRule="exact"/>
        <w:rPr>
          <w:sz w:val="20"/>
          <w:szCs w:val="20"/>
          <w:color w:val="auto"/>
        </w:rPr>
      </w:pPr>
      <w:r>
        <w:rPr>
          <w:rFonts w:ascii="Times New Roman" w:cs="Times New Roman" w:eastAsia="Times New Roman" w:hAnsi="Times New Roman"/>
          <w:sz w:val="18"/>
          <w:szCs w:val="18"/>
          <w:u w:val="single" w:color="auto"/>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04"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160" w:type="dxa"/>
        <w:tblCellMar>
          <w:top w:w="0" w:type="dxa"/>
          <w:left w:w="0" w:type="dxa"/>
          <w:bottom w:w="0" w:type="dxa"/>
          <w:right w:w="0" w:type="dxa"/>
        </w:tblCellMar>
      </w:tblPr>
      <w:tr>
        <w:trPr>
          <w:trHeight w:val="216"/>
        </w:trPr>
        <w:tc>
          <w:tcPr>
            <w:tcW w:w="2180" w:type="dxa"/>
            <w:vAlign w:val="bottom"/>
            <w:vMerge w:val="restart"/>
          </w:tcPr>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tc>
        <w:tc>
          <w:tcPr>
            <w:tcW w:w="1580" w:type="dxa"/>
            <w:vAlign w:val="bottom"/>
          </w:tcPr>
          <w:p>
            <w:pPr>
              <w:spacing w:after="0"/>
              <w:rPr>
                <w:sz w:val="18"/>
                <w:szCs w:val="18"/>
                <w:color w:val="auto"/>
              </w:rPr>
            </w:pPr>
          </w:p>
        </w:tc>
        <w:tc>
          <w:tcPr>
            <w:tcW w:w="50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300" w:type="dxa"/>
            <w:vAlign w:val="bottom"/>
            <w:vMerge w:val="restart"/>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Smaller reporting</w:t>
            </w:r>
          </w:p>
        </w:tc>
        <w:tc>
          <w:tcPr>
            <w:tcW w:w="50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Emerging growth</w:t>
            </w:r>
          </w:p>
        </w:tc>
        <w:tc>
          <w:tcPr>
            <w:tcW w:w="280" w:type="dxa"/>
            <w:vAlign w:val="bottom"/>
            <w:vMerge w:val="restart"/>
          </w:tcPr>
          <w:p>
            <w:pPr>
              <w:ind w:left="1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62"/>
        </w:trPr>
        <w:tc>
          <w:tcPr>
            <w:tcW w:w="2180" w:type="dxa"/>
            <w:vAlign w:val="bottom"/>
            <w:vMerge w:val="continue"/>
          </w:tcPr>
          <w:p>
            <w:pPr>
              <w:spacing w:after="0"/>
              <w:rPr>
                <w:sz w:val="22"/>
                <w:szCs w:val="22"/>
                <w:color w:val="auto"/>
              </w:rPr>
            </w:pPr>
          </w:p>
        </w:tc>
        <w:tc>
          <w:tcPr>
            <w:tcW w:w="1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Accelerated filer</w:t>
            </w:r>
          </w:p>
        </w:tc>
        <w:tc>
          <w:tcPr>
            <w:tcW w:w="500" w:type="dxa"/>
            <w:vAlign w:val="bottom"/>
            <w:vMerge w:val="continue"/>
          </w:tcPr>
          <w:p>
            <w:pPr>
              <w:spacing w:after="0"/>
              <w:rPr>
                <w:sz w:val="22"/>
                <w:szCs w:val="22"/>
                <w:color w:val="auto"/>
              </w:rPr>
            </w:pPr>
          </w:p>
        </w:tc>
        <w:tc>
          <w:tcPr>
            <w:tcW w:w="2300" w:type="dxa"/>
            <w:vAlign w:val="bottom"/>
            <w:vMerge w:val="continue"/>
          </w:tcPr>
          <w:p>
            <w:pPr>
              <w:spacing w:after="0"/>
              <w:rPr>
                <w:sz w:val="22"/>
                <w:szCs w:val="22"/>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500" w:type="dxa"/>
            <w:vAlign w:val="bottom"/>
            <w:vMerge w:val="continue"/>
          </w:tcPr>
          <w:p>
            <w:pPr>
              <w:spacing w:after="0"/>
              <w:rPr>
                <w:sz w:val="22"/>
                <w:szCs w:val="22"/>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2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174" w:lineRule="exact"/>
        <w:rPr>
          <w:sz w:val="24"/>
          <w:szCs w:val="24"/>
          <w:color w:val="auto"/>
        </w:rPr>
      </w:pPr>
    </w:p>
    <w:p>
      <w:pPr>
        <w:spacing w:after="0" w:line="23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76" w:lineRule="exact"/>
        <w:rPr>
          <w:sz w:val="24"/>
          <w:szCs w:val="24"/>
          <w:color w:val="auto"/>
        </w:rPr>
      </w:pPr>
    </w:p>
    <w:p>
      <w:pPr>
        <w:ind w:left="5160"/>
        <w:spacing w:after="0" w:line="207" w:lineRule="exact"/>
        <w:rPr>
          <w:sz w:val="20"/>
          <w:szCs w:val="20"/>
          <w:color w:val="auto"/>
        </w:rPr>
      </w:pPr>
      <w:r>
        <w:rPr>
          <w:rFonts w:ascii="Times New Roman" w:cs="Times New Roman" w:eastAsia="Times New Roman" w:hAnsi="Times New Roman"/>
          <w:sz w:val="18"/>
          <w:szCs w:val="18"/>
          <w:u w:val="single" w:color="auto"/>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registrant’s classes of common stock, as of the latest practicable date.</w:t>
      </w:r>
    </w:p>
    <w:p>
      <w:pPr>
        <w:spacing w:after="0" w:line="63"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of Common Stock,</w:t>
            </w:r>
          </w:p>
        </w:tc>
        <w:tc>
          <w:tcPr>
            <w:tcW w:w="3160" w:type="dxa"/>
            <w:vAlign w:val="bottom"/>
          </w:tcPr>
          <w:p>
            <w:pPr>
              <w:spacing w:after="0"/>
              <w:rPr>
                <w:sz w:val="18"/>
                <w:szCs w:val="18"/>
                <w:color w:val="auto"/>
              </w:rPr>
            </w:pPr>
          </w:p>
        </w:tc>
      </w:tr>
      <w:tr>
        <w:trPr>
          <w:trHeight w:val="234"/>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Without Par Value, Outstanding at July 31, 2025:</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286,046,462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b w:val="1"/>
          <w:bCs w:val="1"/>
          <w:u w:val="single" w:color="auto"/>
          <w:color w:val="auto"/>
        </w:rPr>
        <w:t>TABLE OF CONTENTS</w:t>
      </w: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PART I. FINANCIAL INFORMATION</w:t>
      </w:r>
    </w:p>
    <w:p>
      <w:pPr>
        <w:spacing w:after="0" w:line="6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u w:val="single" w:color="auto"/>
          <w:color w:val="0000FF"/>
        </w:rPr>
        <w:t>ITEM 1. FINANCIAL STATEMENTS</w:t>
      </w:r>
    </w:p>
    <w:p>
      <w:pPr>
        <w:spacing w:after="0" w:line="6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u w:val="single" w:color="auto"/>
          <w:color w:val="0000FF"/>
        </w:rPr>
        <w:t>NOTES TO CONSOLIDATED FINANCIAL STATEMENTS</w:t>
      </w:r>
    </w:p>
    <w:p>
      <w:pPr>
        <w:spacing w:after="0" w:line="63" w:lineRule="exact"/>
        <w:rPr>
          <w:sz w:val="20"/>
          <w:szCs w:val="20"/>
          <w:color w:val="auto"/>
        </w:rPr>
      </w:pPr>
    </w:p>
    <w:p>
      <w:pPr>
        <w:ind w:left="820"/>
        <w:spacing w:after="0" w:line="313" w:lineRule="auto"/>
        <w:rPr>
          <w:sz w:val="20"/>
          <w:szCs w:val="20"/>
          <w:color w:val="auto"/>
        </w:rPr>
      </w:pPr>
      <w:r>
        <w:rPr>
          <w:rFonts w:ascii="Times New Roman" w:cs="Times New Roman" w:eastAsia="Times New Roman" w:hAnsi="Times New Roman"/>
          <w:sz w:val="18"/>
          <w:szCs w:val="18"/>
          <w:u w:val="single" w:color="auto"/>
          <w:color w:val="0000FF"/>
        </w:rPr>
        <w:t>ITEM 2. MANAGEMENT'S DISCUSSION AND ANALYSIS OF FINANCIAL CONDITION AND RESULTS OF OPERATIONS ITEM 3. QUANTITATIVE AND QUALITATIVE DISCLOSURES ABOUT MARKET RISK ITEM 4. CONTROLS AND PROCEDURES</w:t>
      </w:r>
    </w:p>
    <w:p>
      <w:pPr>
        <w:ind w:left="20"/>
        <w:spacing w:after="0"/>
        <w:rPr>
          <w:sz w:val="20"/>
          <w:szCs w:val="20"/>
          <w:color w:val="auto"/>
        </w:rPr>
      </w:pPr>
      <w:r>
        <w:rPr>
          <w:rFonts w:ascii="Times New Roman" w:cs="Times New Roman" w:eastAsia="Times New Roman" w:hAnsi="Times New Roman"/>
          <w:sz w:val="18"/>
          <w:szCs w:val="18"/>
          <w:u w:val="single" w:color="auto"/>
          <w:color w:val="0000FF"/>
        </w:rPr>
        <w:t>PART II. OTHER INFORMATION</w:t>
      </w:r>
    </w:p>
    <w:p>
      <w:pPr>
        <w:spacing w:after="0" w:line="6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u w:val="single" w:color="auto"/>
          <w:color w:val="0000FF"/>
        </w:rPr>
        <w:t>ITEM 1. LEGAL PROCEEDINGS</w:t>
      </w:r>
    </w:p>
    <w:p>
      <w:pPr>
        <w:spacing w:after="0" w:line="6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u w:val="single" w:color="auto"/>
          <w:color w:val="0000FF"/>
        </w:rPr>
        <w:t>ITEM 1A. RISK FACTORS</w:t>
      </w:r>
    </w:p>
    <w:p>
      <w:pPr>
        <w:spacing w:after="0" w:line="6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u w:val="single" w:color="auto"/>
          <w:color w:val="0000FF"/>
        </w:rPr>
        <w:t>ITEM 5. OTHER INFORMATION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EX-2.1</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EX-2.2</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EX-10.1</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EX-10.2</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EX-22.1</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EX-31.1</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EX-31.2</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EX-32.1</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EX-101.INS INSTANCE DOCUMENT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EX-101.SCH SCHEMA DOCUMENT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80"/>
          </w:cols>
          <w:pgMar w:left="320" w:top="337" w:right="11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left="340" w:right="2760"/>
        <w:spacing w:after="0" w:line="268" w:lineRule="auto"/>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 CONSOLIDATED STATEMENTS OF OPERATIONS (Unaudited)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20" w:type="dxa"/>
            <w:vAlign w:val="bottom"/>
          </w:tcPr>
          <w:p>
            <w:pPr>
              <w:spacing w:after="0"/>
              <w:rPr>
                <w:sz w:val="15"/>
                <w:szCs w:val="15"/>
                <w:color w:val="auto"/>
              </w:rPr>
            </w:pPr>
          </w:p>
        </w:tc>
        <w:tc>
          <w:tcPr>
            <w:tcW w:w="2440" w:type="dxa"/>
            <w:vAlign w:val="bottom"/>
            <w:gridSpan w:val="4"/>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5"/>
                <w:szCs w:val="15"/>
                <w:color w:val="auto"/>
              </w:rPr>
            </w:pPr>
          </w:p>
        </w:tc>
      </w:tr>
      <w:tr>
        <w:trPr>
          <w:trHeight w:val="190"/>
        </w:trPr>
        <w:tc>
          <w:tcPr>
            <w:tcW w:w="5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40" w:type="dxa"/>
            <w:vAlign w:val="bottom"/>
            <w:gridSpan w:val="3"/>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spacing w:after="0"/>
              <w:rPr>
                <w:sz w:val="16"/>
                <w:szCs w:val="16"/>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522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43"/>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(Note 3)</w:t>
            </w: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9,107</w:t>
            </w: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7,349</w:t>
            </w:r>
          </w:p>
        </w:tc>
      </w:tr>
      <w:tr>
        <w:trPr>
          <w:trHeight w:val="27"/>
        </w:trPr>
        <w:tc>
          <w:tcPr>
            <w:tcW w:w="5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Administrative and General Expense</w:t>
            </w: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Rationalizations (Note 4)</w:t>
            </w: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7"/>
        </w:trPr>
        <w:tc>
          <w:tcPr>
            <w:tcW w:w="5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(Note 5)</w:t>
            </w: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7"/>
        </w:trPr>
        <w:tc>
          <w:tcPr>
            <w:tcW w:w="5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on Asset Sales (Note 2)</w:t>
            </w:r>
          </w:p>
        </w:tc>
        <w:tc>
          <w:tcPr>
            <w:tcW w:w="9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7"/>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7"/>
        </w:trPr>
        <w:tc>
          <w:tcPr>
            <w:tcW w:w="5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and Foreign Tax Expense (Note 6)</w:t>
            </w:r>
          </w:p>
        </w:tc>
        <w:tc>
          <w:tcPr>
            <w:tcW w:w="9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7"/>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5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Minority Shareholders’ Net Income (Loss)</w:t>
            </w:r>
          </w:p>
        </w:tc>
        <w:tc>
          <w:tcPr>
            <w:tcW w:w="9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7"/>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Goodyear Net Income</w:t>
            </w:r>
          </w:p>
        </w:tc>
        <w:tc>
          <w:tcPr>
            <w:tcW w:w="900" w:type="dxa"/>
            <w:vAlign w:val="bottom"/>
            <w:tcBorders>
              <w:top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254</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714"/>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369</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r>
      <w:tr>
        <w:trPr>
          <w:trHeight w:val="27"/>
        </w:trPr>
        <w:tc>
          <w:tcPr>
            <w:tcW w:w="5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7"/>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Goodyear Net Income — Per Share of Common Stock</w:t>
            </w:r>
          </w:p>
        </w:tc>
        <w:tc>
          <w:tcPr>
            <w:tcW w:w="9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r>
      <w:tr>
        <w:trPr>
          <w:trHeight w:val="243"/>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0.88</w:t>
            </w:r>
          </w:p>
        </w:tc>
        <w:tc>
          <w:tcPr>
            <w:tcW w:w="100" w:type="dxa"/>
            <w:vAlign w:val="bottom"/>
          </w:tcPr>
          <w:p>
            <w:pPr>
              <w:spacing w:after="0"/>
              <w:rPr>
                <w:sz w:val="21"/>
                <w:szCs w:val="21"/>
                <w:color w:val="auto"/>
              </w:rPr>
            </w:pPr>
          </w:p>
        </w:tc>
        <w:tc>
          <w:tcPr>
            <w:tcW w:w="920" w:type="dxa"/>
            <w:vAlign w:val="bottom"/>
          </w:tcPr>
          <w:p>
            <w:pPr>
              <w:jc w:val="right"/>
              <w:ind w:right="714"/>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0.28</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c>
          <w:tcPr>
            <w:tcW w:w="10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0.04</w:t>
            </w:r>
          </w:p>
        </w:tc>
      </w:tr>
      <w:tr>
        <w:trPr>
          <w:trHeight w:val="27"/>
        </w:trPr>
        <w:tc>
          <w:tcPr>
            <w:tcW w:w="5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4"/>
        </w:trPr>
        <w:tc>
          <w:tcPr>
            <w:tcW w:w="5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Shares Outstanding (Note 7)</w:t>
            </w: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43"/>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0.87</w:t>
            </w:r>
          </w:p>
        </w:tc>
        <w:tc>
          <w:tcPr>
            <w:tcW w:w="100" w:type="dxa"/>
            <w:vAlign w:val="bottom"/>
          </w:tcPr>
          <w:p>
            <w:pPr>
              <w:spacing w:after="0"/>
              <w:rPr>
                <w:sz w:val="21"/>
                <w:szCs w:val="21"/>
                <w:color w:val="auto"/>
              </w:rPr>
            </w:pPr>
          </w:p>
        </w:tc>
        <w:tc>
          <w:tcPr>
            <w:tcW w:w="920" w:type="dxa"/>
            <w:vAlign w:val="bottom"/>
          </w:tcPr>
          <w:p>
            <w:pPr>
              <w:jc w:val="right"/>
              <w:ind w:right="714"/>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0.28</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w:t>
            </w:r>
          </w:p>
        </w:tc>
        <w:tc>
          <w:tcPr>
            <w:tcW w:w="10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0.04</w:t>
            </w:r>
          </w:p>
        </w:tc>
      </w:tr>
      <w:tr>
        <w:trPr>
          <w:trHeight w:val="27"/>
        </w:trPr>
        <w:tc>
          <w:tcPr>
            <w:tcW w:w="5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7"/>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Shares Outstanding (Note 7)</w:t>
            </w:r>
          </w:p>
        </w:tc>
        <w:tc>
          <w:tcPr>
            <w:tcW w:w="9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7"/>
        </w:trPr>
        <w:tc>
          <w:tcPr>
            <w:tcW w:w="5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-16510</wp:posOffset>
            </wp:positionV>
            <wp:extent cx="596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-16510</wp:posOffset>
            </wp:positionV>
            <wp:extent cx="596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-16510</wp:posOffset>
            </wp:positionV>
            <wp:extent cx="603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-187960</wp:posOffset>
            </wp:positionV>
            <wp:extent cx="596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-179705</wp:posOffset>
            </wp:positionV>
            <wp:extent cx="59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-187960</wp:posOffset>
            </wp:positionV>
            <wp:extent cx="603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-565150</wp:posOffset>
            </wp:positionV>
            <wp:extent cx="59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-565150</wp:posOffset>
            </wp:positionV>
            <wp:extent cx="603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-925195</wp:posOffset>
            </wp:positionV>
            <wp:extent cx="596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-2682240</wp:posOffset>
            </wp:positionV>
            <wp:extent cx="596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-3034030</wp:posOffset>
            </wp:positionV>
            <wp:extent cx="596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-3034030</wp:posOffset>
            </wp:positionV>
            <wp:extent cx="603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left="340" w:right="2760"/>
        <w:spacing w:after="0" w:line="268" w:lineRule="auto"/>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 CONSOLIDATED STATEMENTS OF COMPREHENSIVE INCOME (Unaudited)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5"/>
                <w:szCs w:val="15"/>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5"/>
                <w:szCs w:val="15"/>
                <w:color w:val="auto"/>
              </w:rPr>
            </w:pPr>
          </w:p>
        </w:tc>
      </w:tr>
      <w:tr>
        <w:trPr>
          <w:trHeight w:val="190"/>
        </w:trPr>
        <w:tc>
          <w:tcPr>
            <w:tcW w:w="5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spacing w:after="0"/>
              <w:rPr>
                <w:sz w:val="16"/>
                <w:szCs w:val="16"/>
                <w:color w:val="auto"/>
              </w:rPr>
            </w:pP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19"/>
                <w:szCs w:val="19"/>
                <w:color w:val="auto"/>
              </w:rPr>
            </w:pPr>
          </w:p>
        </w:tc>
        <w:tc>
          <w:tcPr>
            <w:tcW w:w="108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522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44"/>
        </w:trPr>
        <w:tc>
          <w:tcPr>
            <w:tcW w:w="5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5"/>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net of tax of $4 and $6 in 2025 (($1)</w:t>
            </w: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r>
      <w:tr>
        <w:trPr>
          <w:trHeight w:val="241"/>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and ($3) in 2024)</w:t>
            </w:r>
          </w:p>
        </w:tc>
        <w:tc>
          <w:tcPr>
            <w:tcW w:w="34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5"/>
        </w:trPr>
        <w:tc>
          <w:tcPr>
            <w:tcW w:w="5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Reclassification adjustment for amounts recognized in income,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4"/>
        </w:trPr>
        <w:tc>
          <w:tcPr>
            <w:tcW w:w="5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of tax of $0 and $0 in 2025 ($0 and $0 in 2024)</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Defined benefit plans:</w:t>
            </w:r>
          </w:p>
        </w:tc>
        <w:tc>
          <w:tcPr>
            <w:tcW w:w="3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r>
      <w:tr>
        <w:trPr>
          <w:trHeight w:val="225"/>
        </w:trPr>
        <w:tc>
          <w:tcPr>
            <w:tcW w:w="5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Amortization of prior service cost and unrecognized gains and</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6"/>
        </w:trPr>
        <w:tc>
          <w:tcPr>
            <w:tcW w:w="5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losses included in total benefit cost, net of tax of $7 and $13 in</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5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2025 ($6 and $13 in 2024)</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7"/>
        </w:trPr>
        <w:tc>
          <w:tcPr>
            <w:tcW w:w="5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5"/>
        </w:trPr>
        <w:tc>
          <w:tcPr>
            <w:tcW w:w="52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Change in net actuarial gains and losses, net of tax of $(1) and $2</w:t>
            </w: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r>
      <w:tr>
        <w:trPr>
          <w:trHeight w:val="241"/>
        </w:trPr>
        <w:tc>
          <w:tcPr>
            <w:tcW w:w="52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in 2025 ($6 and $7 in 2024)</w:t>
            </w:r>
          </w:p>
        </w:tc>
        <w:tc>
          <w:tcPr>
            <w:tcW w:w="34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5"/>
        </w:trPr>
        <w:tc>
          <w:tcPr>
            <w:tcW w:w="5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Immediate recognition of prior service cost and unrecognized</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6"/>
        </w:trPr>
        <w:tc>
          <w:tcPr>
            <w:tcW w:w="5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gains and losses due to curtailments, settlements and divestitures,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5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of tax of $0 and $0 in 2025 ($0 and ($1) in 2024)</w:t>
            </w:r>
          </w:p>
        </w:tc>
        <w:tc>
          <w:tcPr>
            <w:tcW w:w="3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5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Deferred derivative gain:</w:t>
            </w:r>
          </w:p>
        </w:tc>
        <w:tc>
          <w:tcPr>
            <w:tcW w:w="3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r>
      <w:tr>
        <w:trPr>
          <w:trHeight w:val="225"/>
        </w:trPr>
        <w:tc>
          <w:tcPr>
            <w:tcW w:w="5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Reclassification adjustment for amounts recognized in income,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4"/>
        </w:trPr>
        <w:tc>
          <w:tcPr>
            <w:tcW w:w="5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of tax of $0 and $0 in 2025 ($0 and $0 in 2024)</w:t>
            </w:r>
          </w:p>
        </w:tc>
        <w:tc>
          <w:tcPr>
            <w:tcW w:w="3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52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3"/>
        </w:trPr>
        <w:tc>
          <w:tcPr>
            <w:tcW w:w="5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40" w:type="dxa"/>
            <w:vAlign w:val="bottom"/>
            <w:tcBorders>
              <w:bottom w:val="single" w:sz="8" w:color="CFF0FC"/>
            </w:tcBorders>
            <w:shd w:val="clear" w:color="auto" w:fill="CFF0FC"/>
          </w:tcPr>
          <w:p>
            <w:pPr>
              <w:spacing w:after="0"/>
              <w:rPr>
                <w:sz w:val="22"/>
                <w:szCs w:val="22"/>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8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100" w:type="dxa"/>
            <w:vAlign w:val="bottom"/>
            <w:tcBorders>
              <w:bottom w:val="single" w:sz="8" w:color="CFF0FC"/>
            </w:tcBorders>
            <w:shd w:val="clear" w:color="auto" w:fill="CFF0FC"/>
          </w:tcPr>
          <w:p>
            <w:pPr>
              <w:spacing w:after="0"/>
              <w:rPr>
                <w:sz w:val="22"/>
                <w:szCs w:val="22"/>
                <w:color w:val="auto"/>
              </w:rPr>
            </w:pPr>
          </w:p>
        </w:tc>
        <w:tc>
          <w:tcPr>
            <w:tcW w:w="54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237"/>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467</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r>
      <w:tr>
        <w:trPr>
          <w:trHeight w:val="27"/>
        </w:trPr>
        <w:tc>
          <w:tcPr>
            <w:tcW w:w="5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5"/>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Less: Comprehensive Income (Loss) Attributable to Minority</w:t>
            </w: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r>
      <w:tr>
        <w:trPr>
          <w:trHeight w:val="261"/>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Shareholders</w:t>
            </w:r>
          </w:p>
        </w:tc>
        <w:tc>
          <w:tcPr>
            <w:tcW w:w="340" w:type="dxa"/>
            <w:vAlign w:val="bottom"/>
            <w:tcBorders>
              <w:bottom w:val="single" w:sz="8" w:color="CFF0FC"/>
            </w:tcBorders>
            <w:shd w:val="clear" w:color="auto" w:fill="CFF0FC"/>
          </w:tcPr>
          <w:p>
            <w:pPr>
              <w:spacing w:after="0"/>
              <w:rPr>
                <w:sz w:val="22"/>
                <w:szCs w:val="22"/>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FF0FC"/>
            </w:tcBorders>
            <w:shd w:val="clear" w:color="auto" w:fill="CFF0FC"/>
          </w:tcPr>
          <w:p>
            <w:pPr>
              <w:spacing w:after="0"/>
              <w:rPr>
                <w:sz w:val="22"/>
                <w:szCs w:val="22"/>
                <w:color w:val="auto"/>
              </w:rPr>
            </w:pPr>
          </w:p>
        </w:tc>
        <w:tc>
          <w:tcPr>
            <w:tcW w:w="54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7"/>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Goodyear Comprehensive Income</w:t>
            </w: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257</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429</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27"/>
        </w:trPr>
        <w:tc>
          <w:tcPr>
            <w:tcW w:w="5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5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-230505</wp:posOffset>
            </wp:positionV>
            <wp:extent cx="596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-521970</wp:posOffset>
            </wp:positionV>
            <wp:extent cx="596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-882015</wp:posOffset>
            </wp:positionV>
            <wp:extent cx="596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-882015</wp:posOffset>
            </wp:positionV>
            <wp:extent cx="596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-882015</wp:posOffset>
            </wp:positionV>
            <wp:extent cx="603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-1362075</wp:posOffset>
            </wp:positionV>
            <wp:extent cx="596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-3702685</wp:posOffset>
            </wp:positionV>
            <wp:extent cx="596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-3702685</wp:posOffset>
            </wp:positionV>
            <wp:extent cx="603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left="340" w:right="2760"/>
        <w:spacing w:after="0" w:line="278" w:lineRule="auto"/>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 CONSOLIDATED BALANCE SHEETS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5"/>
                <w:szCs w:val="15"/>
                <w:color w:val="auto"/>
              </w:rPr>
            </w:pPr>
          </w:p>
        </w:tc>
        <w:tc>
          <w:tcPr>
            <w:tcW w:w="124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share data)</w:t>
            </w:r>
          </w:p>
        </w:tc>
        <w:tc>
          <w:tcPr>
            <w:tcW w:w="280" w:type="dxa"/>
            <w:vAlign w:val="bottom"/>
          </w:tcPr>
          <w:p>
            <w:pPr>
              <w:spacing w:after="0"/>
              <w:rPr>
                <w:sz w:val="16"/>
                <w:szCs w:val="16"/>
                <w:color w:val="auto"/>
              </w:rPr>
            </w:pPr>
          </w:p>
        </w:tc>
        <w:tc>
          <w:tcPr>
            <w:tcW w:w="116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24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30"/>
        </w:trPr>
        <w:tc>
          <w:tcPr>
            <w:tcW w:w="8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CFF0FC"/>
            </w:tcBorders>
            <w:shd w:val="clear" w:color="auto" w:fill="CFF0FC"/>
          </w:tcPr>
          <w:p>
            <w:pPr>
              <w:spacing w:after="0"/>
              <w:rPr>
                <w:sz w:val="20"/>
                <w:szCs w:val="20"/>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8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785</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810</w:t>
            </w:r>
          </w:p>
        </w:tc>
      </w:tr>
      <w:tr>
        <w:trPr>
          <w:trHeight w:val="233"/>
        </w:trPr>
        <w:tc>
          <w:tcPr>
            <w:tcW w:w="8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Accounts Receivable, less Allowance — $97 ($84 in 2024)</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2,482</w:t>
            </w:r>
          </w:p>
        </w:tc>
      </w:tr>
      <w:tr>
        <w:trPr>
          <w:trHeight w:val="253"/>
        </w:trPr>
        <w:tc>
          <w:tcPr>
            <w:tcW w:w="8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Inventories:</w:t>
            </w:r>
          </w:p>
        </w:tc>
        <w:tc>
          <w:tcPr>
            <w:tcW w:w="2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r>
      <w:tr>
        <w:trPr>
          <w:trHeight w:val="233"/>
        </w:trPr>
        <w:tc>
          <w:tcPr>
            <w:tcW w:w="8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Raw Materials</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w:t>
            </w:r>
          </w:p>
        </w:tc>
      </w:tr>
      <w:tr>
        <w:trPr>
          <w:trHeight w:val="253"/>
        </w:trPr>
        <w:tc>
          <w:tcPr>
            <w:tcW w:w="8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Work in Process</w:t>
            </w:r>
          </w:p>
        </w:tc>
        <w:tc>
          <w:tcPr>
            <w:tcW w:w="2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w:t>
            </w:r>
          </w:p>
        </w:tc>
      </w:tr>
      <w:tr>
        <w:trPr>
          <w:trHeight w:val="237"/>
        </w:trPr>
        <w:tc>
          <w:tcPr>
            <w:tcW w:w="8240" w:type="dxa"/>
            <w:vAlign w:val="bottom"/>
            <w:tcBorders>
              <w:bottom w:val="single" w:sz="8" w:color="CFF0FC"/>
            </w:tcBorders>
          </w:tcPr>
          <w:p>
            <w:pPr>
              <w:ind w:left="180"/>
              <w:spacing w:after="0"/>
              <w:rPr>
                <w:sz w:val="20"/>
                <w:szCs w:val="20"/>
                <w:color w:val="auto"/>
              </w:rPr>
            </w:pPr>
            <w:r>
              <w:rPr>
                <w:rFonts w:ascii="Times New Roman" w:cs="Times New Roman" w:eastAsia="Times New Roman" w:hAnsi="Times New Roman"/>
                <w:sz w:val="16"/>
                <w:szCs w:val="16"/>
                <w:color w:val="auto"/>
              </w:rPr>
              <w:t>Finished Products</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3,141</w:t>
            </w:r>
          </w:p>
        </w:tc>
        <w:tc>
          <w:tcPr>
            <w:tcW w:w="1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2,619</w:t>
            </w:r>
          </w:p>
        </w:tc>
      </w:tr>
      <w:tr>
        <w:trPr>
          <w:trHeight w:val="243"/>
        </w:trPr>
        <w:tc>
          <w:tcPr>
            <w:tcW w:w="8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4,028</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3,554</w:t>
            </w:r>
          </w:p>
        </w:tc>
      </w:tr>
      <w:tr>
        <w:trPr>
          <w:trHeight w:val="233"/>
        </w:trPr>
        <w:tc>
          <w:tcPr>
            <w:tcW w:w="8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Assets Held for Sale (Note 1)</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w:t>
            </w:r>
          </w:p>
        </w:tc>
      </w:tr>
      <w:tr>
        <w:trPr>
          <w:trHeight w:val="253"/>
        </w:trPr>
        <w:tc>
          <w:tcPr>
            <w:tcW w:w="8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10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w:t>
            </w:r>
          </w:p>
        </w:tc>
      </w:tr>
      <w:tr>
        <w:trPr>
          <w:trHeight w:val="227"/>
        </w:trPr>
        <w:tc>
          <w:tcPr>
            <w:tcW w:w="82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8,885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7,589</w:t>
            </w:r>
          </w:p>
        </w:tc>
      </w:tr>
      <w:tr>
        <w:trPr>
          <w:trHeight w:val="253"/>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716</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756</w:t>
            </w:r>
          </w:p>
        </w:tc>
      </w:tr>
      <w:tr>
        <w:trPr>
          <w:trHeight w:val="23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w:t>
            </w:r>
          </w:p>
        </w:tc>
      </w:tr>
      <w:tr>
        <w:trPr>
          <w:trHeight w:val="253"/>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 Income Taxes (Note 6)</w:t>
            </w:r>
          </w:p>
        </w:tc>
        <w:tc>
          <w:tcPr>
            <w:tcW w:w="2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1,743</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1,686</w:t>
            </w:r>
          </w:p>
        </w:tc>
      </w:tr>
      <w:tr>
        <w:trPr>
          <w:trHeight w:val="23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1,052</w:t>
            </w:r>
          </w:p>
        </w:tc>
      </w:tr>
      <w:tr>
        <w:trPr>
          <w:trHeight w:val="253"/>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951</w:t>
            </w:r>
          </w:p>
        </w:tc>
      </w:tr>
      <w:tr>
        <w:trPr>
          <w:trHeight w:val="237"/>
        </w:trPr>
        <w:tc>
          <w:tcPr>
            <w:tcW w:w="82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less Accumulated Depreciation — $12,215 ($12,212 in 2024)</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8,002</w:t>
            </w:r>
          </w:p>
        </w:tc>
        <w:tc>
          <w:tcPr>
            <w:tcW w:w="1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8,082</w:t>
            </w:r>
          </w:p>
        </w:tc>
      </w:tr>
      <w:tr>
        <w:trPr>
          <w:trHeight w:val="261"/>
        </w:trPr>
        <w:tc>
          <w:tcPr>
            <w:tcW w:w="82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22,259</w:t>
            </w:r>
          </w:p>
        </w:tc>
        <w:tc>
          <w:tcPr>
            <w:tcW w:w="1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20,921</w:t>
            </w:r>
          </w:p>
        </w:tc>
      </w:tr>
      <w:tr>
        <w:trPr>
          <w:trHeight w:val="20"/>
        </w:trPr>
        <w:tc>
          <w:tcPr>
            <w:tcW w:w="8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r>
      <w:tr>
        <w:trPr>
          <w:trHeight w:val="170"/>
        </w:trPr>
        <w:tc>
          <w:tcPr>
            <w:tcW w:w="8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43"/>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r>
      <w:tr>
        <w:trPr>
          <w:trHeight w:val="23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53"/>
        </w:trPr>
        <w:tc>
          <w:tcPr>
            <w:tcW w:w="8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Accounts Payable — Trade</w:t>
            </w: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4,010</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4,092</w:t>
            </w:r>
          </w:p>
        </w:tc>
      </w:tr>
      <w:tr>
        <w:trPr>
          <w:trHeight w:val="260"/>
        </w:trPr>
        <w:tc>
          <w:tcPr>
            <w:tcW w:w="8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Compensation and Benefits (Notes 11 and 12</w:t>
            </w:r>
            <w:r>
              <w:rPr>
                <w:rFonts w:ascii="Times New Roman" w:cs="Times New Roman" w:eastAsia="Times New Roman" w:hAnsi="Times New Roman"/>
                <w:sz w:val="17"/>
                <w:szCs w:val="17"/>
                <w:color w:val="auto"/>
              </w:rPr>
              <w:t>)</w:t>
            </w: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r>
      <w:tr>
        <w:trPr>
          <w:trHeight w:val="253"/>
        </w:trPr>
        <w:tc>
          <w:tcPr>
            <w:tcW w:w="8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1,599</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1,089</w:t>
            </w:r>
          </w:p>
        </w:tc>
      </w:tr>
      <w:tr>
        <w:trPr>
          <w:trHeight w:val="233"/>
        </w:trPr>
        <w:tc>
          <w:tcPr>
            <w:tcW w:w="8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Notes Payable and Overdrafts (Note 9)</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w:t>
            </w:r>
          </w:p>
        </w:tc>
      </w:tr>
      <w:tr>
        <w:trPr>
          <w:trHeight w:val="253"/>
        </w:trPr>
        <w:tc>
          <w:tcPr>
            <w:tcW w:w="8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Operating Lease Liabilities due Within One Year</w:t>
            </w:r>
          </w:p>
        </w:tc>
        <w:tc>
          <w:tcPr>
            <w:tcW w:w="2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36"/>
        </w:trPr>
        <w:tc>
          <w:tcPr>
            <w:tcW w:w="824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6"/>
                <w:szCs w:val="16"/>
                <w:color w:val="auto"/>
              </w:rPr>
              <w:t>Long Term Debt and Finance Leases due Within One Year (Note 9)</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778</w:t>
            </w:r>
          </w:p>
        </w:tc>
        <w:tc>
          <w:tcPr>
            <w:tcW w:w="1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832</w:t>
            </w:r>
          </w:p>
        </w:tc>
      </w:tr>
      <w:tr>
        <w:trPr>
          <w:trHeight w:val="243"/>
        </w:trPr>
        <w:tc>
          <w:tcPr>
            <w:tcW w:w="8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7,701</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7,377</w:t>
            </w:r>
          </w:p>
        </w:tc>
      </w:tr>
      <w:tr>
        <w:trPr>
          <w:trHeight w:val="23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w:t>
            </w:r>
          </w:p>
        </w:tc>
      </w:tr>
      <w:tr>
        <w:trPr>
          <w:trHeight w:val="253"/>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Long Term Debt and Finance Leases (Note 9)</w:t>
            </w:r>
          </w:p>
        </w:tc>
        <w:tc>
          <w:tcPr>
            <w:tcW w:w="2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6,559</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6,392</w:t>
            </w:r>
          </w:p>
        </w:tc>
      </w:tr>
      <w:tr>
        <w:trPr>
          <w:trHeight w:val="23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 and Benefits (Notes 11 and 12)</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w:t>
            </w:r>
          </w:p>
        </w:tc>
      </w:tr>
      <w:tr>
        <w:trPr>
          <w:trHeight w:val="253"/>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 Income Taxes (Note 6)</w:t>
            </w:r>
          </w:p>
        </w:tc>
        <w:tc>
          <w:tcPr>
            <w:tcW w:w="2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237"/>
        </w:trPr>
        <w:tc>
          <w:tcPr>
            <w:tcW w:w="82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Other Long Term Liabilities</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1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628</w:t>
            </w:r>
          </w:p>
        </w:tc>
      </w:tr>
      <w:tr>
        <w:trPr>
          <w:trHeight w:val="243"/>
        </w:trPr>
        <w:tc>
          <w:tcPr>
            <w:tcW w:w="8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16,965</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16,098</w:t>
            </w:r>
          </w:p>
        </w:tc>
      </w:tr>
      <w:tr>
        <w:trPr>
          <w:trHeight w:val="23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Contingent Liabilities (Note 13)</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53"/>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2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r>
      <w:tr>
        <w:trPr>
          <w:trHeight w:val="23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Goodyear Shareholders’ Equity:</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53"/>
        </w:trPr>
        <w:tc>
          <w:tcPr>
            <w:tcW w:w="8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Common Stock, no par value:</w:t>
            </w:r>
          </w:p>
        </w:tc>
        <w:tc>
          <w:tcPr>
            <w:tcW w:w="2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r>
      <w:tr>
        <w:trPr>
          <w:trHeight w:val="233"/>
        </w:trPr>
        <w:tc>
          <w:tcPr>
            <w:tcW w:w="8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Authorized, 450 million shares, Outstanding shares — 286 million in 2025 (285 million in 2024)</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w:t>
            </w:r>
          </w:p>
        </w:tc>
      </w:tr>
      <w:tr>
        <w:trPr>
          <w:trHeight w:val="253"/>
        </w:trPr>
        <w:tc>
          <w:tcPr>
            <w:tcW w:w="8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Capital Surplus</w:t>
            </w:r>
          </w:p>
        </w:tc>
        <w:tc>
          <w:tcPr>
            <w:tcW w:w="2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3,164</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3,159</w:t>
            </w:r>
          </w:p>
        </w:tc>
      </w:tr>
      <w:tr>
        <w:trPr>
          <w:trHeight w:val="233"/>
        </w:trPr>
        <w:tc>
          <w:tcPr>
            <w:tcW w:w="8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Retained Earnings</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5,081</w:t>
            </w:r>
          </w:p>
        </w:tc>
      </w:tr>
      <w:tr>
        <w:trPr>
          <w:trHeight w:val="253"/>
        </w:trPr>
        <w:tc>
          <w:tcPr>
            <w:tcW w:w="8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Accumulated Other Comprehensive Loss (Note 15)</w:t>
            </w:r>
          </w:p>
        </w:tc>
        <w:tc>
          <w:tcPr>
            <w:tcW w:w="2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(3,784)</w:t>
            </w:r>
          </w:p>
        </w:tc>
        <w:tc>
          <w:tcPr>
            <w:tcW w:w="10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(3,844)</w:t>
            </w:r>
          </w:p>
        </w:tc>
      </w:tr>
      <w:tr>
        <w:trPr>
          <w:trHeight w:val="227"/>
        </w:trPr>
        <w:tc>
          <w:tcPr>
            <w:tcW w:w="82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Goodyear Shareholders’ Equity</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4,681</w:t>
            </w:r>
          </w:p>
        </w:tc>
      </w:tr>
      <w:tr>
        <w:trPr>
          <w:trHeight w:val="253"/>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Minority Shareholders’ Equity — Nonredeemable</w:t>
            </w:r>
          </w:p>
        </w:tc>
        <w:tc>
          <w:tcPr>
            <w:tcW w:w="2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w:t>
            </w:r>
          </w:p>
        </w:tc>
      </w:tr>
      <w:tr>
        <w:trPr>
          <w:trHeight w:val="230"/>
        </w:trPr>
        <w:tc>
          <w:tcPr>
            <w:tcW w:w="82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5,294</w:t>
            </w:r>
          </w:p>
        </w:tc>
        <w:tc>
          <w:tcPr>
            <w:tcW w:w="1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4,823</w:t>
            </w:r>
          </w:p>
        </w:tc>
      </w:tr>
      <w:tr>
        <w:trPr>
          <w:trHeight w:val="261"/>
        </w:trPr>
        <w:tc>
          <w:tcPr>
            <w:tcW w:w="82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22,259</w:t>
            </w:r>
          </w:p>
        </w:tc>
        <w:tc>
          <w:tcPr>
            <w:tcW w:w="1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20,921</w:t>
            </w:r>
          </w:p>
        </w:tc>
      </w:tr>
      <w:tr>
        <w:trPr>
          <w:trHeight w:val="20"/>
        </w:trPr>
        <w:tc>
          <w:tcPr>
            <w:tcW w:w="8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-33655</wp:posOffset>
            </wp:positionV>
            <wp:extent cx="603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-196215</wp:posOffset>
            </wp:positionV>
            <wp:extent cx="603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-2073910</wp:posOffset>
            </wp:positionV>
            <wp:extent cx="603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-3007995</wp:posOffset>
            </wp:positionV>
            <wp:extent cx="603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-4413885</wp:posOffset>
            </wp:positionV>
            <wp:extent cx="603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-4577080</wp:posOffset>
            </wp:positionV>
            <wp:extent cx="603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-6137275</wp:posOffset>
            </wp:positionV>
            <wp:extent cx="603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-7406005</wp:posOffset>
            </wp:positionV>
            <wp:extent cx="603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220"/>
          </w:cols>
          <w:pgMar w:left="320" w:top="337" w:right="35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left="340" w:right="2760"/>
        <w:spacing w:after="0" w:line="268" w:lineRule="auto"/>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 CONSOLIDATED STATEMENTS OF SHAREHOLDERS’ EQUITY (Unaudited)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8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Minority</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80" w:type="dxa"/>
            <w:vAlign w:val="bottom"/>
          </w:tcPr>
          <w:p>
            <w:pPr>
              <w:spacing w:after="0"/>
              <w:rPr>
                <w:sz w:val="15"/>
                <w:szCs w:val="15"/>
                <w:color w:val="auto"/>
              </w:rPr>
            </w:pPr>
          </w:p>
        </w:tc>
        <w:tc>
          <w:tcPr>
            <w:tcW w:w="2080" w:type="dxa"/>
            <w:vAlign w:val="bottom"/>
            <w:gridSpan w:val="5"/>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5"/>
                <w:szCs w:val="15"/>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5"/>
                <w:szCs w:val="15"/>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Goodyear</w:t>
            </w:r>
          </w:p>
        </w:tc>
        <w:tc>
          <w:tcPr>
            <w:tcW w:w="10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180" w:type="dxa"/>
            <w:vAlign w:val="bottom"/>
          </w:tcPr>
          <w:p>
            <w:pPr>
              <w:spacing w:after="0"/>
              <w:rPr>
                <w:sz w:val="15"/>
                <w:szCs w:val="15"/>
                <w:color w:val="auto"/>
              </w:rPr>
            </w:pPr>
          </w:p>
        </w:tc>
        <w:tc>
          <w:tcPr>
            <w:tcW w:w="8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9"/>
        </w:trPr>
        <w:tc>
          <w:tcPr>
            <w:tcW w:w="2880" w:type="dxa"/>
            <w:vAlign w:val="bottom"/>
          </w:tcPr>
          <w:p>
            <w:pPr>
              <w:spacing w:after="0"/>
              <w:rPr>
                <w:sz w:val="9"/>
                <w:szCs w:val="9"/>
                <w:color w:val="auto"/>
              </w:rPr>
            </w:pPr>
          </w:p>
        </w:tc>
        <w:tc>
          <w:tcPr>
            <w:tcW w:w="2080" w:type="dxa"/>
            <w:vAlign w:val="bottom"/>
            <w:gridSpan w:val="5"/>
            <w:vMerge w:val="continue"/>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080" w:type="dxa"/>
            <w:vAlign w:val="bottom"/>
            <w:gridSpan w:val="3"/>
            <w:vMerge w:val="restart"/>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80" w:type="dxa"/>
            <w:vAlign w:val="bottom"/>
            <w:gridSpan w:val="3"/>
            <w:vMerge w:val="restart"/>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060" w:type="dxa"/>
            <w:vAlign w:val="bottom"/>
            <w:gridSpan w:val="3"/>
            <w:vMerge w:val="restart"/>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Equity — Non-</w:t>
            </w:r>
          </w:p>
        </w:tc>
        <w:tc>
          <w:tcPr>
            <w:tcW w:w="980" w:type="dxa"/>
            <w:vAlign w:val="bottom"/>
            <w:gridSpan w:val="2"/>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37"/>
        </w:trPr>
        <w:tc>
          <w:tcPr>
            <w:tcW w:w="288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1060" w:type="dxa"/>
            <w:vAlign w:val="bottom"/>
            <w:gridSpan w:val="3"/>
            <w:vMerge w:val="continue"/>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share data)</w:t>
            </w: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7"/>
                <w:szCs w:val="17"/>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7"/>
                <w:szCs w:val="17"/>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16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7"/>
                <w:szCs w:val="17"/>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7"/>
                <w:szCs w:val="17"/>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180" w:type="dxa"/>
            <w:vAlign w:val="bottom"/>
          </w:tcPr>
          <w:p>
            <w:pPr>
              <w:spacing w:after="0"/>
              <w:rPr>
                <w:sz w:val="17"/>
                <w:szCs w:val="17"/>
                <w:color w:val="auto"/>
              </w:rPr>
            </w:pPr>
          </w:p>
        </w:tc>
        <w:tc>
          <w:tcPr>
            <w:tcW w:w="8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2880" w:type="dxa"/>
            <w:vAlign w:val="bottom"/>
            <w:tcBorders>
              <w:bottom w:val="single" w:sz="8" w:color="CFF0FC"/>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98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78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78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90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88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(after deducting 39,313,644 common treasury</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284,974,263</w:t>
            </w:r>
          </w:p>
        </w:tc>
        <w:tc>
          <w:tcPr>
            <w:tcW w:w="80" w:type="dxa"/>
            <w:vAlign w:val="bottom"/>
          </w:tcPr>
          <w:p>
            <w:pPr>
              <w:spacing w:after="0"/>
              <w:rPr>
                <w:sz w:val="15"/>
                <w:szCs w:val="15"/>
                <w:color w:val="auto"/>
              </w:rPr>
            </w:pP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285</w:t>
            </w:r>
          </w:p>
        </w:tc>
        <w:tc>
          <w:tcPr>
            <w:tcW w:w="8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3,159</w:t>
            </w:r>
          </w:p>
        </w:tc>
        <w:tc>
          <w:tcPr>
            <w:tcW w:w="8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5,081</w:t>
            </w:r>
          </w:p>
        </w:tc>
        <w:tc>
          <w:tcPr>
            <w:tcW w:w="80" w:type="dxa"/>
            <w:vAlign w:val="bottom"/>
          </w:tcPr>
          <w:p>
            <w:pPr>
              <w:spacing w:after="0"/>
              <w:rPr>
                <w:sz w:val="15"/>
                <w:szCs w:val="15"/>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(3,844)</w:t>
            </w:r>
          </w:p>
        </w:tc>
        <w:tc>
          <w:tcPr>
            <w:tcW w:w="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4,681</w:t>
            </w:r>
          </w:p>
        </w:tc>
        <w:tc>
          <w:tcPr>
            <w:tcW w:w="80" w:type="dxa"/>
            <w:vAlign w:val="bottom"/>
          </w:tcPr>
          <w:p>
            <w:pPr>
              <w:spacing w:after="0"/>
              <w:rPr>
                <w:sz w:val="15"/>
                <w:szCs w:val="15"/>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142</w:t>
            </w:r>
          </w:p>
        </w:tc>
        <w:tc>
          <w:tcPr>
            <w:tcW w:w="80" w:type="dxa"/>
            <w:vAlign w:val="bottom"/>
          </w:tcPr>
          <w:p>
            <w:pPr>
              <w:spacing w:after="0"/>
              <w:rPr>
                <w:sz w:val="15"/>
                <w:szCs w:val="15"/>
                <w:color w:val="auto"/>
              </w:rPr>
            </w:pP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4,823</w:t>
            </w:r>
          </w:p>
        </w:tc>
        <w:tc>
          <w:tcPr>
            <w:tcW w:w="0" w:type="dxa"/>
            <w:vAlign w:val="bottom"/>
          </w:tcPr>
          <w:p>
            <w:pPr>
              <w:spacing w:after="0"/>
              <w:rPr>
                <w:sz w:val="1"/>
                <w:szCs w:val="1"/>
                <w:color w:val="auto"/>
              </w:rPr>
            </w:pPr>
          </w:p>
        </w:tc>
      </w:tr>
      <w:tr>
        <w:trPr>
          <w:trHeight w:val="188"/>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shares)</w:t>
            </w: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8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8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Net income (loss)</w:t>
            </w:r>
          </w:p>
        </w:tc>
        <w:tc>
          <w:tcPr>
            <w:tcW w:w="9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193"/>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37"/>
        </w:trPr>
        <w:tc>
          <w:tcPr>
            <w:tcW w:w="2880" w:type="dxa"/>
            <w:vAlign w:val="bottom"/>
            <w:tcBorders>
              <w:bottom w:val="single" w:sz="8" w:color="CFF0FC"/>
            </w:tcBorders>
          </w:tcPr>
          <w:p>
            <w:pPr>
              <w:spacing w:after="0"/>
              <w:rPr>
                <w:sz w:val="3"/>
                <w:szCs w:val="3"/>
                <w:color w:val="auto"/>
              </w:rPr>
            </w:pPr>
          </w:p>
        </w:tc>
        <w:tc>
          <w:tcPr>
            <w:tcW w:w="980" w:type="dxa"/>
            <w:vAlign w:val="bottom"/>
            <w:tcBorders>
              <w:bottom w:val="single" w:sz="8" w:color="CFF0FC"/>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60" w:type="dxa"/>
            <w:vAlign w:val="bottom"/>
            <w:tcBorders>
              <w:bottom w:val="single" w:sz="8" w:color="CFF0FC"/>
            </w:tcBorders>
          </w:tcPr>
          <w:p>
            <w:pPr>
              <w:spacing w:after="0"/>
              <w:rPr>
                <w:sz w:val="3"/>
                <w:szCs w:val="3"/>
                <w:color w:val="auto"/>
              </w:rPr>
            </w:pPr>
          </w:p>
        </w:tc>
        <w:tc>
          <w:tcPr>
            <w:tcW w:w="780" w:type="dxa"/>
            <w:vAlign w:val="bottom"/>
            <w:tcBorders>
              <w:bottom w:val="single" w:sz="8" w:color="CFF0FC"/>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60" w:type="dxa"/>
            <w:vAlign w:val="bottom"/>
            <w:tcBorders>
              <w:bottom w:val="single" w:sz="8" w:color="CFF0FC"/>
            </w:tcBorders>
          </w:tcPr>
          <w:p>
            <w:pPr>
              <w:spacing w:after="0"/>
              <w:rPr>
                <w:sz w:val="3"/>
                <w:szCs w:val="3"/>
                <w:color w:val="auto"/>
              </w:rPr>
            </w:pPr>
          </w:p>
        </w:tc>
        <w:tc>
          <w:tcPr>
            <w:tcW w:w="780" w:type="dxa"/>
            <w:vAlign w:val="bottom"/>
            <w:tcBorders>
              <w:bottom w:val="single" w:sz="8" w:color="CFF0FC"/>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60" w:type="dxa"/>
            <w:vAlign w:val="bottom"/>
            <w:tcBorders>
              <w:bottom w:val="single" w:sz="8" w:color="CFF0FC"/>
            </w:tcBorders>
          </w:tcPr>
          <w:p>
            <w:pPr>
              <w:spacing w:after="0"/>
              <w:rPr>
                <w:sz w:val="3"/>
                <w:szCs w:val="3"/>
                <w:color w:val="auto"/>
              </w:rPr>
            </w:pPr>
          </w:p>
        </w:tc>
        <w:tc>
          <w:tcPr>
            <w:tcW w:w="800" w:type="dxa"/>
            <w:vAlign w:val="bottom"/>
            <w:tcBorders>
              <w:bottom w:val="single" w:sz="8" w:color="CFF0FC"/>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900" w:type="dxa"/>
            <w:vAlign w:val="bottom"/>
            <w:tcBorders>
              <w:bottom w:val="single" w:sz="8" w:color="CFF0FC"/>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8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4"/>
                <w:szCs w:val="14"/>
                <w:b w:val="1"/>
                <w:bCs w:val="1"/>
                <w:color w:val="auto"/>
              </w:rPr>
              <w:t>Total Comprehensive Income (Loss)</w:t>
            </w:r>
          </w:p>
        </w:tc>
        <w:tc>
          <w:tcPr>
            <w:tcW w:w="9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172</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w:t>
            </w: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178</w:t>
            </w:r>
          </w:p>
        </w:tc>
        <w:tc>
          <w:tcPr>
            <w:tcW w:w="0" w:type="dxa"/>
            <w:vAlign w:val="bottom"/>
          </w:tcPr>
          <w:p>
            <w:pPr>
              <w:spacing w:after="0"/>
              <w:rPr>
                <w:sz w:val="1"/>
                <w:szCs w:val="1"/>
                <w:color w:val="auto"/>
              </w:rPr>
            </w:pPr>
          </w:p>
        </w:tc>
      </w:tr>
      <w:tr>
        <w:trPr>
          <w:trHeight w:val="193"/>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37"/>
        </w:trPr>
        <w:tc>
          <w:tcPr>
            <w:tcW w:w="28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8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Common stock issued from treasury</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674,461</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73"/>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9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28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(after deducting 38,639,183 common treasury</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285,648,724</w:t>
            </w:r>
          </w:p>
        </w:tc>
        <w:tc>
          <w:tcPr>
            <w:tcW w:w="80" w:type="dxa"/>
            <w:vAlign w:val="bottom"/>
            <w:shd w:val="clear" w:color="auto" w:fill="CFF0FC"/>
          </w:tcPr>
          <w:p>
            <w:pPr>
              <w:spacing w:after="0"/>
              <w:rPr>
                <w:sz w:val="15"/>
                <w:szCs w:val="15"/>
                <w:color w:val="auto"/>
              </w:rPr>
            </w:pPr>
          </w:p>
        </w:tc>
        <w:tc>
          <w:tcPr>
            <w:tcW w:w="16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286</w:t>
            </w:r>
          </w:p>
        </w:tc>
        <w:tc>
          <w:tcPr>
            <w:tcW w:w="80" w:type="dxa"/>
            <w:vAlign w:val="bottom"/>
            <w:shd w:val="clear" w:color="auto" w:fill="CFF0FC"/>
          </w:tcPr>
          <w:p>
            <w:pPr>
              <w:spacing w:after="0"/>
              <w:rPr>
                <w:sz w:val="15"/>
                <w:szCs w:val="15"/>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3,160</w:t>
            </w:r>
          </w:p>
        </w:tc>
        <w:tc>
          <w:tcPr>
            <w:tcW w:w="80" w:type="dxa"/>
            <w:vAlign w:val="bottom"/>
            <w:shd w:val="clear" w:color="auto" w:fill="CFF0FC"/>
          </w:tcPr>
          <w:p>
            <w:pPr>
              <w:spacing w:after="0"/>
              <w:rPr>
                <w:sz w:val="15"/>
                <w:szCs w:val="15"/>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5,196</w:t>
            </w:r>
          </w:p>
        </w:tc>
        <w:tc>
          <w:tcPr>
            <w:tcW w:w="80" w:type="dxa"/>
            <w:vAlign w:val="bottom"/>
            <w:shd w:val="clear" w:color="auto" w:fill="CFF0FC"/>
          </w:tcPr>
          <w:p>
            <w:pPr>
              <w:spacing w:after="0"/>
              <w:rPr>
                <w:sz w:val="15"/>
                <w:szCs w:val="15"/>
                <w:color w:val="auto"/>
              </w:rPr>
            </w:pPr>
          </w:p>
        </w:tc>
        <w:tc>
          <w:tcPr>
            <w:tcW w:w="1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(3,787)</w:t>
            </w:r>
          </w:p>
        </w:tc>
        <w:tc>
          <w:tcPr>
            <w:tcW w:w="80" w:type="dxa"/>
            <w:vAlign w:val="bottom"/>
            <w:shd w:val="clear" w:color="auto" w:fill="CFF0FC"/>
          </w:tcPr>
          <w:p>
            <w:pPr>
              <w:spacing w:after="0"/>
              <w:rPr>
                <w:sz w:val="15"/>
                <w:szCs w:val="15"/>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4,855</w:t>
            </w:r>
          </w:p>
        </w:tc>
        <w:tc>
          <w:tcPr>
            <w:tcW w:w="80" w:type="dxa"/>
            <w:vAlign w:val="bottom"/>
            <w:shd w:val="clear" w:color="auto" w:fill="CFF0FC"/>
          </w:tcPr>
          <w:p>
            <w:pPr>
              <w:spacing w:after="0"/>
              <w:rPr>
                <w:sz w:val="15"/>
                <w:szCs w:val="15"/>
                <w:color w:val="auto"/>
              </w:rPr>
            </w:pPr>
          </w:p>
        </w:tc>
        <w:tc>
          <w:tcPr>
            <w:tcW w:w="1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148</w:t>
            </w:r>
          </w:p>
        </w:tc>
        <w:tc>
          <w:tcPr>
            <w:tcW w:w="80" w:type="dxa"/>
            <w:vAlign w:val="bottom"/>
            <w:shd w:val="clear" w:color="auto" w:fill="CFF0FC"/>
          </w:tcPr>
          <w:p>
            <w:pPr>
              <w:spacing w:after="0"/>
              <w:rPr>
                <w:sz w:val="15"/>
                <w:szCs w:val="15"/>
                <w:color w:val="auto"/>
              </w:rPr>
            </w:pPr>
          </w:p>
        </w:tc>
        <w:tc>
          <w:tcPr>
            <w:tcW w:w="18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5,003</w:t>
            </w:r>
          </w:p>
        </w:tc>
        <w:tc>
          <w:tcPr>
            <w:tcW w:w="0" w:type="dxa"/>
            <w:vAlign w:val="bottom"/>
          </w:tcPr>
          <w:p>
            <w:pPr>
              <w:spacing w:after="0"/>
              <w:rPr>
                <w:sz w:val="1"/>
                <w:szCs w:val="1"/>
                <w:color w:val="auto"/>
              </w:rPr>
            </w:pPr>
          </w:p>
        </w:tc>
      </w:tr>
      <w:tr>
        <w:trPr>
          <w:trHeight w:val="205"/>
        </w:trPr>
        <w:tc>
          <w:tcPr>
            <w:tcW w:w="28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shares)</w:t>
            </w:r>
          </w:p>
        </w:tc>
        <w:tc>
          <w:tcPr>
            <w:tcW w:w="980" w:type="dxa"/>
            <w:vAlign w:val="bottom"/>
            <w:tcBorders>
              <w:bottom w:val="single" w:sz="8" w:color="CFF0FC"/>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vMerge w:val="continue"/>
            <w:shd w:val="clear" w:color="auto" w:fill="CFF0FC"/>
          </w:tcPr>
          <w:p>
            <w:pPr>
              <w:spacing w:after="0"/>
              <w:rPr>
                <w:sz w:val="17"/>
                <w:szCs w:val="17"/>
                <w:color w:val="auto"/>
              </w:rPr>
            </w:pPr>
          </w:p>
        </w:tc>
        <w:tc>
          <w:tcPr>
            <w:tcW w:w="780" w:type="dxa"/>
            <w:vAlign w:val="bottom"/>
            <w:tcBorders>
              <w:bottom w:val="single" w:sz="8" w:color="CFF0FC"/>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vMerge w:val="continue"/>
            <w:shd w:val="clear" w:color="auto" w:fill="CFF0FC"/>
          </w:tcPr>
          <w:p>
            <w:pPr>
              <w:spacing w:after="0"/>
              <w:rPr>
                <w:sz w:val="17"/>
                <w:szCs w:val="17"/>
                <w:color w:val="auto"/>
              </w:rPr>
            </w:pPr>
          </w:p>
        </w:tc>
        <w:tc>
          <w:tcPr>
            <w:tcW w:w="780" w:type="dxa"/>
            <w:vAlign w:val="bottom"/>
            <w:tcBorders>
              <w:bottom w:val="single" w:sz="8" w:color="CFF0FC"/>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vMerge w:val="continue"/>
            <w:shd w:val="clear" w:color="auto" w:fill="CFF0FC"/>
          </w:tcPr>
          <w:p>
            <w:pPr>
              <w:spacing w:after="0"/>
              <w:rPr>
                <w:sz w:val="17"/>
                <w:szCs w:val="17"/>
                <w:color w:val="auto"/>
              </w:rPr>
            </w:pPr>
          </w:p>
        </w:tc>
        <w:tc>
          <w:tcPr>
            <w:tcW w:w="800" w:type="dxa"/>
            <w:vAlign w:val="bottom"/>
            <w:tcBorders>
              <w:bottom w:val="single" w:sz="8" w:color="CFF0FC"/>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vMerge w:val="continue"/>
            <w:shd w:val="clear" w:color="auto" w:fill="CFF0FC"/>
          </w:tcPr>
          <w:p>
            <w:pPr>
              <w:spacing w:after="0"/>
              <w:rPr>
                <w:sz w:val="17"/>
                <w:szCs w:val="17"/>
                <w:color w:val="auto"/>
              </w:rPr>
            </w:pPr>
          </w:p>
        </w:tc>
        <w:tc>
          <w:tcPr>
            <w:tcW w:w="900" w:type="dxa"/>
            <w:vAlign w:val="bottom"/>
            <w:tcBorders>
              <w:bottom w:val="single" w:sz="8" w:color="CFF0FC"/>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vMerge w:val="continue"/>
            <w:shd w:val="clear" w:color="auto" w:fill="CFF0FC"/>
          </w:tcPr>
          <w:p>
            <w:pPr>
              <w:spacing w:after="0"/>
              <w:rPr>
                <w:sz w:val="17"/>
                <w:szCs w:val="17"/>
                <w:color w:val="auto"/>
              </w:rPr>
            </w:pPr>
          </w:p>
        </w:tc>
        <w:tc>
          <w:tcPr>
            <w:tcW w:w="860" w:type="dxa"/>
            <w:vAlign w:val="bottom"/>
            <w:tcBorders>
              <w:bottom w:val="single" w:sz="8" w:color="CFF0FC"/>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vMerge w:val="continue"/>
            <w:shd w:val="clear" w:color="auto" w:fill="CFF0FC"/>
          </w:tcPr>
          <w:p>
            <w:pPr>
              <w:spacing w:after="0"/>
              <w:rPr>
                <w:sz w:val="17"/>
                <w:szCs w:val="17"/>
                <w:color w:val="auto"/>
              </w:rPr>
            </w:pPr>
          </w:p>
        </w:tc>
        <w:tc>
          <w:tcPr>
            <w:tcW w:w="880" w:type="dxa"/>
            <w:vAlign w:val="bottom"/>
            <w:tcBorders>
              <w:bottom w:val="single" w:sz="8" w:color="CFF0FC"/>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vMerge w:val="continue"/>
            <w:shd w:val="clear" w:color="auto" w:fill="CFF0FC"/>
          </w:tcPr>
          <w:p>
            <w:pPr>
              <w:spacing w:after="0"/>
              <w:rPr>
                <w:sz w:val="17"/>
                <w:szCs w:val="17"/>
                <w:color w:val="auto"/>
              </w:rPr>
            </w:pPr>
          </w:p>
        </w:tc>
        <w:tc>
          <w:tcPr>
            <w:tcW w:w="800" w:type="dxa"/>
            <w:vAlign w:val="bottom"/>
            <w:tcBorders>
              <w:bottom w:val="single" w:sz="8" w:color="CFF0FC"/>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 (loss)</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0" w:type="dxa"/>
            <w:vAlign w:val="bottom"/>
          </w:tcPr>
          <w:p>
            <w:pPr>
              <w:spacing w:after="0"/>
              <w:rPr>
                <w:sz w:val="1"/>
                <w:szCs w:val="1"/>
                <w:color w:val="auto"/>
              </w:rPr>
            </w:pPr>
          </w:p>
        </w:tc>
      </w:tr>
      <w:tr>
        <w:trPr>
          <w:trHeight w:val="37"/>
        </w:trPr>
        <w:tc>
          <w:tcPr>
            <w:tcW w:w="28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8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6"/>
        </w:trPr>
        <w:tc>
          <w:tcPr>
            <w:tcW w:w="28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Total Comprehensive Income (Loss)</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257</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289</w:t>
            </w:r>
          </w:p>
        </w:tc>
        <w:tc>
          <w:tcPr>
            <w:tcW w:w="0" w:type="dxa"/>
            <w:vAlign w:val="bottom"/>
          </w:tcPr>
          <w:p>
            <w:pPr>
              <w:spacing w:after="0"/>
              <w:rPr>
                <w:sz w:val="1"/>
                <w:szCs w:val="1"/>
                <w:color w:val="auto"/>
              </w:rPr>
            </w:pPr>
          </w:p>
        </w:tc>
      </w:tr>
      <w:tr>
        <w:trPr>
          <w:trHeight w:val="37"/>
        </w:trPr>
        <w:tc>
          <w:tcPr>
            <w:tcW w:w="28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8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9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3"/>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Dividends declared</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37"/>
        </w:trPr>
        <w:tc>
          <w:tcPr>
            <w:tcW w:w="28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8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Common stock issued from treasury</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365,245</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3"/>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2025</w:t>
            </w:r>
          </w:p>
        </w:tc>
        <w:tc>
          <w:tcPr>
            <w:tcW w:w="9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28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(after deducting 38,273,938 common treasury</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286,013,969</w:t>
            </w:r>
          </w:p>
        </w:tc>
        <w:tc>
          <w:tcPr>
            <w:tcW w:w="80" w:type="dxa"/>
            <w:vAlign w:val="bottom"/>
            <w:shd w:val="clear" w:color="auto" w:fill="CFF0FC"/>
          </w:tcPr>
          <w:p>
            <w:pPr>
              <w:spacing w:after="0"/>
              <w:rPr>
                <w:sz w:val="15"/>
                <w:szCs w:val="15"/>
                <w:color w:val="auto"/>
              </w:rPr>
            </w:pPr>
          </w:p>
        </w:tc>
        <w:tc>
          <w:tcPr>
            <w:tcW w:w="16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286</w:t>
            </w:r>
          </w:p>
        </w:tc>
        <w:tc>
          <w:tcPr>
            <w:tcW w:w="80" w:type="dxa"/>
            <w:vAlign w:val="bottom"/>
            <w:shd w:val="clear" w:color="auto" w:fill="CFF0FC"/>
          </w:tcPr>
          <w:p>
            <w:pPr>
              <w:spacing w:after="0"/>
              <w:rPr>
                <w:sz w:val="15"/>
                <w:szCs w:val="15"/>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3,164</w:t>
            </w:r>
          </w:p>
        </w:tc>
        <w:tc>
          <w:tcPr>
            <w:tcW w:w="80" w:type="dxa"/>
            <w:vAlign w:val="bottom"/>
            <w:shd w:val="clear" w:color="auto" w:fill="CFF0FC"/>
          </w:tcPr>
          <w:p>
            <w:pPr>
              <w:spacing w:after="0"/>
              <w:rPr>
                <w:sz w:val="15"/>
                <w:szCs w:val="15"/>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5,450</w:t>
            </w:r>
          </w:p>
        </w:tc>
        <w:tc>
          <w:tcPr>
            <w:tcW w:w="80" w:type="dxa"/>
            <w:vAlign w:val="bottom"/>
            <w:shd w:val="clear" w:color="auto" w:fill="CFF0FC"/>
          </w:tcPr>
          <w:p>
            <w:pPr>
              <w:spacing w:after="0"/>
              <w:rPr>
                <w:sz w:val="15"/>
                <w:szCs w:val="15"/>
                <w:color w:val="auto"/>
              </w:rPr>
            </w:pPr>
          </w:p>
        </w:tc>
        <w:tc>
          <w:tcPr>
            <w:tcW w:w="1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(3,784)</w:t>
            </w:r>
          </w:p>
        </w:tc>
        <w:tc>
          <w:tcPr>
            <w:tcW w:w="80" w:type="dxa"/>
            <w:vAlign w:val="bottom"/>
            <w:shd w:val="clear" w:color="auto" w:fill="CFF0FC"/>
          </w:tcPr>
          <w:p>
            <w:pPr>
              <w:spacing w:after="0"/>
              <w:rPr>
                <w:sz w:val="15"/>
                <w:szCs w:val="15"/>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5,116</w:t>
            </w:r>
          </w:p>
        </w:tc>
        <w:tc>
          <w:tcPr>
            <w:tcW w:w="80" w:type="dxa"/>
            <w:vAlign w:val="bottom"/>
            <w:shd w:val="clear" w:color="auto" w:fill="CFF0FC"/>
          </w:tcPr>
          <w:p>
            <w:pPr>
              <w:spacing w:after="0"/>
              <w:rPr>
                <w:sz w:val="15"/>
                <w:szCs w:val="15"/>
                <w:color w:val="auto"/>
              </w:rPr>
            </w:pPr>
          </w:p>
        </w:tc>
        <w:tc>
          <w:tcPr>
            <w:tcW w:w="1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178</w:t>
            </w:r>
          </w:p>
        </w:tc>
        <w:tc>
          <w:tcPr>
            <w:tcW w:w="80" w:type="dxa"/>
            <w:vAlign w:val="bottom"/>
            <w:shd w:val="clear" w:color="auto" w:fill="CFF0FC"/>
          </w:tcPr>
          <w:p>
            <w:pPr>
              <w:spacing w:after="0"/>
              <w:rPr>
                <w:sz w:val="15"/>
                <w:szCs w:val="15"/>
                <w:color w:val="auto"/>
              </w:rPr>
            </w:pPr>
          </w:p>
        </w:tc>
        <w:tc>
          <w:tcPr>
            <w:tcW w:w="18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5,294</w:t>
            </w:r>
          </w:p>
        </w:tc>
        <w:tc>
          <w:tcPr>
            <w:tcW w:w="0" w:type="dxa"/>
            <w:vAlign w:val="bottom"/>
          </w:tcPr>
          <w:p>
            <w:pPr>
              <w:spacing w:after="0"/>
              <w:rPr>
                <w:sz w:val="1"/>
                <w:szCs w:val="1"/>
                <w:color w:val="auto"/>
              </w:rPr>
            </w:pPr>
          </w:p>
        </w:tc>
      </w:tr>
      <w:tr>
        <w:trPr>
          <w:trHeight w:val="213"/>
        </w:trPr>
        <w:tc>
          <w:tcPr>
            <w:tcW w:w="28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shares)</w:t>
            </w:r>
          </w:p>
        </w:tc>
        <w:tc>
          <w:tcPr>
            <w:tcW w:w="980" w:type="dxa"/>
            <w:vAlign w:val="bottom"/>
            <w:tcBorders>
              <w:bottom w:val="single" w:sz="8" w:color="auto"/>
            </w:tcBorders>
            <w:vMerge w:val="continue"/>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vMerge w:val="continue"/>
            <w:shd w:val="clear" w:color="auto" w:fill="CFF0FC"/>
          </w:tcPr>
          <w:p>
            <w:pPr>
              <w:spacing w:after="0"/>
              <w:rPr>
                <w:sz w:val="18"/>
                <w:szCs w:val="18"/>
                <w:color w:val="auto"/>
              </w:rPr>
            </w:pPr>
          </w:p>
        </w:tc>
        <w:tc>
          <w:tcPr>
            <w:tcW w:w="780" w:type="dxa"/>
            <w:vAlign w:val="bottom"/>
            <w:tcBorders>
              <w:bottom w:val="single" w:sz="8" w:color="auto"/>
            </w:tcBorders>
            <w:vMerge w:val="continue"/>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vMerge w:val="continue"/>
            <w:shd w:val="clear" w:color="auto" w:fill="CFF0FC"/>
          </w:tcPr>
          <w:p>
            <w:pPr>
              <w:spacing w:after="0"/>
              <w:rPr>
                <w:sz w:val="18"/>
                <w:szCs w:val="18"/>
                <w:color w:val="auto"/>
              </w:rPr>
            </w:pPr>
          </w:p>
        </w:tc>
        <w:tc>
          <w:tcPr>
            <w:tcW w:w="780" w:type="dxa"/>
            <w:vAlign w:val="bottom"/>
            <w:tcBorders>
              <w:bottom w:val="single" w:sz="8" w:color="auto"/>
            </w:tcBorders>
            <w:vMerge w:val="continue"/>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vMerge w:val="continue"/>
            <w:shd w:val="clear" w:color="auto" w:fill="CFF0FC"/>
          </w:tcPr>
          <w:p>
            <w:pPr>
              <w:spacing w:after="0"/>
              <w:rPr>
                <w:sz w:val="18"/>
                <w:szCs w:val="18"/>
                <w:color w:val="auto"/>
              </w:rPr>
            </w:pPr>
          </w:p>
        </w:tc>
        <w:tc>
          <w:tcPr>
            <w:tcW w:w="800" w:type="dxa"/>
            <w:vAlign w:val="bottom"/>
            <w:tcBorders>
              <w:bottom w:val="single" w:sz="8" w:color="auto"/>
            </w:tcBorders>
            <w:vMerge w:val="continue"/>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vMerge w:val="continue"/>
            <w:shd w:val="clear" w:color="auto" w:fill="CFF0FC"/>
          </w:tcPr>
          <w:p>
            <w:pPr>
              <w:spacing w:after="0"/>
              <w:rPr>
                <w:sz w:val="18"/>
                <w:szCs w:val="18"/>
                <w:color w:val="auto"/>
              </w:rPr>
            </w:pPr>
          </w:p>
        </w:tc>
        <w:tc>
          <w:tcPr>
            <w:tcW w:w="900" w:type="dxa"/>
            <w:vAlign w:val="bottom"/>
            <w:tcBorders>
              <w:bottom w:val="single" w:sz="8" w:color="auto"/>
            </w:tcBorders>
            <w:vMerge w:val="continue"/>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vMerge w:val="continue"/>
            <w:shd w:val="clear" w:color="auto" w:fill="CFF0FC"/>
          </w:tcPr>
          <w:p>
            <w:pPr>
              <w:spacing w:after="0"/>
              <w:rPr>
                <w:sz w:val="18"/>
                <w:szCs w:val="18"/>
                <w:color w:val="auto"/>
              </w:rPr>
            </w:pPr>
          </w:p>
        </w:tc>
        <w:tc>
          <w:tcPr>
            <w:tcW w:w="860" w:type="dxa"/>
            <w:vAlign w:val="bottom"/>
            <w:tcBorders>
              <w:bottom w:val="single" w:sz="8" w:color="auto"/>
            </w:tcBorders>
            <w:vMerge w:val="continue"/>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vMerge w:val="continue"/>
            <w:shd w:val="clear" w:color="auto" w:fill="CFF0FC"/>
          </w:tcPr>
          <w:p>
            <w:pPr>
              <w:spacing w:after="0"/>
              <w:rPr>
                <w:sz w:val="18"/>
                <w:szCs w:val="18"/>
                <w:color w:val="auto"/>
              </w:rPr>
            </w:pPr>
          </w:p>
        </w:tc>
        <w:tc>
          <w:tcPr>
            <w:tcW w:w="880" w:type="dxa"/>
            <w:vAlign w:val="bottom"/>
            <w:tcBorders>
              <w:bottom w:val="single" w:sz="8" w:color="auto"/>
            </w:tcBorders>
            <w:vMerge w:val="continue"/>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vMerge w:val="continue"/>
            <w:shd w:val="clear" w:color="auto" w:fill="CFF0FC"/>
          </w:tcPr>
          <w:p>
            <w:pPr>
              <w:spacing w:after="0"/>
              <w:rPr>
                <w:sz w:val="18"/>
                <w:szCs w:val="18"/>
                <w:color w:val="auto"/>
              </w:rPr>
            </w:pPr>
          </w:p>
        </w:tc>
        <w:tc>
          <w:tcPr>
            <w:tcW w:w="800" w:type="dxa"/>
            <w:vAlign w:val="bottom"/>
            <w:tcBorders>
              <w:bottom w:val="single" w:sz="8" w:color="auto"/>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7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7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8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9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8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dividends declared or paid during the three and six months ended June 30, 2025.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left="340" w:right="2760"/>
        <w:spacing w:after="0" w:line="268" w:lineRule="auto"/>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 CONSOLIDATED STATEMENTS OF SHAREHOLDERS’ EQUITY (Unaudited)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8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Minority</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80" w:type="dxa"/>
            <w:vAlign w:val="bottom"/>
          </w:tcPr>
          <w:p>
            <w:pPr>
              <w:spacing w:after="0"/>
              <w:rPr>
                <w:sz w:val="15"/>
                <w:szCs w:val="15"/>
                <w:color w:val="auto"/>
              </w:rPr>
            </w:pPr>
          </w:p>
        </w:tc>
        <w:tc>
          <w:tcPr>
            <w:tcW w:w="2080" w:type="dxa"/>
            <w:vAlign w:val="bottom"/>
            <w:gridSpan w:val="5"/>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5"/>
                <w:szCs w:val="15"/>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5"/>
                <w:szCs w:val="15"/>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Goodyear</w:t>
            </w: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180" w:type="dxa"/>
            <w:vAlign w:val="bottom"/>
          </w:tcPr>
          <w:p>
            <w:pPr>
              <w:spacing w:after="0"/>
              <w:rPr>
                <w:sz w:val="15"/>
                <w:szCs w:val="15"/>
                <w:color w:val="auto"/>
              </w:rPr>
            </w:pPr>
          </w:p>
        </w:tc>
        <w:tc>
          <w:tcPr>
            <w:tcW w:w="8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9"/>
        </w:trPr>
        <w:tc>
          <w:tcPr>
            <w:tcW w:w="2880" w:type="dxa"/>
            <w:vAlign w:val="bottom"/>
          </w:tcPr>
          <w:p>
            <w:pPr>
              <w:spacing w:after="0"/>
              <w:rPr>
                <w:sz w:val="9"/>
                <w:szCs w:val="9"/>
                <w:color w:val="auto"/>
              </w:rPr>
            </w:pPr>
          </w:p>
        </w:tc>
        <w:tc>
          <w:tcPr>
            <w:tcW w:w="2080" w:type="dxa"/>
            <w:vAlign w:val="bottom"/>
            <w:gridSpan w:val="5"/>
            <w:vMerge w:val="continue"/>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080" w:type="dxa"/>
            <w:vAlign w:val="bottom"/>
            <w:gridSpan w:val="3"/>
            <w:vMerge w:val="restart"/>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80" w:type="dxa"/>
            <w:vAlign w:val="bottom"/>
            <w:gridSpan w:val="3"/>
            <w:vMerge w:val="restart"/>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060" w:type="dxa"/>
            <w:vAlign w:val="bottom"/>
            <w:gridSpan w:val="3"/>
            <w:vMerge w:val="restart"/>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Equity — Non-</w:t>
            </w:r>
          </w:p>
        </w:tc>
        <w:tc>
          <w:tcPr>
            <w:tcW w:w="980" w:type="dxa"/>
            <w:vAlign w:val="bottom"/>
            <w:gridSpan w:val="2"/>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37"/>
        </w:trPr>
        <w:tc>
          <w:tcPr>
            <w:tcW w:w="288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1060" w:type="dxa"/>
            <w:vAlign w:val="bottom"/>
            <w:gridSpan w:val="3"/>
            <w:vMerge w:val="continue"/>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share data)</w:t>
            </w: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7"/>
                <w:szCs w:val="17"/>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7"/>
                <w:szCs w:val="17"/>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16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7"/>
                <w:szCs w:val="17"/>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7"/>
                <w:szCs w:val="17"/>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180" w:type="dxa"/>
            <w:vAlign w:val="bottom"/>
          </w:tcPr>
          <w:p>
            <w:pPr>
              <w:spacing w:after="0"/>
              <w:rPr>
                <w:sz w:val="17"/>
                <w:szCs w:val="17"/>
                <w:color w:val="auto"/>
              </w:rPr>
            </w:pPr>
          </w:p>
        </w:tc>
        <w:tc>
          <w:tcPr>
            <w:tcW w:w="8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2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288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28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(after deducting 40,501,644 common treasury</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283,786,263</w:t>
            </w:r>
          </w:p>
        </w:tc>
        <w:tc>
          <w:tcPr>
            <w:tcW w:w="80" w:type="dxa"/>
            <w:vAlign w:val="bottom"/>
            <w:shd w:val="clear" w:color="auto" w:fill="CFF0FC"/>
          </w:tcPr>
          <w:p>
            <w:pPr>
              <w:spacing w:after="0"/>
              <w:rPr>
                <w:sz w:val="15"/>
                <w:szCs w:val="15"/>
                <w:color w:val="auto"/>
              </w:rPr>
            </w:pPr>
          </w:p>
        </w:tc>
        <w:tc>
          <w:tcPr>
            <w:tcW w:w="16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284</w:t>
            </w:r>
          </w:p>
        </w:tc>
        <w:tc>
          <w:tcPr>
            <w:tcW w:w="80" w:type="dxa"/>
            <w:vAlign w:val="bottom"/>
            <w:shd w:val="clear" w:color="auto" w:fill="CFF0FC"/>
          </w:tcPr>
          <w:p>
            <w:pPr>
              <w:spacing w:after="0"/>
              <w:rPr>
                <w:sz w:val="15"/>
                <w:szCs w:val="15"/>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3,133</w:t>
            </w:r>
          </w:p>
        </w:tc>
        <w:tc>
          <w:tcPr>
            <w:tcW w:w="80" w:type="dxa"/>
            <w:vAlign w:val="bottom"/>
            <w:shd w:val="clear" w:color="auto" w:fill="CFF0FC"/>
          </w:tcPr>
          <w:p>
            <w:pPr>
              <w:spacing w:after="0"/>
              <w:rPr>
                <w:sz w:val="15"/>
                <w:szCs w:val="15"/>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5,035</w:t>
            </w:r>
          </w:p>
        </w:tc>
        <w:tc>
          <w:tcPr>
            <w:tcW w:w="80" w:type="dxa"/>
            <w:vAlign w:val="bottom"/>
            <w:shd w:val="clear" w:color="auto" w:fill="CFF0FC"/>
          </w:tcPr>
          <w:p>
            <w:pPr>
              <w:spacing w:after="0"/>
              <w:rPr>
                <w:sz w:val="15"/>
                <w:szCs w:val="15"/>
                <w:color w:val="auto"/>
              </w:rPr>
            </w:pPr>
          </w:p>
        </w:tc>
        <w:tc>
          <w:tcPr>
            <w:tcW w:w="1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(3,835)</w:t>
            </w:r>
          </w:p>
        </w:tc>
        <w:tc>
          <w:tcPr>
            <w:tcW w:w="80" w:type="dxa"/>
            <w:vAlign w:val="bottom"/>
            <w:shd w:val="clear" w:color="auto" w:fill="CFF0FC"/>
          </w:tcPr>
          <w:p>
            <w:pPr>
              <w:spacing w:after="0"/>
              <w:rPr>
                <w:sz w:val="15"/>
                <w:szCs w:val="15"/>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4,617</w:t>
            </w:r>
          </w:p>
        </w:tc>
        <w:tc>
          <w:tcPr>
            <w:tcW w:w="80" w:type="dxa"/>
            <w:vAlign w:val="bottom"/>
            <w:shd w:val="clear" w:color="auto" w:fill="CFF0FC"/>
          </w:tcPr>
          <w:p>
            <w:pPr>
              <w:spacing w:after="0"/>
              <w:rPr>
                <w:sz w:val="15"/>
                <w:szCs w:val="15"/>
                <w:color w:val="auto"/>
              </w:rPr>
            </w:pPr>
          </w:p>
        </w:tc>
        <w:tc>
          <w:tcPr>
            <w:tcW w:w="1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162</w:t>
            </w:r>
          </w:p>
        </w:tc>
        <w:tc>
          <w:tcPr>
            <w:tcW w:w="80" w:type="dxa"/>
            <w:vAlign w:val="bottom"/>
            <w:shd w:val="clear" w:color="auto" w:fill="CFF0FC"/>
          </w:tcPr>
          <w:p>
            <w:pPr>
              <w:spacing w:after="0"/>
              <w:rPr>
                <w:sz w:val="15"/>
                <w:szCs w:val="15"/>
                <w:color w:val="auto"/>
              </w:rPr>
            </w:pPr>
          </w:p>
        </w:tc>
        <w:tc>
          <w:tcPr>
            <w:tcW w:w="18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4,779</w:t>
            </w:r>
          </w:p>
        </w:tc>
        <w:tc>
          <w:tcPr>
            <w:tcW w:w="0" w:type="dxa"/>
            <w:vAlign w:val="bottom"/>
          </w:tcPr>
          <w:p>
            <w:pPr>
              <w:spacing w:after="0"/>
              <w:rPr>
                <w:sz w:val="1"/>
                <w:szCs w:val="1"/>
                <w:color w:val="auto"/>
              </w:rPr>
            </w:pPr>
          </w:p>
        </w:tc>
      </w:tr>
      <w:tr>
        <w:trPr>
          <w:trHeight w:val="205"/>
        </w:trPr>
        <w:tc>
          <w:tcPr>
            <w:tcW w:w="28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shares)</w:t>
            </w:r>
          </w:p>
        </w:tc>
        <w:tc>
          <w:tcPr>
            <w:tcW w:w="980" w:type="dxa"/>
            <w:vAlign w:val="bottom"/>
            <w:tcBorders>
              <w:bottom w:val="single" w:sz="8" w:color="CFF0FC"/>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vMerge w:val="continue"/>
            <w:shd w:val="clear" w:color="auto" w:fill="CFF0FC"/>
          </w:tcPr>
          <w:p>
            <w:pPr>
              <w:spacing w:after="0"/>
              <w:rPr>
                <w:sz w:val="17"/>
                <w:szCs w:val="17"/>
                <w:color w:val="auto"/>
              </w:rPr>
            </w:pPr>
          </w:p>
        </w:tc>
        <w:tc>
          <w:tcPr>
            <w:tcW w:w="780" w:type="dxa"/>
            <w:vAlign w:val="bottom"/>
            <w:tcBorders>
              <w:bottom w:val="single" w:sz="8" w:color="CFF0FC"/>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vMerge w:val="continue"/>
            <w:shd w:val="clear" w:color="auto" w:fill="CFF0FC"/>
          </w:tcPr>
          <w:p>
            <w:pPr>
              <w:spacing w:after="0"/>
              <w:rPr>
                <w:sz w:val="17"/>
                <w:szCs w:val="17"/>
                <w:color w:val="auto"/>
              </w:rPr>
            </w:pPr>
          </w:p>
        </w:tc>
        <w:tc>
          <w:tcPr>
            <w:tcW w:w="780" w:type="dxa"/>
            <w:vAlign w:val="bottom"/>
            <w:tcBorders>
              <w:bottom w:val="single" w:sz="8" w:color="CFF0FC"/>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vMerge w:val="continue"/>
            <w:shd w:val="clear" w:color="auto" w:fill="CFF0FC"/>
          </w:tcPr>
          <w:p>
            <w:pPr>
              <w:spacing w:after="0"/>
              <w:rPr>
                <w:sz w:val="17"/>
                <w:szCs w:val="17"/>
                <w:color w:val="auto"/>
              </w:rPr>
            </w:pPr>
          </w:p>
        </w:tc>
        <w:tc>
          <w:tcPr>
            <w:tcW w:w="800" w:type="dxa"/>
            <w:vAlign w:val="bottom"/>
            <w:tcBorders>
              <w:bottom w:val="single" w:sz="8" w:color="CFF0FC"/>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vMerge w:val="continue"/>
            <w:shd w:val="clear" w:color="auto" w:fill="CFF0FC"/>
          </w:tcPr>
          <w:p>
            <w:pPr>
              <w:spacing w:after="0"/>
              <w:rPr>
                <w:sz w:val="17"/>
                <w:szCs w:val="17"/>
                <w:color w:val="auto"/>
              </w:rPr>
            </w:pPr>
          </w:p>
        </w:tc>
        <w:tc>
          <w:tcPr>
            <w:tcW w:w="900" w:type="dxa"/>
            <w:vAlign w:val="bottom"/>
            <w:tcBorders>
              <w:bottom w:val="single" w:sz="8" w:color="CFF0FC"/>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vMerge w:val="continue"/>
            <w:shd w:val="clear" w:color="auto" w:fill="CFF0FC"/>
          </w:tcPr>
          <w:p>
            <w:pPr>
              <w:spacing w:after="0"/>
              <w:rPr>
                <w:sz w:val="17"/>
                <w:szCs w:val="17"/>
                <w:color w:val="auto"/>
              </w:rPr>
            </w:pPr>
          </w:p>
        </w:tc>
        <w:tc>
          <w:tcPr>
            <w:tcW w:w="860" w:type="dxa"/>
            <w:vAlign w:val="bottom"/>
            <w:tcBorders>
              <w:bottom w:val="single" w:sz="8" w:color="CFF0FC"/>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vMerge w:val="continue"/>
            <w:shd w:val="clear" w:color="auto" w:fill="CFF0FC"/>
          </w:tcPr>
          <w:p>
            <w:pPr>
              <w:spacing w:after="0"/>
              <w:rPr>
                <w:sz w:val="17"/>
                <w:szCs w:val="17"/>
                <w:color w:val="auto"/>
              </w:rPr>
            </w:pPr>
          </w:p>
        </w:tc>
        <w:tc>
          <w:tcPr>
            <w:tcW w:w="880" w:type="dxa"/>
            <w:vAlign w:val="bottom"/>
            <w:tcBorders>
              <w:bottom w:val="single" w:sz="8" w:color="CFF0FC"/>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vMerge w:val="continue"/>
            <w:shd w:val="clear" w:color="auto" w:fill="CFF0FC"/>
          </w:tcPr>
          <w:p>
            <w:pPr>
              <w:spacing w:after="0"/>
              <w:rPr>
                <w:sz w:val="17"/>
                <w:szCs w:val="17"/>
                <w:color w:val="auto"/>
              </w:rPr>
            </w:pPr>
          </w:p>
        </w:tc>
        <w:tc>
          <w:tcPr>
            <w:tcW w:w="800" w:type="dxa"/>
            <w:vAlign w:val="bottom"/>
            <w:tcBorders>
              <w:bottom w:val="single" w:sz="8" w:color="CFF0FC"/>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 (loss)</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37"/>
        </w:trPr>
        <w:tc>
          <w:tcPr>
            <w:tcW w:w="28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8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6"/>
        </w:trPr>
        <w:tc>
          <w:tcPr>
            <w:tcW w:w="28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Total Comprehensive Income (Loss)</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(53)</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(57)</w:t>
            </w:r>
          </w:p>
        </w:tc>
        <w:tc>
          <w:tcPr>
            <w:tcW w:w="0" w:type="dxa"/>
            <w:vAlign w:val="bottom"/>
          </w:tcPr>
          <w:p>
            <w:pPr>
              <w:spacing w:after="0"/>
              <w:rPr>
                <w:sz w:val="1"/>
                <w:szCs w:val="1"/>
                <w:color w:val="auto"/>
              </w:rPr>
            </w:pPr>
          </w:p>
        </w:tc>
      </w:tr>
      <w:tr>
        <w:trPr>
          <w:trHeight w:val="37"/>
        </w:trPr>
        <w:tc>
          <w:tcPr>
            <w:tcW w:w="28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8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9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93"/>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Dividends declared</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37"/>
        </w:trPr>
        <w:tc>
          <w:tcPr>
            <w:tcW w:w="28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8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Common stock issued from treasury</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900,744</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73"/>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9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28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(after deducting 39,600,900 common treasury</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284,687,007</w:t>
            </w:r>
          </w:p>
        </w:tc>
        <w:tc>
          <w:tcPr>
            <w:tcW w:w="80" w:type="dxa"/>
            <w:vAlign w:val="bottom"/>
            <w:shd w:val="clear" w:color="auto" w:fill="CFF0FC"/>
          </w:tcPr>
          <w:p>
            <w:pPr>
              <w:spacing w:after="0"/>
              <w:rPr>
                <w:sz w:val="15"/>
                <w:szCs w:val="15"/>
                <w:color w:val="auto"/>
              </w:rPr>
            </w:pPr>
          </w:p>
        </w:tc>
        <w:tc>
          <w:tcPr>
            <w:tcW w:w="16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285</w:t>
            </w:r>
          </w:p>
        </w:tc>
        <w:tc>
          <w:tcPr>
            <w:tcW w:w="80" w:type="dxa"/>
            <w:vAlign w:val="bottom"/>
            <w:shd w:val="clear" w:color="auto" w:fill="CFF0FC"/>
          </w:tcPr>
          <w:p>
            <w:pPr>
              <w:spacing w:after="0"/>
              <w:rPr>
                <w:sz w:val="15"/>
                <w:szCs w:val="15"/>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3,140</w:t>
            </w:r>
          </w:p>
        </w:tc>
        <w:tc>
          <w:tcPr>
            <w:tcW w:w="80" w:type="dxa"/>
            <w:vAlign w:val="bottom"/>
            <w:shd w:val="clear" w:color="auto" w:fill="CFF0FC"/>
          </w:tcPr>
          <w:p>
            <w:pPr>
              <w:spacing w:after="0"/>
              <w:rPr>
                <w:sz w:val="15"/>
                <w:szCs w:val="15"/>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4,966</w:t>
            </w:r>
          </w:p>
        </w:tc>
        <w:tc>
          <w:tcPr>
            <w:tcW w:w="80" w:type="dxa"/>
            <w:vAlign w:val="bottom"/>
            <w:shd w:val="clear" w:color="auto" w:fill="CFF0FC"/>
          </w:tcPr>
          <w:p>
            <w:pPr>
              <w:spacing w:after="0"/>
              <w:rPr>
                <w:sz w:val="15"/>
                <w:szCs w:val="15"/>
                <w:color w:val="auto"/>
              </w:rPr>
            </w:pPr>
          </w:p>
        </w:tc>
        <w:tc>
          <w:tcPr>
            <w:tcW w:w="1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(3,819)</w:t>
            </w:r>
          </w:p>
        </w:tc>
        <w:tc>
          <w:tcPr>
            <w:tcW w:w="80" w:type="dxa"/>
            <w:vAlign w:val="bottom"/>
            <w:shd w:val="clear" w:color="auto" w:fill="CFF0FC"/>
          </w:tcPr>
          <w:p>
            <w:pPr>
              <w:spacing w:after="0"/>
              <w:rPr>
                <w:sz w:val="15"/>
                <w:szCs w:val="15"/>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4,572</w:t>
            </w:r>
          </w:p>
        </w:tc>
        <w:tc>
          <w:tcPr>
            <w:tcW w:w="80" w:type="dxa"/>
            <w:vAlign w:val="bottom"/>
            <w:shd w:val="clear" w:color="auto" w:fill="CFF0FC"/>
          </w:tcPr>
          <w:p>
            <w:pPr>
              <w:spacing w:after="0"/>
              <w:rPr>
                <w:sz w:val="15"/>
                <w:szCs w:val="15"/>
                <w:color w:val="auto"/>
              </w:rPr>
            </w:pPr>
          </w:p>
        </w:tc>
        <w:tc>
          <w:tcPr>
            <w:tcW w:w="1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156</w:t>
            </w:r>
          </w:p>
        </w:tc>
        <w:tc>
          <w:tcPr>
            <w:tcW w:w="80" w:type="dxa"/>
            <w:vAlign w:val="bottom"/>
            <w:shd w:val="clear" w:color="auto" w:fill="CFF0FC"/>
          </w:tcPr>
          <w:p>
            <w:pPr>
              <w:spacing w:after="0"/>
              <w:rPr>
                <w:sz w:val="15"/>
                <w:szCs w:val="15"/>
                <w:color w:val="auto"/>
              </w:rPr>
            </w:pPr>
          </w:p>
        </w:tc>
        <w:tc>
          <w:tcPr>
            <w:tcW w:w="18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4,728</w:t>
            </w:r>
          </w:p>
        </w:tc>
        <w:tc>
          <w:tcPr>
            <w:tcW w:w="0" w:type="dxa"/>
            <w:vAlign w:val="bottom"/>
          </w:tcPr>
          <w:p>
            <w:pPr>
              <w:spacing w:after="0"/>
              <w:rPr>
                <w:sz w:val="1"/>
                <w:szCs w:val="1"/>
                <w:color w:val="auto"/>
              </w:rPr>
            </w:pPr>
          </w:p>
        </w:tc>
      </w:tr>
      <w:tr>
        <w:trPr>
          <w:trHeight w:val="205"/>
        </w:trPr>
        <w:tc>
          <w:tcPr>
            <w:tcW w:w="28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shares)</w:t>
            </w:r>
          </w:p>
        </w:tc>
        <w:tc>
          <w:tcPr>
            <w:tcW w:w="980" w:type="dxa"/>
            <w:vAlign w:val="bottom"/>
            <w:tcBorders>
              <w:bottom w:val="single" w:sz="8" w:color="CFF0FC"/>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vMerge w:val="continue"/>
            <w:shd w:val="clear" w:color="auto" w:fill="CFF0FC"/>
          </w:tcPr>
          <w:p>
            <w:pPr>
              <w:spacing w:after="0"/>
              <w:rPr>
                <w:sz w:val="17"/>
                <w:szCs w:val="17"/>
                <w:color w:val="auto"/>
              </w:rPr>
            </w:pPr>
          </w:p>
        </w:tc>
        <w:tc>
          <w:tcPr>
            <w:tcW w:w="780" w:type="dxa"/>
            <w:vAlign w:val="bottom"/>
            <w:tcBorders>
              <w:bottom w:val="single" w:sz="8" w:color="CFF0FC"/>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vMerge w:val="continue"/>
            <w:shd w:val="clear" w:color="auto" w:fill="CFF0FC"/>
          </w:tcPr>
          <w:p>
            <w:pPr>
              <w:spacing w:after="0"/>
              <w:rPr>
                <w:sz w:val="17"/>
                <w:szCs w:val="17"/>
                <w:color w:val="auto"/>
              </w:rPr>
            </w:pPr>
          </w:p>
        </w:tc>
        <w:tc>
          <w:tcPr>
            <w:tcW w:w="780" w:type="dxa"/>
            <w:vAlign w:val="bottom"/>
            <w:tcBorders>
              <w:bottom w:val="single" w:sz="8" w:color="CFF0FC"/>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vMerge w:val="continue"/>
            <w:shd w:val="clear" w:color="auto" w:fill="CFF0FC"/>
          </w:tcPr>
          <w:p>
            <w:pPr>
              <w:spacing w:after="0"/>
              <w:rPr>
                <w:sz w:val="17"/>
                <w:szCs w:val="17"/>
                <w:color w:val="auto"/>
              </w:rPr>
            </w:pPr>
          </w:p>
        </w:tc>
        <w:tc>
          <w:tcPr>
            <w:tcW w:w="800" w:type="dxa"/>
            <w:vAlign w:val="bottom"/>
            <w:tcBorders>
              <w:bottom w:val="single" w:sz="8" w:color="CFF0FC"/>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vMerge w:val="continue"/>
            <w:shd w:val="clear" w:color="auto" w:fill="CFF0FC"/>
          </w:tcPr>
          <w:p>
            <w:pPr>
              <w:spacing w:after="0"/>
              <w:rPr>
                <w:sz w:val="17"/>
                <w:szCs w:val="17"/>
                <w:color w:val="auto"/>
              </w:rPr>
            </w:pPr>
          </w:p>
        </w:tc>
        <w:tc>
          <w:tcPr>
            <w:tcW w:w="900" w:type="dxa"/>
            <w:vAlign w:val="bottom"/>
            <w:tcBorders>
              <w:bottom w:val="single" w:sz="8" w:color="CFF0FC"/>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vMerge w:val="continue"/>
            <w:shd w:val="clear" w:color="auto" w:fill="CFF0FC"/>
          </w:tcPr>
          <w:p>
            <w:pPr>
              <w:spacing w:after="0"/>
              <w:rPr>
                <w:sz w:val="17"/>
                <w:szCs w:val="17"/>
                <w:color w:val="auto"/>
              </w:rPr>
            </w:pPr>
          </w:p>
        </w:tc>
        <w:tc>
          <w:tcPr>
            <w:tcW w:w="860" w:type="dxa"/>
            <w:vAlign w:val="bottom"/>
            <w:tcBorders>
              <w:bottom w:val="single" w:sz="8" w:color="CFF0FC"/>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vMerge w:val="continue"/>
            <w:shd w:val="clear" w:color="auto" w:fill="CFF0FC"/>
          </w:tcPr>
          <w:p>
            <w:pPr>
              <w:spacing w:after="0"/>
              <w:rPr>
                <w:sz w:val="17"/>
                <w:szCs w:val="17"/>
                <w:color w:val="auto"/>
              </w:rPr>
            </w:pPr>
          </w:p>
        </w:tc>
        <w:tc>
          <w:tcPr>
            <w:tcW w:w="880" w:type="dxa"/>
            <w:vAlign w:val="bottom"/>
            <w:tcBorders>
              <w:bottom w:val="single" w:sz="8" w:color="CFF0FC"/>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vMerge w:val="continue"/>
            <w:shd w:val="clear" w:color="auto" w:fill="CFF0FC"/>
          </w:tcPr>
          <w:p>
            <w:pPr>
              <w:spacing w:after="0"/>
              <w:rPr>
                <w:sz w:val="17"/>
                <w:szCs w:val="17"/>
                <w:color w:val="auto"/>
              </w:rPr>
            </w:pPr>
          </w:p>
        </w:tc>
        <w:tc>
          <w:tcPr>
            <w:tcW w:w="800" w:type="dxa"/>
            <w:vAlign w:val="bottom"/>
            <w:tcBorders>
              <w:bottom w:val="single" w:sz="8" w:color="CFF0FC"/>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 (loss)</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37"/>
        </w:trPr>
        <w:tc>
          <w:tcPr>
            <w:tcW w:w="28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8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86"/>
        </w:trPr>
        <w:tc>
          <w:tcPr>
            <w:tcW w:w="28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Total Comprehensive Income (Loss)</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56</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49</w:t>
            </w:r>
          </w:p>
        </w:tc>
        <w:tc>
          <w:tcPr>
            <w:tcW w:w="0" w:type="dxa"/>
            <w:vAlign w:val="bottom"/>
          </w:tcPr>
          <w:p>
            <w:pPr>
              <w:spacing w:after="0"/>
              <w:rPr>
                <w:sz w:val="1"/>
                <w:szCs w:val="1"/>
                <w:color w:val="auto"/>
              </w:rPr>
            </w:pPr>
          </w:p>
        </w:tc>
      </w:tr>
      <w:tr>
        <w:trPr>
          <w:trHeight w:val="37"/>
        </w:trPr>
        <w:tc>
          <w:tcPr>
            <w:tcW w:w="28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8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9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3"/>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Dividends declared</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37"/>
        </w:trPr>
        <w:tc>
          <w:tcPr>
            <w:tcW w:w="2880" w:type="dxa"/>
            <w:vAlign w:val="bottom"/>
            <w:tcBorders>
              <w:bottom w:val="single" w:sz="8" w:color="CFF0FC"/>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98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78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78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90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88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(after deducting 39,600,900 common treasury</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284,687,007</w:t>
            </w:r>
          </w:p>
        </w:tc>
        <w:tc>
          <w:tcPr>
            <w:tcW w:w="80" w:type="dxa"/>
            <w:vAlign w:val="bottom"/>
          </w:tcPr>
          <w:p>
            <w:pPr>
              <w:spacing w:after="0"/>
              <w:rPr>
                <w:sz w:val="15"/>
                <w:szCs w:val="15"/>
                <w:color w:val="auto"/>
              </w:rPr>
            </w:pP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285</w:t>
            </w:r>
          </w:p>
        </w:tc>
        <w:tc>
          <w:tcPr>
            <w:tcW w:w="8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3,146</w:t>
            </w:r>
          </w:p>
        </w:tc>
        <w:tc>
          <w:tcPr>
            <w:tcW w:w="8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5,045</w:t>
            </w:r>
          </w:p>
        </w:tc>
        <w:tc>
          <w:tcPr>
            <w:tcW w:w="80" w:type="dxa"/>
            <w:vAlign w:val="bottom"/>
          </w:tcPr>
          <w:p>
            <w:pPr>
              <w:spacing w:after="0"/>
              <w:rPr>
                <w:sz w:val="15"/>
                <w:szCs w:val="15"/>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(3,842)</w:t>
            </w:r>
          </w:p>
        </w:tc>
        <w:tc>
          <w:tcPr>
            <w:tcW w:w="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4,634</w:t>
            </w:r>
          </w:p>
        </w:tc>
        <w:tc>
          <w:tcPr>
            <w:tcW w:w="80" w:type="dxa"/>
            <w:vAlign w:val="bottom"/>
          </w:tcPr>
          <w:p>
            <w:pPr>
              <w:spacing w:after="0"/>
              <w:rPr>
                <w:sz w:val="15"/>
                <w:szCs w:val="15"/>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144</w:t>
            </w:r>
          </w:p>
        </w:tc>
        <w:tc>
          <w:tcPr>
            <w:tcW w:w="80" w:type="dxa"/>
            <w:vAlign w:val="bottom"/>
          </w:tcPr>
          <w:p>
            <w:pPr>
              <w:spacing w:after="0"/>
              <w:rPr>
                <w:sz w:val="15"/>
                <w:szCs w:val="15"/>
                <w:color w:val="auto"/>
              </w:rPr>
            </w:pP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4,778</w:t>
            </w:r>
          </w:p>
        </w:tc>
        <w:tc>
          <w:tcPr>
            <w:tcW w:w="0" w:type="dxa"/>
            <w:vAlign w:val="bottom"/>
          </w:tcPr>
          <w:p>
            <w:pPr>
              <w:spacing w:after="0"/>
              <w:rPr>
                <w:sz w:val="1"/>
                <w:szCs w:val="1"/>
                <w:color w:val="auto"/>
              </w:rPr>
            </w:pPr>
          </w:p>
        </w:tc>
      </w:tr>
      <w:tr>
        <w:trPr>
          <w:trHeight w:val="198"/>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shares)</w:t>
            </w:r>
          </w:p>
        </w:tc>
        <w:tc>
          <w:tcPr>
            <w:tcW w:w="9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8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dividends declared or paid during the three and six months ended June 30, 2024.</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left="340" w:right="2760"/>
        <w:spacing w:after="0" w:line="268" w:lineRule="auto"/>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 CONSOLIDATED STATEMENTS OF CASH FLOWS (Unaudited)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20" w:type="dxa"/>
            <w:vAlign w:val="bottom"/>
            <w:gridSpan w:val="4"/>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6"/>
                <w:szCs w:val="16"/>
                <w:color w:val="auto"/>
              </w:rPr>
            </w:pP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19"/>
                <w:szCs w:val="19"/>
                <w:color w:val="auto"/>
              </w:rPr>
            </w:pPr>
          </w:p>
        </w:tc>
        <w:tc>
          <w:tcPr>
            <w:tcW w:w="1000" w:type="dxa"/>
            <w:vAlign w:val="bottom"/>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48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23"/>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r>
      <w:tr>
        <w:trPr>
          <w:trHeight w:val="23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399</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r>
      <w:tr>
        <w:trPr>
          <w:trHeight w:val="253"/>
        </w:trPr>
        <w:tc>
          <w:tcPr>
            <w:tcW w:w="8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Adjustments to Reconcile Net Income to Cash Flows from Operating Activities:</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r>
      <w:tr>
        <w:trPr>
          <w:trHeight w:val="233"/>
        </w:trPr>
        <w:tc>
          <w:tcPr>
            <w:tcW w:w="8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w:t>
            </w:r>
          </w:p>
        </w:tc>
      </w:tr>
      <w:tr>
        <w:trPr>
          <w:trHeight w:val="253"/>
        </w:trPr>
        <w:tc>
          <w:tcPr>
            <w:tcW w:w="8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Amortization and Write-Off of Debt Issuance Costs</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33"/>
        </w:trPr>
        <w:tc>
          <w:tcPr>
            <w:tcW w:w="8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Provision for Deferred Income Taxes (Note 6)</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53"/>
        </w:trPr>
        <w:tc>
          <w:tcPr>
            <w:tcW w:w="8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Net Pension Curtailments and Settlements</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33"/>
        </w:trPr>
        <w:tc>
          <w:tcPr>
            <w:tcW w:w="8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Rationalization Charges (Note 4)</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53"/>
        </w:trPr>
        <w:tc>
          <w:tcPr>
            <w:tcW w:w="8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Rationalization Payments</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w:t>
            </w:r>
          </w:p>
        </w:tc>
      </w:tr>
      <w:tr>
        <w:trPr>
          <w:trHeight w:val="233"/>
        </w:trPr>
        <w:tc>
          <w:tcPr>
            <w:tcW w:w="8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Gains on Asset Sales (Note 5)</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253"/>
        </w:trPr>
        <w:tc>
          <w:tcPr>
            <w:tcW w:w="8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Loss (Gain) on Insurance Recoveries for Damaged Property, Plant and Equipment</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33"/>
        </w:trPr>
        <w:tc>
          <w:tcPr>
            <w:tcW w:w="8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Lease Expense</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r>
      <w:tr>
        <w:trPr>
          <w:trHeight w:val="253"/>
        </w:trPr>
        <w:tc>
          <w:tcPr>
            <w:tcW w:w="8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Operating Lease Payments</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w:t>
            </w:r>
          </w:p>
        </w:tc>
      </w:tr>
      <w:tr>
        <w:trPr>
          <w:trHeight w:val="233"/>
        </w:trPr>
        <w:tc>
          <w:tcPr>
            <w:tcW w:w="8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Pension Contributions and Direct Payments</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53"/>
        </w:trPr>
        <w:tc>
          <w:tcPr>
            <w:tcW w:w="8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Changes in Operating Assets and Liabilities, Net of Asset Acquisitions and Dispositions:</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r>
      <w:tr>
        <w:trPr>
          <w:trHeight w:val="233"/>
        </w:trPr>
        <w:tc>
          <w:tcPr>
            <w:tcW w:w="8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w:t>
            </w:r>
          </w:p>
        </w:tc>
      </w:tr>
      <w:tr>
        <w:trPr>
          <w:trHeight w:val="253"/>
        </w:trPr>
        <w:tc>
          <w:tcPr>
            <w:tcW w:w="8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Inventories</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(397)</w:t>
            </w:r>
          </w:p>
        </w:tc>
      </w:tr>
      <w:tr>
        <w:trPr>
          <w:trHeight w:val="233"/>
        </w:trPr>
        <w:tc>
          <w:tcPr>
            <w:tcW w:w="8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 — Trade</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53"/>
        </w:trPr>
        <w:tc>
          <w:tcPr>
            <w:tcW w:w="8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33"/>
        </w:trPr>
        <w:tc>
          <w:tcPr>
            <w:tcW w:w="8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253"/>
        </w:trPr>
        <w:tc>
          <w:tcPr>
            <w:tcW w:w="8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27"/>
        </w:trPr>
        <w:tc>
          <w:tcPr>
            <w:tcW w:w="84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Total Cash Flows used in Operating Activities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(518)</w:t>
            </w:r>
          </w:p>
        </w:tc>
      </w:tr>
      <w:tr>
        <w:trPr>
          <w:trHeight w:val="253"/>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r>
      <w:tr>
        <w:trPr>
          <w:trHeight w:val="233"/>
        </w:trPr>
        <w:tc>
          <w:tcPr>
            <w:tcW w:w="8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Capital Expenditures</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w:t>
            </w:r>
          </w:p>
        </w:tc>
      </w:tr>
      <w:tr>
        <w:trPr>
          <w:trHeight w:val="253"/>
        </w:trPr>
        <w:tc>
          <w:tcPr>
            <w:tcW w:w="8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Insurance Recoveries for Damaged Property, Plant and Equipment</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33"/>
        </w:trPr>
        <w:tc>
          <w:tcPr>
            <w:tcW w:w="8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Cash Proceeds from Sale and Leaseback Transactions (Note 5)</w:t>
            </w:r>
          </w:p>
        </w:tc>
        <w:tc>
          <w:tcPr>
            <w:tcW w:w="3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53"/>
        </w:trPr>
        <w:tc>
          <w:tcPr>
            <w:tcW w:w="8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Asset Dispositions</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1,328</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233"/>
        </w:trPr>
        <w:tc>
          <w:tcPr>
            <w:tcW w:w="8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Long Term Securities Redeemed</w:t>
            </w:r>
          </w:p>
        </w:tc>
        <w:tc>
          <w:tcPr>
            <w:tcW w:w="3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53"/>
        </w:trPr>
        <w:tc>
          <w:tcPr>
            <w:tcW w:w="8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Notes Receivable</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36"/>
        </w:trPr>
        <w:tc>
          <w:tcPr>
            <w:tcW w:w="848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6"/>
                <w:szCs w:val="16"/>
                <w:color w:val="auto"/>
              </w:rPr>
              <w:t>Other Transactions</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43"/>
        </w:trPr>
        <w:tc>
          <w:tcPr>
            <w:tcW w:w="8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b w:val="1"/>
                <w:bCs w:val="1"/>
                <w:color w:val="auto"/>
              </w:rPr>
              <w:t>Total Cash Flows from (used in) Investing Activities</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837</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(488)</w:t>
            </w:r>
          </w:p>
        </w:tc>
      </w:tr>
      <w:tr>
        <w:trPr>
          <w:trHeight w:val="23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53"/>
        </w:trPr>
        <w:tc>
          <w:tcPr>
            <w:tcW w:w="8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Short Term Debt and Overdrafts Incurred</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595</w:t>
            </w:r>
          </w:p>
        </w:tc>
      </w:tr>
      <w:tr>
        <w:trPr>
          <w:trHeight w:val="233"/>
        </w:trPr>
        <w:tc>
          <w:tcPr>
            <w:tcW w:w="8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Short Term Debt and Overdrafts Paid</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w:t>
            </w:r>
          </w:p>
        </w:tc>
      </w:tr>
      <w:tr>
        <w:trPr>
          <w:trHeight w:val="253"/>
        </w:trPr>
        <w:tc>
          <w:tcPr>
            <w:tcW w:w="8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Long Term Debt Incurred</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8,888</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7,068</w:t>
            </w:r>
          </w:p>
        </w:tc>
      </w:tr>
      <w:tr>
        <w:trPr>
          <w:trHeight w:val="233"/>
        </w:trPr>
        <w:tc>
          <w:tcPr>
            <w:tcW w:w="8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Long Term Debt Paid</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(6,280)</w:t>
            </w:r>
          </w:p>
        </w:tc>
      </w:tr>
      <w:tr>
        <w:trPr>
          <w:trHeight w:val="253"/>
        </w:trPr>
        <w:tc>
          <w:tcPr>
            <w:tcW w:w="8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Common Stock Issued</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33"/>
        </w:trPr>
        <w:tc>
          <w:tcPr>
            <w:tcW w:w="8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Transactions with Minority Interests in Subsidiaries</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53"/>
        </w:trPr>
        <w:tc>
          <w:tcPr>
            <w:tcW w:w="8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Debt Related Costs and Other Transactions</w:t>
            </w: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27"/>
        </w:trPr>
        <w:tc>
          <w:tcPr>
            <w:tcW w:w="84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Total Cash Flows (used in) from Financing Activities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896</w:t>
            </w:r>
          </w:p>
        </w:tc>
      </w:tr>
      <w:tr>
        <w:trPr>
          <w:trHeight w:val="253"/>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27"/>
        </w:trPr>
        <w:tc>
          <w:tcPr>
            <w:tcW w:w="84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Net Change in Cash, Cash Equivalents and Restricted Cash</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(133)</w:t>
            </w:r>
          </w:p>
        </w:tc>
      </w:tr>
      <w:tr>
        <w:trPr>
          <w:trHeight w:val="253"/>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the Period</w:t>
            </w: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864</w:t>
            </w:r>
          </w:p>
        </w:tc>
        <w:tc>
          <w:tcPr>
            <w:tcW w:w="100" w:type="dxa"/>
            <w:vAlign w:val="bottom"/>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985</w:t>
            </w:r>
          </w:p>
        </w:tc>
      </w:tr>
      <w:tr>
        <w:trPr>
          <w:trHeight w:val="230"/>
        </w:trPr>
        <w:tc>
          <w:tcPr>
            <w:tcW w:w="84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the Period</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902</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852</w:t>
            </w:r>
          </w:p>
        </w:tc>
      </w:tr>
      <w:tr>
        <w:trPr>
          <w:trHeight w:val="27"/>
        </w:trPr>
        <w:tc>
          <w:tcPr>
            <w:tcW w:w="8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-2228215</wp:posOffset>
            </wp:positionV>
            <wp:extent cx="603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-6865620</wp:posOffset>
            </wp:positionV>
            <wp:extent cx="603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220"/>
          </w:cols>
          <w:pgMar w:left="320" w:top="337" w:right="35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 NOTES TO CONSOLIDATED FINANCIAL STATEMENTS (Unaudited)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Basis of Presentation</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by The Goodyear Tire &amp; Rubber Company (the “Company,” “Goodyear,” “we,” “us” or “our”) in accordance with Securities and Exchange Commission (“SEC”) rules and regulations and generally accepted accounting principles in the United States of America ("U.S. GAAP") and in the opinion of management contain all adjustments (including normal recurring adjustments) necessary to fairly state the financial position, results of operations and cash flows for the periods presented. The preparation of financial statements in conformity with U.S. GAAP requires management to make estimates and assumptions that affect the amounts reported in the financial statements and accompanying notes. These interim consolidated financial statements should be read in conjunction with the consolidated financial statements and related notes thereto included in our Annual Report on Form 10-K for the year ended December 31, 2024 (the “2024 Form 10-K”).</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results for the three and six months ended June 30, 2025 are not necessarily indicative of the results expected in subsequent quarters or for the year ending December 31, 2025.</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Revision of Previously Issued Financial Statements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preparing the consolidated financial statements as of and for the three and six months ended June 30, 2025, we identified errors in our previously issued financial statements related to our historical computation of currency remeasurement of our foreign operations in Turkey, which was designated as a highly inflationary economy beginning April 1, 2022. Upon that designation, the operations and balance sheet in that country should be remeasured into our parent company reporting currency, with remeasurement gains and losses recognized in earnings to reflect the impact of currency translation on our financial results. Our computation did not reflect the full inflationary impact. The identified errors impacted our previously issued 2022, 2023 and 2024 annual and interim financial statements. The impact of the errors on the previously issued consolidated statements of operations and comprehensive income for the quarter ended March 31, 2025 were de minimis. There were no impacts on previously reported cash flows from operating, investing and financing activities in any prior periods.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evaluated the errors in accordance with SEC Staff Accounting Bulletin Nos. 99 and 108 and determined that the related impacts were not material in any previously issued annual or interim financial statements. We revised the prior period amounts presented in these financial statements to correct the errors. The applicable notes to the accompanying financial statements have also been corrected to reflect the impact of the revisions of the previously filed consolidated interim financial statements. A summary of the revisions to the previously issued financial information is included in Note to the Consolidated Financial Statements No.16, Revision of Previously Issued Financial Statements.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Issued Accounting Standards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14, 2023, the Financial Accounting Standards Board ("FASB") issued a final Accounting Standards Update ("ASU") to improve income tax disclosures. The new standard requires enhanced disclosures primarily related to existing rate reconciliation and income taxes paid information and improves the transparency of income tax disclosures by requiring consistent categories and greater disaggregation of information in the rate reconciliation and requiring income taxes paid to be disaggregated by jurisdiction. It also includes certain amendments to improve the effectiveness of income tax disclosures. The standards update is effective for annual periods beginning after December 15, 2024. We are currently assessing the impact of this standards update on our disclosures in the notes to the consolidated financial statements.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4, 2024, the FASB issued a final ASU to require disaggregated disclosure of income statement expenses. This new standard requires certain expense categories, including selling expenses, to be disaggregated in the notes to the consolidated financial statements. The standards update is effective for fiscal years beginning after December 15, 2026, and interim periods within fiscal years beginning after December 15, 2027. We are currently assessing the impact of this standards update on our disclosures in the notes to the consolidated financial statements.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Principles of Consolidation</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all legal entities in which we hold a controlling financial interest. A controlling financial interest generally arises from our ownership of a majority of the voting shares of our subsidiaries. We would also hold a controlling financial interest in variable interest entities if we are considered to be the primary beneficiary. Investments in companies in which we do not own a majority interest and we have the ability to exercise significant influence over operating and financial policies are accounted for using the equity method. Investments in other companies are primarily carried at cost. All intercompany balances and transactions have been eliminated in consolidation.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Assets and Liabilities Held for Sale</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Assets and liabilities are classified as held for sale when management approves and commits to a formal plan to actively market the assets for sale at a price reasonable in relation to their estimated fair value, the assets are available for immediate sale in their present condition, an active program to locate a buyer and other actions required to complete the sale have been initiated, the sale of the assets is probable and expected to be completed within one year, and it is unlikely that significant changes will be made to the plan. When all of these criteria have been met, the assets and liabilities are classified as held for sale in the balance sheet. Assets classified as held for sale are reported at the lower of their carrying value or fair value less costs to sell. Depreciation of assets ceases upon designation as held for sale. At June 30, 2025, Assets Held for Sale of $544 million, $455 million of which related to the sale of our Chemical business and $89 million of which related to the sale of the Dunlop brand, and Other Current Liabilities classified as held for sale of $171 million related to the sale of our Chemical business, were included in the Consolidated Balance Sheets. At December 31, 2024, assets classified as held for sale of $466 million and liabilities classified as held for sale of $51 million related to the sale of our off-the-road ("OTR") tire business were included within Assets Held for Sale and Other Current Liabilities, respectively, in the Consolidated Balance Sheets. Refer to Note to the Consolidated Financial Statements No. 2, Divestitures, for additional information.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Cash</w:t>
      </w:r>
    </w:p>
    <w:p>
      <w:pPr>
        <w:spacing w:after="0" w:line="119"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as reported within the Consolidated Statements of Cash Flows:</w:t>
      </w:r>
    </w:p>
    <w:tbl>
      <w:tblPr>
        <w:tblLayout w:type="fixed"/>
        <w:tblInd w:w="6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6"/>
                <w:szCs w:val="16"/>
                <w:color w:val="auto"/>
              </w:rPr>
            </w:pP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Pr>
          <w:p>
            <w:pPr>
              <w:spacing w:after="0"/>
              <w:rPr>
                <w:sz w:val="19"/>
                <w:szCs w:val="19"/>
                <w:color w:val="auto"/>
              </w:rPr>
            </w:pPr>
          </w:p>
        </w:tc>
        <w:tc>
          <w:tcPr>
            <w:tcW w:w="102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40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43"/>
        </w:trPr>
        <w:tc>
          <w:tcPr>
            <w:tcW w:w="8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w:t>
            </w:r>
          </w:p>
        </w:tc>
      </w:tr>
      <w:tr>
        <w:trPr>
          <w:trHeight w:val="24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7"/>
        </w:trPr>
        <w:tc>
          <w:tcPr>
            <w:tcW w:w="84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8"/>
        </w:trPr>
        <w:tc>
          <w:tcPr>
            <w:tcW w:w="8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902</w:t>
            </w:r>
          </w:p>
        </w:tc>
        <w:tc>
          <w:tcPr>
            <w:tcW w:w="1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852</w:t>
            </w:r>
          </w:p>
        </w:tc>
      </w:tr>
      <w:tr>
        <w:trPr>
          <w:trHeight w:val="20"/>
        </w:trPr>
        <w:tc>
          <w:tcPr>
            <w:tcW w:w="84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Restricted Cash primarily represents amounts required to be set aside for accounts receivable factoring programs. The restrictions lapse when cash from factored accounts receivable is remitted to the purchaser of those receivables. Restricted cash at June 30, 2025 also includes amounts collected in connection with ongoing agreements related to the sale of our OTR tire business. At both June 30, 2025 and 2024, restricted cash was recorded in Prepaid Expenses and Other Current Assets in the Consolidated Balance Sheets.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Reclassifications and Adjustments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items previously reported in specific financial statement captions have been reclassified to conform to the current presentation.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 DIVESTITURES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gains on asset sales were $439 million and $96 million for the three months ended June 30, 2025 and 2024, respectively. Net gains on asset sales were $701 million and $94 million for the six months ended June 30, 2025 and 2024, respectively. None of our divestitures meet the criteria for presentation as discontinued operations as they do not represent a strategic shift that will have a major effect on our operations or financial results.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3, 2025, we completed the sale of our OTR tire business to The Yokohama Rubber Company, Limited (“Yokohama”) pursuant to the terms of the Share and Asset Purchase Agreement, dated as of July 22, 2024 (the “OTR Purchase Agreement”). In conjunction with the sale of the OTR tire business, we entered into several ancillary agreements, including a trademark license agreement, whereby we license certain trademarks to Yokohama for an initial period of ten years from the date of the sale, a product supply agreement, pursuant to which we supply to Yokohama certain OTR tires for an initial period of up to five years, and a transition services agreement, pursuant to which we are providing certain support services for a period of up to eighteen months. The activity related to these agreements is primarily recorded in Prepaid Expenses and Other Current Assets and Other Current Liabilities in the Consolidated Balance Sheets.</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result of the transaction, considering the receipt of the purchase price of $905 million, subject to certain adjustments set forth in the OTR Purchase Agreement, amounts allocated to deferred income related to the trademark license agreement of $90 million, amounts allocated to deferred revenue related to the product supply agreement of $95 million, and transaction costs of $26 million, and based upon the net assets of the OTR tire business of $434 million, we recorded an estimated pre-tax gain of $260 million during the first quarter of 2025. We estimated the fair value of the deferred income related to the trademark license agreement using the relief-from-royalty method, with the most critical assumptions based on projected revenue, royalty rate and discount rate. We estimated the fair value of the deferred revenue related to the product supply agreement using a cost-plus-margin approach, with the most critical assumption based on projected cost of goods sold. The pre-tax income from the assets sold included within the Consolidated Statements of Operations was $23 million for the three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months ended June 30, 2024 and $35 million for the six months ended June 30, 2024. These amounts exclude any ongoing obligations related to the product supply agreement and transition services agreement, as well as any amortization of deferred revenue or income.</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7, 2025, we completed the sale of our rights to the Dunlop brand in Europe, North America and Oceania for consumer, commercial and other specialty tires, together with certain associated intellectual property and other intangible assets, for a purchase price of $526 million to Sumitomo Rubber Industries, Ltd. ("SRI") pursuant to the terms of the Purchase Agreement, dated as of January 7, 2025 (as amended, the "Dunlop Purchase Agreement"). SRI also paid us an up-front transition support fee of $105 million for our support in transitioning the Dunlop brand, related intellectual property and Dunlop customers to SRI. SRI also acquired our existing Dunlop tire inventory for approximately $104 million. We also entered into a number of ancillary agreements, including (a) a transition license agreement, pursuant to which we will continue to manufacture, sell and distribute Dunlop-branded consumer tires in Europe from the closing of the transaction until December 31, 2025, and during which we will pay SRI a royalty on such Dunlop sales; (b) a transition offtake agreement, pursuant to which we will sell to SRI certain Dunlop-branded consumer tire products for a period of up to five years, commencing after termination or expiration of the transition license agreement; and (c) we will license back the Dunlop brand from SRI for commercial tires in Europe on a long-term basis, subject to a royalty on sales.</w:t>
      </w:r>
    </w:p>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transaction, we received gross proceeds of $735 million at closing for the Dunlop brand, related intellectual property and other intangible assets, the transition support fee and the tire inventory. We allocated $105 million of those proceeds related to the up-front transition support fee to deferred income, which will be recognized over the combined lives of the transition license and transition offtake agreements. We also allocated $86 million of those proceeds to deferred income for tire inventory in Europe that will not transfer ownership until the termination of the transition license agreement. We recognized an estimated pre-tax gain of $385 million based on the net assets sold of $133 million during the second quarter of 2025, net of transaction costs of $26 million.</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22, 2025, we entered into an Asset Purchase Agreement (the “Chemical Purchase Agreement”) with G-3 Chickadee Purchaser, LLC, a Delaware limited liability company (the “Purchaser”). Pursuant to the Chemical Purchase Agreement and upon the terms and subject to the conditions set forth therein, we have agreed to sell to the Purchaser, and the Purchaser has agreed to acquire from us, the polymer chemicals business of the Company (the “Chemical Business”) for a purchase price of approximately $650 million in cash, subject to certain adjustments. The assets to be acquired, and the liabilities to be assumed, by the Purchaser are generally those primarily related to the Chemical Business, including our chemical plants in Houston, Texas and Beaumont, Texas and a research and development facility in Akron, Ohio. The closing of the transaction is subject to the satisfaction of customary closing conditions. The Chemical Purchase Agreement contains customary termination rights, including if the closing of the transaction has not occurred on or prior to November 22, 2025, subject to certain limitations.</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Chemical Purchase Agreement also contemplates that, at the closing date, we will enter into a number of ancillary agreements with the Purchaser (or their respective affiliates). These agreements include, among others: (a) a master supply agreement, pursuant to which the Purchaser will, or will cause its affiliates to, supply to us certain polymer chemical products for a period of fifteen (15) years after the closing, (b) a transition services agreement, pursuant to which we will provide certain transition services to the Purchaser for the Chemical Business for a period of up to eighteen (18) months from the closing, and (c) a patent and know-how license agreement, pursuant to which the Purchaser will license back to us certain intellectual property related to the Chemical Business for use in connection with certain retained businesses.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gains on asset sales for the three and six months ended June 30, 2025 also include a $55 million ($26 million after-tax and minority) gain related to the sale of property in Asia Pacific. Net gains on asset sales for the three and six months ended June 30, 2024 also include an $80 million gain related to the sale of a distribution center in Europe, Middle East and Africa ("EMEA").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3. NET SALES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show disaggregated net sales from contracts with customers by major source: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7"/>
        </w:trPr>
        <w:tc>
          <w:tcPr>
            <w:tcW w:w="56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3"/>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71"/>
        </w:trPr>
        <w:tc>
          <w:tcPr>
            <w:tcW w:w="5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Europe, Middle East</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90"/>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20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and Africa</w:t>
            </w:r>
          </w:p>
        </w:tc>
        <w:tc>
          <w:tcPr>
            <w:tcW w:w="22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300" w:type="dxa"/>
            <w:vAlign w:val="bottom"/>
          </w:tcPr>
          <w:p>
            <w:pPr>
              <w:spacing w:after="0"/>
              <w:rPr>
                <w:sz w:val="16"/>
                <w:szCs w:val="16"/>
                <w:color w:val="auto"/>
              </w:rPr>
            </w:pPr>
          </w:p>
        </w:tc>
        <w:tc>
          <w:tcPr>
            <w:tcW w:w="102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66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3"/>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Tire unit sales</w:t>
            </w: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3,686</w:t>
            </w: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tire and related sales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7"/>
        </w:trPr>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Retail services and service related sales</w:t>
            </w:r>
          </w:p>
        </w:tc>
        <w:tc>
          <w:tcPr>
            <w:tcW w:w="2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Chemical sales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7"/>
        </w:trPr>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FF0FC"/>
            </w:tcBorders>
            <w:shd w:val="clear" w:color="auto" w:fill="CFF0FC"/>
          </w:tcPr>
          <w:p>
            <w:pPr>
              <w:spacing w:after="0"/>
              <w:rPr>
                <w:sz w:val="23"/>
                <w:szCs w:val="23"/>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12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3"/>
                <w:szCs w:val="23"/>
                <w:color w:val="auto"/>
              </w:rPr>
            </w:pPr>
          </w:p>
        </w:tc>
        <w:tc>
          <w:tcPr>
            <w:tcW w:w="12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7"/>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by reportable segment</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2,662</w:t>
            </w:r>
          </w:p>
        </w:tc>
        <w:tc>
          <w:tcPr>
            <w:tcW w:w="80" w:type="dxa"/>
            <w:vAlign w:val="bottom"/>
          </w:tcPr>
          <w:p>
            <w:pPr>
              <w:spacing w:after="0"/>
              <w:rPr>
                <w:sz w:val="20"/>
                <w:szCs w:val="20"/>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1,344</w:t>
            </w: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4,465</w:t>
            </w:r>
          </w:p>
        </w:tc>
      </w:tr>
      <w:tr>
        <w:trPr>
          <w:trHeight w:val="27"/>
        </w:trPr>
        <w:tc>
          <w:tcPr>
            <w:tcW w:w="5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
        </w:trPr>
        <w:tc>
          <w:tcPr>
            <w:tcW w:w="5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16"/>
        </w:trPr>
        <w:tc>
          <w:tcPr>
            <w:tcW w:w="5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7"/>
        </w:trPr>
        <w:tc>
          <w:tcPr>
            <w:tcW w:w="56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3"/>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58"/>
        </w:trPr>
        <w:tc>
          <w:tcPr>
            <w:tcW w:w="5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Europe, Middle East</w:t>
            </w: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4"/>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Pr>
          <w:p>
            <w:pPr>
              <w:spacing w:after="0"/>
              <w:rPr>
                <w:sz w:val="17"/>
                <w:szCs w:val="17"/>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200" w:type="dxa"/>
            <w:vAlign w:val="bottom"/>
          </w:tcPr>
          <w:p>
            <w:pPr>
              <w:spacing w:after="0"/>
              <w:rPr>
                <w:sz w:val="17"/>
                <w:szCs w:val="17"/>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and Africa</w:t>
            </w:r>
          </w:p>
        </w:tc>
        <w:tc>
          <w:tcPr>
            <w:tcW w:w="220" w:type="dxa"/>
            <w:vAlign w:val="bottom"/>
          </w:tcPr>
          <w:p>
            <w:pPr>
              <w:spacing w:after="0"/>
              <w:rPr>
                <w:sz w:val="17"/>
                <w:szCs w:val="17"/>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300" w:type="dxa"/>
            <w:vAlign w:val="bottom"/>
          </w:tcPr>
          <w:p>
            <w:pPr>
              <w:spacing w:after="0"/>
              <w:rPr>
                <w:sz w:val="17"/>
                <w:szCs w:val="17"/>
                <w:color w:val="auto"/>
              </w:rPr>
            </w:pPr>
          </w:p>
        </w:tc>
        <w:tc>
          <w:tcPr>
            <w:tcW w:w="102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66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3"/>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Tire unit sales</w:t>
            </w: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3,834</w:t>
            </w: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tire and related sales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7"/>
        </w:trPr>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Retail services and service related sales</w:t>
            </w:r>
          </w:p>
        </w:tc>
        <w:tc>
          <w:tcPr>
            <w:tcW w:w="2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Chemical sales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7"/>
        </w:trPr>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FF0FC"/>
            </w:tcBorders>
            <w:shd w:val="clear" w:color="auto" w:fill="CFF0FC"/>
          </w:tcPr>
          <w:p>
            <w:pPr>
              <w:spacing w:after="0"/>
              <w:rPr>
                <w:sz w:val="23"/>
                <w:szCs w:val="23"/>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12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7"/>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by reportable segment</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2,697</w:t>
            </w:r>
          </w:p>
        </w:tc>
        <w:tc>
          <w:tcPr>
            <w:tcW w:w="80" w:type="dxa"/>
            <w:vAlign w:val="bottom"/>
          </w:tcPr>
          <w:p>
            <w:pPr>
              <w:spacing w:after="0"/>
              <w:rPr>
                <w:sz w:val="20"/>
                <w:szCs w:val="20"/>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1,279</w:t>
            </w: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4,570</w:t>
            </w:r>
          </w:p>
        </w:tc>
      </w:tr>
      <w:tr>
        <w:trPr>
          <w:trHeight w:val="27"/>
        </w:trPr>
        <w:tc>
          <w:tcPr>
            <w:tcW w:w="5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5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02"/>
        </w:trPr>
        <w:tc>
          <w:tcPr>
            <w:tcW w:w="5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7"/>
        </w:trPr>
        <w:tc>
          <w:tcPr>
            <w:tcW w:w="56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3"/>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71"/>
        </w:trPr>
        <w:tc>
          <w:tcPr>
            <w:tcW w:w="5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Europe, Middle East</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90"/>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20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and Africa</w:t>
            </w:r>
          </w:p>
        </w:tc>
        <w:tc>
          <w:tcPr>
            <w:tcW w:w="22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300" w:type="dxa"/>
            <w:vAlign w:val="bottom"/>
          </w:tcPr>
          <w:p>
            <w:pPr>
              <w:spacing w:after="0"/>
              <w:rPr>
                <w:sz w:val="16"/>
                <w:szCs w:val="16"/>
                <w:color w:val="auto"/>
              </w:rPr>
            </w:pPr>
          </w:p>
        </w:tc>
        <w:tc>
          <w:tcPr>
            <w:tcW w:w="102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66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3"/>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Tire unit sales</w:t>
            </w: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4,140</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7,261</w:t>
            </w: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tire and related sales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r>
      <w:tr>
        <w:trPr>
          <w:trHeight w:val="27"/>
        </w:trPr>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Retail services and service related sales</w:t>
            </w:r>
          </w:p>
        </w:tc>
        <w:tc>
          <w:tcPr>
            <w:tcW w:w="2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Chemical sales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7"/>
        </w:trPr>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FF0FC"/>
            </w:tcBorders>
            <w:shd w:val="clear" w:color="auto" w:fill="CFF0FC"/>
          </w:tcPr>
          <w:p>
            <w:pPr>
              <w:spacing w:after="0"/>
              <w:rPr>
                <w:sz w:val="23"/>
                <w:szCs w:val="23"/>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12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7"/>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by reportable segment</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5,164</w:t>
            </w:r>
          </w:p>
        </w:tc>
        <w:tc>
          <w:tcPr>
            <w:tcW w:w="80" w:type="dxa"/>
            <w:vAlign w:val="bottom"/>
          </w:tcPr>
          <w:p>
            <w:pPr>
              <w:spacing w:after="0"/>
              <w:rPr>
                <w:sz w:val="20"/>
                <w:szCs w:val="20"/>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2,621</w:t>
            </w: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8,718</w:t>
            </w:r>
          </w:p>
        </w:tc>
      </w:tr>
      <w:tr>
        <w:trPr>
          <w:trHeight w:val="27"/>
        </w:trPr>
        <w:tc>
          <w:tcPr>
            <w:tcW w:w="5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5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16"/>
        </w:trPr>
        <w:tc>
          <w:tcPr>
            <w:tcW w:w="5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7"/>
        </w:trPr>
        <w:tc>
          <w:tcPr>
            <w:tcW w:w="56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3"/>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71"/>
        </w:trPr>
        <w:tc>
          <w:tcPr>
            <w:tcW w:w="5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Europe, Middle East</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90"/>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20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and Africa</w:t>
            </w:r>
          </w:p>
        </w:tc>
        <w:tc>
          <w:tcPr>
            <w:tcW w:w="22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300" w:type="dxa"/>
            <w:vAlign w:val="bottom"/>
          </w:tcPr>
          <w:p>
            <w:pPr>
              <w:spacing w:after="0"/>
              <w:rPr>
                <w:sz w:val="16"/>
                <w:szCs w:val="16"/>
                <w:color w:val="auto"/>
              </w:rPr>
            </w:pPr>
          </w:p>
        </w:tc>
        <w:tc>
          <w:tcPr>
            <w:tcW w:w="102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66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3"/>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Tire unit sales</w:t>
            </w: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4,297</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7,716</w:t>
            </w: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tire and related sales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r>
      <w:tr>
        <w:trPr>
          <w:trHeight w:val="27"/>
        </w:trPr>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Retail services and service related sales</w:t>
            </w:r>
          </w:p>
        </w:tc>
        <w:tc>
          <w:tcPr>
            <w:tcW w:w="2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w:t>
            </w: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Chemical sales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7"/>
        </w:trPr>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FF0FC"/>
            </w:tcBorders>
            <w:shd w:val="clear" w:color="auto" w:fill="CFF0FC"/>
          </w:tcPr>
          <w:p>
            <w:pPr>
              <w:spacing w:after="0"/>
              <w:rPr>
                <w:sz w:val="23"/>
                <w:szCs w:val="23"/>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12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6"/>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by reportable segment</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5,285</w:t>
            </w:r>
          </w:p>
        </w:tc>
        <w:tc>
          <w:tcPr>
            <w:tcW w:w="80" w:type="dxa"/>
            <w:vAlign w:val="bottom"/>
          </w:tcPr>
          <w:p>
            <w:pPr>
              <w:spacing w:after="0"/>
              <w:rPr>
                <w:sz w:val="20"/>
                <w:szCs w:val="20"/>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2,626</w:t>
            </w: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9,107</w:t>
            </w:r>
          </w:p>
        </w:tc>
      </w:tr>
      <w:tr>
        <w:trPr>
          <w:trHeight w:val="27"/>
        </w:trPr>
        <w:tc>
          <w:tcPr>
            <w:tcW w:w="5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
        </w:trPr>
        <w:tc>
          <w:tcPr>
            <w:tcW w:w="5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Tire unit sales consist of consumer, commercial, farm and OTR tire sales, including the sale of new Company-branded tires through Company-owned retail channels. OTR tire sales in 2025 primarily consist of tires sold to Yokohama pursuant to our product supply agreement. Other tire and related sales consist of aviation, race and motorcycle tire sales, retread sales and other tire related sales. Sales of tires in this category are not included in reported tire unit information. Retail services and service related sales consist of automotive services performed for customers through our Company-owned retail channels, and includes service related products. Chemical sales relate to the sale of synthetic rubber and other chemicals to third parties, and exclude intercompany sales. Other sales include items such as franchise fees and ancillary tire parts.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When we receive consideration from a customer prior to transferring goods or services under the terms of a sales contract, we record deferred revenue, which represents a contract liability. Deferred revenue included in Other Current Liabilities in the Consolidated Balance Sheets totaled $32 million and $13 million at June 30, 2025 and December 31, 2024, respectively. Deferred revenue included in Other Long Term Liabilities in the Consolidated Balance Sheets totaled $87 million and $6 million at June 30, 2025 and December 31, 2024, respectively. We recognize deferred revenue after we have transferred control of the goods or services to the customer and all revenue recognition criteria are met. Revenue deferred during the three and six months ended June 30, 2025 primarily relates to the product supply agreement we entered into in connection with the sale of our OTR tire business.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balance of deferred revenue related to contracts with customers, and changes during the six months ended June 30, 2025:</w:t>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98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37"/>
        </w:trPr>
        <w:tc>
          <w:tcPr>
            <w:tcW w:w="98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0"/>
        </w:trPr>
        <w:tc>
          <w:tcPr>
            <w:tcW w:w="9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560" w:type="dxa"/>
            <w:vAlign w:val="bottom"/>
            <w:tcBorders>
              <w:bottom w:val="single" w:sz="8" w:color="CFF0FC"/>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r>
      <w:tr>
        <w:trPr>
          <w:trHeight w:val="243"/>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deferred during period</w:t>
            </w:r>
          </w:p>
        </w:tc>
        <w:tc>
          <w:tcPr>
            <w:tcW w:w="5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7"/>
        </w:trPr>
        <w:tc>
          <w:tcPr>
            <w:tcW w:w="9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recognized during period</w:t>
            </w:r>
          </w:p>
        </w:tc>
        <w:tc>
          <w:tcPr>
            <w:tcW w:w="56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43"/>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foreign currency translation</w:t>
            </w:r>
          </w:p>
        </w:tc>
        <w:tc>
          <w:tcPr>
            <w:tcW w:w="5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9840" w:type="dxa"/>
            <w:vAlign w:val="bottom"/>
            <w:tcBorders>
              <w:bottom w:val="single" w:sz="8" w:color="CFF0FC"/>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88"/>
        </w:trPr>
        <w:tc>
          <w:tcPr>
            <w:tcW w:w="9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560" w:type="dxa"/>
            <w:vAlign w:val="bottom"/>
            <w:tcBorders>
              <w:bottom w:val="single" w:sz="8" w:color="CFF0FC"/>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r>
      <w:tr>
        <w:trPr>
          <w:trHeight w:val="20"/>
        </w:trPr>
        <w:tc>
          <w:tcPr>
            <w:tcW w:w="984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4. COSTS ASSOCIATED WITH RATIONALIZATION PROGRAMS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order to improve our global competitiveness and as part of our execution of the Goodyear Forward transformation plan ("Goodyear Forward"), we have implemented, and are implementing, rationalization actions to reduce high-cost and excess manufacturing capacity and operating and administrative costs.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roll-forward of the liability balance between periods: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Associate-</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4"/>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Related Costs</w:t>
            </w:r>
          </w:p>
        </w:tc>
        <w:tc>
          <w:tcPr>
            <w:tcW w:w="200" w:type="dxa"/>
            <w:vAlign w:val="bottom"/>
          </w:tcPr>
          <w:p>
            <w:pPr>
              <w:spacing w:after="0"/>
              <w:rPr>
                <w:sz w:val="17"/>
                <w:szCs w:val="17"/>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Other Costs</w:t>
            </w:r>
          </w:p>
        </w:tc>
        <w:tc>
          <w:tcPr>
            <w:tcW w:w="300" w:type="dxa"/>
            <w:vAlign w:val="bottom"/>
          </w:tcPr>
          <w:p>
            <w:pPr>
              <w:spacing w:after="0"/>
              <w:rPr>
                <w:sz w:val="17"/>
                <w:szCs w:val="17"/>
                <w:color w:val="auto"/>
              </w:rPr>
            </w:pPr>
          </w:p>
        </w:tc>
        <w:tc>
          <w:tcPr>
            <w:tcW w:w="102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706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3"/>
        </w:trPr>
        <w:tc>
          <w:tcPr>
            <w:tcW w:w="7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396</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397</w:t>
            </w:r>
          </w:p>
        </w:tc>
      </w:tr>
      <w:tr>
        <w:trPr>
          <w:trHeight w:val="27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 Charges</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50"/>
        </w:trPr>
        <w:tc>
          <w:tcPr>
            <w:tcW w:w="7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Incurred, net of foreign currency translation of $38 million and $0 million, respectively</w:t>
            </w:r>
          </w:p>
        </w:tc>
        <w:tc>
          <w:tcPr>
            <w:tcW w:w="18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Reversed to the Statement of Operations</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706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366</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367</w:t>
            </w:r>
          </w:p>
        </w:tc>
      </w:tr>
      <w:tr>
        <w:trPr>
          <w:trHeight w:val="27"/>
        </w:trPr>
        <w:tc>
          <w:tcPr>
            <w:tcW w:w="706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-16510</wp:posOffset>
            </wp:positionV>
            <wp:extent cx="603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-16510</wp:posOffset>
            </wp:positionV>
            <wp:extent cx="603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-196215</wp:posOffset>
            </wp:positionV>
            <wp:extent cx="603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-196215</wp:posOffset>
            </wp:positionV>
            <wp:extent cx="603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-890905</wp:posOffset>
            </wp:positionV>
            <wp:extent cx="603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-890905</wp:posOffset>
            </wp:positionV>
            <wp:extent cx="603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ind w:left="200" w:hanging="174"/>
        <w:spacing w:after="0" w:line="230" w:lineRule="auto"/>
        <w:tabs>
          <w:tab w:leader="none" w:pos="200" w:val="left"/>
        </w:tabs>
        <w:numPr>
          <w:ilvl w:val="0"/>
          <w:numId w:val="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Charges of $145 million exclude $4 million of benefit plan termination benefit charges recorded in Rationalizations in the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-144780</wp:posOffset>
            </wp:positionV>
            <wp:extent cx="264033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second quarter of 2025, we approved a proposed plan to close our manufacturing facility in Kariega, South Africa in the EMEA business unit. The plan includes approximately 900 job reductions, including associates and contracted positions, and is expected to be substantially complete by the end of 2025. The total charges associated with this action are expected to be between $100 million and $110 million, of which $45 million to $55 million are expected to be cash charges primarily for associate-related and other exit costs and the remaining costs are expected to be non-cash charges primarily for accelerated depreciation and other asset-related charges. The rationalization plan remains subject to consultation with employee representative bodies. We have accrued approximately $26 million for this plan at June 30, 2025.</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first quarter of 2025, we approved a rationalization plan to eliminate our production of commercial tires in our Danville, Virginia tire manufacturing facility ("Danville") in order to reduce our production cost per tire in Americas. The plan includes approximately 850 job reductions, including associates and contracted positions. We expect to substantially complete this rationalization plan by the end of 2025. Total pre-tax charges are expected to be between $130 million and $140 million, of which $80 million to $90 million is expected to be cash charges primarily for associate-related and other exit costs and the remaining costs are expected to be non-cash charges primarily for accelerated depreciation, pension termination benefit charges and other asset-related charges. We have approximately $23 million accrued for this plan at June 30, 2025.</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first quarter of 2025, we approved a plan to reduce Selling, Administrative and General expenses (“SAG”) headcount in Americas and Corporate. The proposed plan includes approximately 80 net headcount reductions. Total estimated pre-tax charges are expected to be approximately $6 million. We have accrued approximately $2 million for this plan at June 30, 2025.</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the accrual balance at June 30, 2025 includes $219 million related to the closures of our Fulda, Germany ("Fulda") and our Fürstenwalde, Germany ("Fürstenwalde") tire manufacturing facilities, $56 million related to a</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rationalization and workforce reorganization plan in EMEA, which reflects $7 million of reversals due to voluntary attrition, $7 million related to the plan to open a shared service center in Costa Rica and to exit certain Commercial Tire and Service Center ("CTSC") locations, $5 million related to the closed Amiens, France tire manufacturing facility, $4 million related to a global workforce reorganization plan to improve our cost structure, $3 million related to plans to reduce SAG headcount, $2 million related to the closure of Cooper Tire's Melksham, United Kingdom tire manufacturing facility ("Melksham"), and various other plans to reduce headcount and improve operating efficiency.</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June 30, 2025 and December 31, 2024, $291 million and $296 million were recorded in Other Current Liabilities in the Consolidated Balance Sheets,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net rationalization charges included in Income (Loss) before Income Taxes: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5"/>
                <w:szCs w:val="15"/>
                <w:color w:val="auto"/>
              </w:rPr>
            </w:pPr>
          </w:p>
        </w:tc>
        <w:tc>
          <w:tcPr>
            <w:tcW w:w="2400" w:type="dxa"/>
            <w:vAlign w:val="bottom"/>
            <w:gridSpan w:val="4"/>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0"/>
        </w:trPr>
        <w:tc>
          <w:tcPr>
            <w:tcW w:w="5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19"/>
                <w:szCs w:val="19"/>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570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Current Year Plans</w:t>
            </w:r>
          </w:p>
        </w:tc>
        <w:tc>
          <w:tcPr>
            <w:tcW w:w="32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Associate Severance and Other Related Costs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Benefit Plan Curtailments/Settlements/Termination Benefits</w:t>
            </w:r>
          </w:p>
        </w:tc>
        <w:tc>
          <w:tcPr>
            <w:tcW w:w="3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Exit Costs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57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7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Current Year Plans - Net Charges</w:t>
            </w: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Prior Year Plans</w:t>
            </w:r>
          </w:p>
        </w:tc>
        <w:tc>
          <w:tcPr>
            <w:tcW w:w="3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Associate Severance and Other Related Costs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Exit Costs</w:t>
            </w:r>
          </w:p>
        </w:tc>
        <w:tc>
          <w:tcPr>
            <w:tcW w:w="32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spacing w:after="0"/>
              <w:rPr>
                <w:sz w:val="23"/>
                <w:szCs w:val="23"/>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7"/>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Prior Year Plans - Net Charges</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8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0" w:type="dxa"/>
            <w:vAlign w:val="bottom"/>
          </w:tcPr>
          <w:p>
            <w:pPr>
              <w:spacing w:after="0"/>
              <w:rPr>
                <w:sz w:val="1"/>
                <w:szCs w:val="1"/>
                <w:color w:val="auto"/>
              </w:rPr>
            </w:pPr>
          </w:p>
        </w:tc>
      </w:tr>
      <w:tr>
        <w:trPr>
          <w:trHeight w:val="27"/>
        </w:trPr>
        <w:tc>
          <w:tcPr>
            <w:tcW w:w="57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7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b w:val="1"/>
                <w:bCs w:val="1"/>
                <w:color w:val="auto"/>
              </w:rPr>
              <w:t>Total Net Charges</w:t>
            </w: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140</w:t>
            </w:r>
          </w:p>
        </w:tc>
        <w:tc>
          <w:tcPr>
            <w:tcW w:w="1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0" w:type="dxa"/>
            <w:vAlign w:val="bottom"/>
          </w:tcPr>
          <w:p>
            <w:pPr>
              <w:spacing w:after="0"/>
              <w:rPr>
                <w:sz w:val="1"/>
                <w:szCs w:val="1"/>
                <w:color w:val="auto"/>
              </w:rPr>
            </w:pPr>
          </w:p>
        </w:tc>
      </w:tr>
      <w:tr>
        <w:trPr>
          <w:trHeight w:val="20"/>
        </w:trPr>
        <w:tc>
          <w:tcPr>
            <w:tcW w:w="570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Asset write-offs (recoveries), accelerated depreciation, and accelerated lease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700" w:type="dxa"/>
            <w:vAlign w:val="bottom"/>
            <w:vMerge w:val="continue"/>
          </w:tcPr>
          <w:p>
            <w:pPr>
              <w:spacing w:after="0"/>
              <w:rPr>
                <w:sz w:val="14"/>
                <w:szCs w:val="14"/>
                <w:color w:val="auto"/>
              </w:rPr>
            </w:pPr>
          </w:p>
        </w:tc>
        <w:tc>
          <w:tcPr>
            <w:tcW w:w="3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4"/>
                <w:szCs w:val="14"/>
                <w:color w:val="auto"/>
              </w:rPr>
            </w:pPr>
          </w:p>
        </w:tc>
        <w:tc>
          <w:tcPr>
            <w:tcW w:w="3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4"/>
                <w:szCs w:val="14"/>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4"/>
                <w:szCs w:val="14"/>
                <w:color w:val="auto"/>
              </w:rPr>
            </w:pP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3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net</w:t>
            </w:r>
          </w:p>
        </w:tc>
        <w:tc>
          <w:tcPr>
            <w:tcW w:w="32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6236970</wp:posOffset>
            </wp:positionH>
            <wp:positionV relativeFrom="paragraph">
              <wp:posOffset>-342265</wp:posOffset>
            </wp:positionV>
            <wp:extent cx="603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-342265</wp:posOffset>
            </wp:positionV>
            <wp:extent cx="603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-522605</wp:posOffset>
            </wp:positionV>
            <wp:extent cx="603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-522605</wp:posOffset>
            </wp:positionV>
            <wp:extent cx="603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-719455</wp:posOffset>
            </wp:positionV>
            <wp:extent cx="603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-865505</wp:posOffset>
            </wp:positionV>
            <wp:extent cx="603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-865505</wp:posOffset>
            </wp:positionV>
            <wp:extent cx="603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-1208405</wp:posOffset>
            </wp:positionV>
            <wp:extent cx="603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-1405255</wp:posOffset>
            </wp:positionV>
            <wp:extent cx="603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-1405255</wp:posOffset>
            </wp:positionV>
            <wp:extent cx="603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-1567815</wp:posOffset>
            </wp:positionV>
            <wp:extent cx="603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-1559560</wp:posOffset>
            </wp:positionV>
            <wp:extent cx="603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-1559560</wp:posOffset>
            </wp:positionV>
            <wp:extent cx="603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-1756410</wp:posOffset>
            </wp:positionV>
            <wp:extent cx="603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-1902460</wp:posOffset>
            </wp:positionV>
            <wp:extent cx="603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-2253615</wp:posOffset>
            </wp:positionV>
            <wp:extent cx="603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-2253615</wp:posOffset>
            </wp:positionV>
            <wp:extent cx="603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Substantially all of the new charges for the three and six months ended June 30, 2025 and 2024 relate to future cash outflows. Net current year plan charges for the three months ended June 30, 2025 primarily relate to the plans approved during the first and second quarter of 2025 described above. Net current year plan charges for the six months ended June 30, 2025 also include a $4 million termination benefits charge for one of our defined benefit pension plans related to headcount reductions at Danville. Net current year plan charges for the three months ended June 30, 2024 primarily relate to the plan to open a new shared service center in Costa Rica. Net current year plan charges for the six months ended June 30, 2024 also include the closure of our tire manufacturing facility in Malaysia.</w:t>
      </w:r>
    </w:p>
    <w:p>
      <w:pPr>
        <w:spacing w:after="0" w:line="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Net prior year plan charges for the three months ended June 30, 2025 include $15 million related to the closures of Fulda and Fürstenwalde, $5 million related to the rationalization and workforce reorganization plan in EMEA, $2 million related to the closure of Melksham, $2 million related to plans to reduce SAG headcount, $1 million related to our closure of certain retail and warehouse locations in Americas, and reversals of $3 million primarily related to voluntary attrition. Net prior year plan charges for the six months ended June 30, 2025 include $30 million related to the closures of Fulda and Fürstenwalde, $7 million related to the rationalization and workforce reorganization plan in EMEA, $3 million related to the closure of Melksham, $3 million related to plans to reduce SAG headcount, $2 million related to our closure of certain retail and warehouse locations in Americas, and reversals of $9 million primarily related to voluntary attrition. Net prior year plan charges for the three months ended June 30, 2024 include $6 million related to the closures of Fulda and Fürstenwalde, $3 million related to the closure of Melksham, $2 million related to a plan to improve profitability in Australia and New Zealand, $2 million related to a plan to streamline our EMEA distribution network, $1 million related to our closure of certain retail and warehouse locations in Americas, $1 million related to plans to reduce SAG headcount, and reversals of $12 million primarily related to voluntary attrition. Net prior year plan charges for the six months ended June 30, 2024 include $8 million related to the closures of Fulda and Fürstenwalde, $7 million related to the closure of Melksham, $3 million related to the plan in Australia and New Zealand, $3 million related to the permanent closure of our Gadsden, Alabama tire manufacturing facility, $2 million related to the plan to streamline our EMEA distribution network, $2 million related to the closure of certain retail and warehouse locations in Americas, $1 million related to plans to reduce SAG headcount, and reversals of $13 million related to voluntary attrition.</w:t>
      </w:r>
    </w:p>
    <w:p>
      <w:pPr>
        <w:spacing w:after="0" w:line="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Asset write-offs (recoveries), accelerated depreciation, and accelerated lease costs for both the three and six months ended June 30, 2025 primarily relate to the announced closures of Fulda and Fürstenwalde, the plan to reduce our production capacity at Danville, and the proposed plan to close our manufacturing facility in South Africa.</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Asset write-offs (recoveries), accelerated depreciation, and accelerated lease costs for both the three and six months ended June 30, 2024 primarily relate to the announced closures of our Fulda, Fürstenwalde and Malaysia tire manufacturing facilities, as well as the closure of a development center and warehouse in the U.S.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Ongoing rationalization plans had approximately $1,050 million in charges incurred prior to 2025 and have approximately $200 million in expected charges to be incurred in future periods.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Approximately 1,800 associates will be released under plans initiated in 2025, of which approximately 750 were released through June 30, 2025. In the first six months of 2025, approximately 700 associates were released under plans initiated in prior years. Approximately 2,700 associates remain to be released under all ongoing rationalization plans.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5. OTHER (INCOME) EXPENSE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80" w:type="dxa"/>
            <w:vAlign w:val="bottom"/>
            <w:gridSpan w:val="3"/>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20" w:type="dxa"/>
            <w:vAlign w:val="bottom"/>
            <w:gridSpan w:val="4"/>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0"/>
        </w:trPr>
        <w:tc>
          <w:tcPr>
            <w:tcW w:w="5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80" w:type="dxa"/>
            <w:vAlign w:val="bottom"/>
            <w:gridSpan w:val="3"/>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6"/>
                <w:szCs w:val="16"/>
                <w:color w:val="auto"/>
              </w:rPr>
            </w:pP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Pr>
          <w:p>
            <w:pPr>
              <w:spacing w:after="0"/>
              <w:rPr>
                <w:sz w:val="19"/>
                <w:szCs w:val="19"/>
                <w:color w:val="auto"/>
              </w:rPr>
            </w:pPr>
          </w:p>
        </w:tc>
        <w:tc>
          <w:tcPr>
            <w:tcW w:w="10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570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43"/>
        </w:trPr>
        <w:tc>
          <w:tcPr>
            <w:tcW w:w="5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Non-service related pension and other postretirement benefits cost</w:t>
            </w: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fees and financial instruments expense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7"/>
        </w:trPr>
        <w:tc>
          <w:tcPr>
            <w:tcW w:w="5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foreign currency exchange (gains) losses</w:t>
            </w:r>
          </w:p>
        </w:tc>
        <w:tc>
          <w:tcPr>
            <w:tcW w:w="3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5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product liability expense - discontinued products</w:t>
            </w:r>
          </w:p>
        </w:tc>
        <w:tc>
          <w:tcPr>
            <w:tcW w:w="3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Royalty and other (income)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5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Miscellaneous expense</w:t>
            </w:r>
          </w:p>
        </w:tc>
        <w:tc>
          <w:tcPr>
            <w:tcW w:w="30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FF0FC"/>
            </w:tcBorders>
            <w:shd w:val="clear" w:color="auto" w:fill="CFF0FC"/>
          </w:tcPr>
          <w:p>
            <w:pPr>
              <w:spacing w:after="0"/>
              <w:rPr>
                <w:sz w:val="23"/>
                <w:szCs w:val="23"/>
                <w:color w:val="auto"/>
              </w:rPr>
            </w:pPr>
          </w:p>
        </w:tc>
        <w:tc>
          <w:tcPr>
            <w:tcW w:w="880" w:type="dxa"/>
            <w:vAlign w:val="bottom"/>
            <w:tcBorders>
              <w:bottom w:val="single" w:sz="8" w:color="CFF0FC"/>
            </w:tcBorders>
            <w:shd w:val="clear" w:color="auto" w:fill="CFF0FC"/>
          </w:tcPr>
          <w:p>
            <w:pPr>
              <w:spacing w:after="0"/>
              <w:rPr>
                <w:sz w:val="23"/>
                <w:szCs w:val="23"/>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7"/>
        </w:trPr>
        <w:tc>
          <w:tcPr>
            <w:tcW w:w="57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tcPr>
          <w:p>
            <w:pPr>
              <w:spacing w:after="0"/>
              <w:rPr>
                <w:sz w:val="20"/>
                <w:szCs w:val="20"/>
                <w:color w:val="auto"/>
              </w:rPr>
            </w:pPr>
          </w:p>
        </w:tc>
        <w:tc>
          <w:tcPr>
            <w:tcW w:w="880" w:type="dxa"/>
            <w:vAlign w:val="bottom"/>
            <w:tcBorders>
              <w:top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r>
      <w:tr>
        <w:trPr>
          <w:trHeight w:val="27"/>
        </w:trPr>
        <w:tc>
          <w:tcPr>
            <w:tcW w:w="5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5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-376555</wp:posOffset>
            </wp:positionV>
            <wp:extent cx="603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-376555</wp:posOffset>
            </wp:positionV>
            <wp:extent cx="603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-719455</wp:posOffset>
            </wp:positionV>
            <wp:extent cx="603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-719455</wp:posOffset>
            </wp:positionV>
            <wp:extent cx="603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-916940</wp:posOffset>
            </wp:positionV>
            <wp:extent cx="603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-916940</wp:posOffset>
            </wp:positionV>
            <wp:extent cx="603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-916940</wp:posOffset>
            </wp:positionV>
            <wp:extent cx="603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-1062355</wp:posOffset>
            </wp:positionV>
            <wp:extent cx="603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-1062355</wp:posOffset>
            </wp:positionV>
            <wp:extent cx="603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-1062355</wp:posOffset>
            </wp:positionV>
            <wp:extent cx="603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-1259840</wp:posOffset>
            </wp:positionV>
            <wp:extent cx="603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-1422400</wp:posOffset>
            </wp:positionV>
            <wp:extent cx="603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-1422400</wp:posOffset>
            </wp:positionV>
            <wp:extent cx="603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Non-service related pension and other postretirement benefits cost consists primarily of the interest cost, expected return on plan assets and amortization components of net periodic cost, as well as curtailments and settlements which are not related to rationalization plans. Pension expense for the six months ended June 30, 2025 includes a pension settlement charge of $4 million resulting from total lump sum payments exceeding annual service and interest cost of the applicable plan. Pension expense for the six months ended June 30, 2024 includes a pension settlement credit of $5 million related to a premium refund on the purchase of a group annuity contract for the Cooper Tire U.S. salaried defined benefit pension plan in 2023. For further information, refer to Note to the Consolidated Financial Statements No. 11, Pension, Savings and Other Postretirement Benefit Plans.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foreign currency exchange (gains) losses for the three and six months ended June 30, 2025 includes an $11 million loss and a $13 million loss, respectively, related to the Turkish lira and a $2 million loss and a $4 million gain, respectively, related to the euro. Net foreign currency exchange (gains) losses for the three months ended June 30, 2024 includes a $1 million loss related to the Turkish lira and a $2 million gain related to the euro. Net foreign currency exchange (gains) losses for the six months ended June 30, 2024 includes a $4 million loss related to the Turkish lira.</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Royalty and other income for the three and six months ended June 30, 2025 includes $8 million and $14 million, respectively, primarily related to royalty income, and $7 million and $12 million, respectively, related to OTR transition license agreement royalty income and transition services income related to the sales of the OTR tire business and the Dunlop brand. Royalty and other income for the three and six months ended June 30, 2024 is primarily related to royalty income.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Miscellaneous expense for the three and six months ended June 30, 2025 includes transaction costs of $2 million and $6 million, respectively, primarily related to the sale of the Chemical Business. Miscellaneous expense for the six months ended June 30, 2024 includes an $8 million loss related to the sale of receivables in Argentina.</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Expense also includes financing fees and financial instruments expense, which consists of commitment fees and charges incurred in connection with financing transactions; interest income; and general and product liability expense - discontinued products, which consists of charges for claims against us related primarily to asbestos personal injury claims, net of probable insurance recoveries.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6. INCOME TAXES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second quarter of 2025, we recorded income tax expense of $24 million on income before income taxes of $305 million. For the first six months of 2025, we recorded income tax expense of $37 million on income before income taxes of $436 million. Income tax expense for the three and six months ended June 30, 2025 includes net discrete tax benefits of $4 million and $5 million,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second quarter of 2024, we recorded income tax expense of $60 million on income before income taxes of $133 million. For the first six months of 2024, we recorded income tax expense of $66 million on income before income taxes of $69 million. Income tax expense for the six months ended June 30, 2024 includes a net discrete tax benefit of $1 million.</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record taxes based on overall estimated annual effective tax rates. The difference between our effective tax rate and the U.S. statutory rate of 21% for the three and six months ended June 30, 2025 is favorably impacted by gains recognized as a result of the sales of the OTR tire business and the Dunlop brand, which included certain associated intellectual property and other intangible assets, in jurisdictions where no taxes are recorded, net of losses in foreign jurisdictions in which no tax benefits are recorded, and the discrete items noted above. The difference between our effective tax rate and the U.S. statutory rate of 21% for the three and six months ended June 30, 2024 primarily relates to losses in foreign jurisdictions in which no tax benefits are recorded and the discrete items noted above.</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tax treatment for certain business provisions. We do not expect a material impact from OBBBA on our 2025 operating tax rates. We will continue to assess the impact on us as regulations develop in the future.</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Organisation for Economic Co-operation and Development ("OECD") have published the Pillar Two model rules which adopt a global corporate minimum tax of 15% for multinational enterprises with average revenue in excess of €750 million. Certain jurisdictions in which we operate enacted legislation consistent with one or more of the OECD Pillar Two model rules effective in 2024. The model rules include minimum domestic top-up taxes, income inclusion rules, and undertaxed profit rules all aimed to ensure that multinational corporations pay a minimum effective corporate tax rate of 15% in each jurisdiction in which they operate. We do not expect the Pillar Two model rules to materially impact our annual effective tax rate in 2025. However, we are continuing to evaluate the Pillar Two model rules and related legislation and their potential impact on future periods.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consider both positive and negative evidence when measuring the need for a valuation allowance. The weight given to the evidence is commensurate with the extent to which it may be objectively verified. Current and cumulative financial reporting results are a source of objectively verifiable information. We give operating results during the most recent three-year period a significant weight in our analysis. We perform scheduling exercises to determine if sufficient taxable income of the appropriate character exists in the periods required in order to realize our deferred tax assets with limited lives (such as tax loss carryforwards and tax credits) prior to their expiration. We also consider prudent tax planning strategies (including an assessment of their feasibility) to accelerate taxable income if required to utilize expiring deferred tax assets. A valuation allowance is not required to the extent that, in our judgment, positive evidence exists with a magnitude and duration sufficient to result in a conclusion that it is more likely than not that our deferred tax assets will be realized.</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June 30, 2025 and December 31, 2024, we had approximately $1.4 billion and $1.3 billion, respectively, of U.S. federal, state and local net deferred tax assets, inclusive of valuation allowances totaling $36 million and $26 million, respectively, primarily for state tax loss carryforwards with limited lives. As of June 30, 2025, approximately $1.2 billion of these U.S. net deferred tax assets had unlimited lives and approximately $200 million had limited lives, and the majority do not start to expire until 2030. As of December 31, 2024, approximately $1.1 billion of these U.S. net deferred tax assets had unlimited lives and approximately $200 million had limited lives, including $24 million of foreign tax credits, and the majority do not start to expire until 2030. In the U.S., we have a cumulative loss for the three-year period ended June 30, 2025 primarily driven by non-recurring items such as rationalization charges, pension curtailments and settlements, one-time costs associated with the Goodyear Forward plan, and intangible asset impairments.</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assessing our ability to utilize our net deferred tax assets, we primarily considered objectively verifiable information including the reduction in interest expense from debt repayment as a result of the sales of the OTR tire business and the Dunlop brand, which included certain associated intellectual property and other intangible assets, and future royalty income from foreign subsidiaries. In addition, we considered our current forecasts of future profitability in assessing our ability to realize our deferred tax assets as well as the impact of tax planning strategies. These forecasts include the impact of recent trends and various macroeconomic factors such as the impact of raw material, transportation, tariff, labor and energy costs on our profitability. Our tax planning strategies include accelerating income on cross border transactions, including sales of inventory or raw materials to our subsidiaries, reducing U.S. interest expense by, for example, repaying U.S. third-party debt and reducing intercompany loans through repatriating current year earnings of foreign subsidiaries, repatriation of certain foreign royalty income, and other financing transactions, all of which would increase our domestic profitability.</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our forecasts of future profitability, including a reduction in interest expense from debt repayment as a result of the sales of the OTR tire business and the Dunlop brand, which included certain associated intellectual property and other intangible assets, provide us sufficient positive evidence to conclude that it is more likely than not that, at June 30, 2025, our U.S. net deferred tax assets will be fully utilized. However, macroeconomic factors such as raw material, transportation, tariff, labor and energy costs possess a high degree of volatility and can significantly impact our profitability. Our U.S. operating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results for the quarter ended June 30, 2025 declined relative to prior periods. If our U.S. operating results continue to decline in the future, we may need to record a valuation allowance which could adversely impact our operating results. As such, we will closely monitor our U.S. operations and any tax law changes to assess the realizability of our U.S. deferred tax assets.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June 30, 2025 and December 31, 2024, we also had approximately $1.5 billion of foreign net deferred tax assets and related valuation allowances of approximately $1.3 billion and $1.2 billion, respectively. Our losses in various foreign taxing jurisdictions in recent periods represented sufficient negative evidence to require us to maintain a full valuation allowance against certain of these net foreign deferred tax assets. Most notably, in Luxembourg, we maintain a valuation allowance of approximately $1.0 billion on all of our net deferred tax assets. Each reporting period, we assess available positive and negative evidence and estimate if sufficient future taxable income will be generated to utilize these existing deferred tax assets. We do not believe that sufficient positive evidence required to release valuation allowances on our foreign deferred tax assets having a significant impact on our financial position or results of operations will exist within the next twelve months.</w:t>
      </w:r>
    </w:p>
    <w:p>
      <w:pPr>
        <w:spacing w:after="0" w:line="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2025, changes to our unrecognized tax benefits did not, and for the full year of 2025 are not expected to, have a significant impact on our financial position or results of operations.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open to examination in the United States from 2021 onward and in Germany from 2018 onward. Generally, for our remaining tax jurisdictions, years from 2020 onward are still open to examination.</w:t>
      </w:r>
    </w:p>
    <w:p>
      <w:pPr>
        <w:spacing w:after="0" w:line="5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Following an audit by the Internal Revenue Service ("IRS"), we received a Notice of Proposed Adjustment ("NOPA") during the second quarter of 2025 related to an intercompany sale of certain intellectual property in 2021. The IRS proposes to disallow income recognition totaling $1.5 billion associated with this transaction. The federal tax charge related to that income recognition was fully offset by the utilization of $315 million of then-existing deferred tax assets, including tax loss carryforwards and foreign tax credits.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disagree with the IRS’s position as stated in the NOPA and plan to challenge the proposed adjustments through the established IRS administrative procedures. Based on the information currently available, we believe that it is more likely than not that our tax position will be sustained upon review; therefore, no changes have been made to our reserve for uncertain tax positions relating to the NOPA. The ultimate resolution of this matter is uncertain, and if the income recognition associated with the transaction is disallowed, we will not be able to use a portion of the deferred tax assets that we utilized to offset the related federal taxes and our operating results could be adversely impacted.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7. EARNINGS PER SHARE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Basic earnings per share are computed based on the weighted average number of common shares outstanding. Diluted earnings per share are calculated to reflect the potential dilution that could occur if securities or other contracts were exercised or converted into common stock.</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earnings per common share are calculated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5"/>
                <w:szCs w:val="15"/>
                <w:color w:val="auto"/>
              </w:rPr>
            </w:pPr>
          </w:p>
        </w:tc>
        <w:tc>
          <w:tcPr>
            <w:tcW w:w="2420" w:type="dxa"/>
            <w:vAlign w:val="bottom"/>
            <w:gridSpan w:val="4"/>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0"/>
        </w:trPr>
        <w:tc>
          <w:tcPr>
            <w:tcW w:w="5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300" w:type="dxa"/>
            <w:vAlign w:val="bottom"/>
          </w:tcPr>
          <w:p>
            <w:pPr>
              <w:spacing w:after="0"/>
              <w:rPr>
                <w:sz w:val="19"/>
                <w:szCs w:val="19"/>
                <w:color w:val="auto"/>
              </w:rPr>
            </w:pPr>
          </w:p>
        </w:tc>
        <w:tc>
          <w:tcPr>
            <w:tcW w:w="10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568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 — basic:</w:t>
            </w:r>
          </w:p>
        </w:tc>
        <w:tc>
          <w:tcPr>
            <w:tcW w:w="30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Goodyear net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8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6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0"/>
        </w:trPr>
        <w:tc>
          <w:tcPr>
            <w:tcW w:w="5680" w:type="dxa"/>
            <w:vAlign w:val="bottom"/>
            <w:tcBorders>
              <w:top w:val="single" w:sz="8" w:color="CFF0FC"/>
              <w:bottom w:val="single" w:sz="8" w:color="CFF0FC"/>
            </w:tcBorders>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Earnings per common share — basic</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80" w:type="dxa"/>
            <w:vAlign w:val="bottom"/>
            <w:vMerge w:val="continue"/>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0.88</w:t>
            </w:r>
          </w:p>
        </w:tc>
        <w:tc>
          <w:tcPr>
            <w:tcW w:w="100" w:type="dxa"/>
            <w:vAlign w:val="bottom"/>
          </w:tcPr>
          <w:p>
            <w:pPr>
              <w:spacing w:after="0"/>
              <w:rPr>
                <w:sz w:val="18"/>
                <w:szCs w:val="18"/>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0.28</w:t>
            </w:r>
          </w:p>
        </w:tc>
        <w:tc>
          <w:tcPr>
            <w:tcW w:w="8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c>
          <w:tcPr>
            <w:tcW w:w="100" w:type="dxa"/>
            <w:vAlign w:val="bottom"/>
          </w:tcPr>
          <w:p>
            <w:pPr>
              <w:spacing w:after="0"/>
              <w:rPr>
                <w:sz w:val="18"/>
                <w:szCs w:val="18"/>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0.04</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8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 — diluted:</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56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Goodyear net income</w:t>
            </w: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5680" w:type="dxa"/>
            <w:vAlign w:val="bottom"/>
            <w:tcBorders>
              <w:top w:val="single" w:sz="8" w:color="CFF0FC"/>
              <w:bottom w:val="single" w:sz="8" w:color="CFF0FC"/>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Dilutive effect of stock options and other dilutive securities</w:t>
            </w:r>
          </w:p>
        </w:tc>
        <w:tc>
          <w:tcPr>
            <w:tcW w:w="30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spacing w:after="0"/>
              <w:rPr>
                <w:sz w:val="23"/>
                <w:szCs w:val="23"/>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spacing w:after="0"/>
              <w:rPr>
                <w:sz w:val="23"/>
                <w:szCs w:val="23"/>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7"/>
        </w:trPr>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8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6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Earnings per common share — diluted</w:t>
            </w: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0.87</w:t>
            </w:r>
          </w:p>
        </w:tc>
        <w:tc>
          <w:tcPr>
            <w:tcW w:w="1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0.28</w:t>
            </w:r>
          </w:p>
        </w:tc>
        <w:tc>
          <w:tcPr>
            <w:tcW w:w="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1.27</w:t>
            </w:r>
          </w:p>
        </w:tc>
        <w:tc>
          <w:tcPr>
            <w:tcW w:w="1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0.04</w:t>
            </w:r>
          </w:p>
        </w:tc>
        <w:tc>
          <w:tcPr>
            <w:tcW w:w="0" w:type="dxa"/>
            <w:vAlign w:val="bottom"/>
          </w:tcPr>
          <w:p>
            <w:pPr>
              <w:spacing w:after="0"/>
              <w:rPr>
                <w:sz w:val="1"/>
                <w:szCs w:val="1"/>
                <w:color w:val="auto"/>
              </w:rPr>
            </w:pPr>
          </w:p>
        </w:tc>
      </w:tr>
      <w:tr>
        <w:trPr>
          <w:trHeight w:val="20"/>
        </w:trPr>
        <w:tc>
          <w:tcPr>
            <w:tcW w:w="56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-33655</wp:posOffset>
            </wp:positionV>
            <wp:extent cx="603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-33655</wp:posOffset>
            </wp:positionV>
            <wp:extent cx="603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-33655</wp:posOffset>
            </wp:positionV>
            <wp:extent cx="596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-213995</wp:posOffset>
            </wp:positionV>
            <wp:extent cx="603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-213995</wp:posOffset>
            </wp:positionV>
            <wp:extent cx="6032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-213995</wp:posOffset>
            </wp:positionV>
            <wp:extent cx="596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-436245</wp:posOffset>
            </wp:positionV>
            <wp:extent cx="603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-590550</wp:posOffset>
            </wp:positionV>
            <wp:extent cx="603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-796290</wp:posOffset>
            </wp:positionV>
            <wp:extent cx="603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-796290</wp:posOffset>
            </wp:positionV>
            <wp:extent cx="596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-959485</wp:posOffset>
            </wp:positionV>
            <wp:extent cx="603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-1302385</wp:posOffset>
            </wp:positionV>
            <wp:extent cx="603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-1302385</wp:posOffset>
            </wp:positionV>
            <wp:extent cx="596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-1533525</wp:posOffset>
            </wp:positionV>
            <wp:extent cx="603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-1533525</wp:posOffset>
            </wp:positionV>
            <wp:extent cx="603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-1533525</wp:posOffset>
            </wp:positionV>
            <wp:extent cx="596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-1713865</wp:posOffset>
            </wp:positionV>
            <wp:extent cx="603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-1713865</wp:posOffset>
            </wp:positionV>
            <wp:extent cx="603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-1713865</wp:posOffset>
            </wp:positionV>
            <wp:extent cx="596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-1927860</wp:posOffset>
            </wp:positionV>
            <wp:extent cx="603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-2082165</wp:posOffset>
            </wp:positionV>
            <wp:extent cx="603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-2082165</wp:posOffset>
            </wp:positionV>
            <wp:extent cx="596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Weighted average shares outstanding — diluted for the three and six months ended June 30, 2025 excludes approximately 1 million equivalent shares and 3 million equivalent shares, respectively, and, for both the three and six months ended June 30, 2024, excludes approximately 1 million equivalent shares related to options with exercise prices greater than the average market price of our common shares (i.e., "underwater" options).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8. BUSINESS SEGMENTS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Results of operations are measured based on net sales to unaffiliated customers and segment operating income. Each segment exports tires to other segments. The financial results of each segment exclude sales of tires exported to other segments, but include operating income derived from such transactions. Segment operating income is computed as follows: Net sales less Cost of Goods Sold ("CGS") (excluding asset write-offs and accelerated depreciation charges) and SAG (including certain allocated corporate administrative expenses). Segment operating income also includes certain royalties and equity in earnings of most affiliates. Segment operating income does not include net rationalization charges, asset sales, goodwill and other asset impairment charges, and certain other items.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chief operating decision maker ("CODM") is the Chief Executive Officer. The CODM uses segment operating income to allocate resources (including employees, property, and financial or capital resources) for each segment predominantly in the annual budget and forecasting process. The CODM considers budget-to-actual variances on a monthly basis for the profit measure when making decisions about allocating capital and personnel to the segments. The CODM also uses segment operating income or loss for evaluating product pricing and to assess the performance for each segment by comparing the results and return on assets of each segment with one another and in the compensation of certain employees.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segment sales, significant segment expenses and operating income, and the reconciliation of segment operating income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before Income Taxes: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7"/>
        </w:trPr>
        <w:tc>
          <w:tcPr>
            <w:tcW w:w="52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3"/>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71"/>
        </w:trPr>
        <w:tc>
          <w:tcPr>
            <w:tcW w:w="5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Europe, Middle East</w:t>
            </w: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0"/>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26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and Africa</w:t>
            </w:r>
          </w:p>
        </w:tc>
        <w:tc>
          <w:tcPr>
            <w:tcW w:w="24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320" w:type="dxa"/>
            <w:vAlign w:val="bottom"/>
          </w:tcPr>
          <w:p>
            <w:pPr>
              <w:spacing w:after="0"/>
              <w:rPr>
                <w:sz w:val="16"/>
                <w:szCs w:val="16"/>
                <w:color w:val="auto"/>
              </w:rPr>
            </w:pPr>
          </w:p>
        </w:tc>
        <w:tc>
          <w:tcPr>
            <w:tcW w:w="110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22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43"/>
        </w:trPr>
        <w:tc>
          <w:tcPr>
            <w:tcW w:w="5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4,465</w:t>
            </w:r>
          </w:p>
        </w:tc>
      </w:tr>
      <w:tr>
        <w:trPr>
          <w:trHeight w:val="243"/>
        </w:trPr>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3,669</w:t>
            </w:r>
          </w:p>
        </w:tc>
      </w:tr>
      <w:tr>
        <w:trPr>
          <w:trHeight w:val="243"/>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Administrative and General Expense</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(income)</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FF0FC"/>
          </w:tcPr>
          <w:p>
            <w:pPr>
              <w:spacing w:after="0"/>
              <w:rPr>
                <w:sz w:val="23"/>
                <w:szCs w:val="23"/>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spacing w:after="0"/>
              <w:rPr>
                <w:sz w:val="23"/>
                <w:szCs w:val="23"/>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spacing w:after="0"/>
              <w:rPr>
                <w:sz w:val="23"/>
                <w:szCs w:val="23"/>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spacing w:after="0"/>
              <w:rPr>
                <w:sz w:val="23"/>
                <w:szCs w:val="2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7"/>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Income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100" w:type="dxa"/>
            <w:vAlign w:val="bottom"/>
          </w:tcPr>
          <w:p>
            <w:pPr>
              <w:spacing w:after="0"/>
              <w:rPr>
                <w:sz w:val="20"/>
                <w:szCs w:val="20"/>
                <w:color w:val="auto"/>
              </w:rPr>
            </w:pP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8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159</w:t>
            </w:r>
          </w:p>
        </w:tc>
      </w:tr>
      <w:tr>
        <w:trPr>
          <w:trHeight w:val="27"/>
        </w:trPr>
        <w:tc>
          <w:tcPr>
            <w:tcW w:w="5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522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7"/>
        </w:trPr>
        <w:tc>
          <w:tcPr>
            <w:tcW w:w="52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w:t>
            </w:r>
          </w:p>
        </w:tc>
        <w:tc>
          <w:tcPr>
            <w:tcW w:w="26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r>
      <w:tr>
        <w:trPr>
          <w:trHeight w:val="243"/>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Rationalizations (Note 4)</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43"/>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(Note 5)</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(gains) losses on asset sales</w:t>
            </w:r>
          </w:p>
        </w:tc>
        <w:tc>
          <w:tcPr>
            <w:tcW w:w="2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25"/>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write-offs, accelerated depreciation and accelerated lease costs,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4"/>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(Note 4)</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incentive compensation plans</w:t>
            </w:r>
          </w:p>
        </w:tc>
        <w:tc>
          <w:tcPr>
            <w:tcW w:w="2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3"/>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expenses of divested operations</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(2)</w:t>
            </w:r>
          </w:p>
        </w:tc>
        <w:tc>
          <w:tcPr>
            <w:tcW w:w="260" w:type="dxa"/>
            <w:vAlign w:val="bottom"/>
            <w:shd w:val="clear" w:color="auto" w:fill="CFF0FC"/>
          </w:tcPr>
          <w:p>
            <w:pPr>
              <w:spacing w:after="0"/>
              <w:rPr>
                <w:sz w:val="23"/>
                <w:szCs w:val="23"/>
                <w:color w:val="auto"/>
              </w:rPr>
            </w:pPr>
          </w:p>
        </w:tc>
        <w:tc>
          <w:tcPr>
            <w:tcW w:w="116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118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120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spacing w:after="0"/>
              <w:rPr>
                <w:sz w:val="23"/>
                <w:szCs w:val="2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7"/>
        </w:trPr>
        <w:tc>
          <w:tcPr>
            <w:tcW w:w="52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6219825</wp:posOffset>
            </wp:positionH>
            <wp:positionV relativeFrom="paragraph">
              <wp:posOffset>17145</wp:posOffset>
            </wp:positionV>
            <wp:extent cx="90868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08685"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-1833880</wp:posOffset>
            </wp:positionV>
            <wp:extent cx="5969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-1833880</wp:posOffset>
            </wp:positionV>
            <wp:extent cx="596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-1833880</wp:posOffset>
            </wp:positionV>
            <wp:extent cx="603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-2905760</wp:posOffset>
            </wp:positionV>
            <wp:extent cx="596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-2905760</wp:posOffset>
            </wp:positionV>
            <wp:extent cx="596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-2905760</wp:posOffset>
            </wp:positionV>
            <wp:extent cx="603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43" w:lineRule="exact"/>
        <w:rPr>
          <w:sz w:val="20"/>
          <w:szCs w:val="20"/>
          <w:color w:val="auto"/>
        </w:rPr>
      </w:pPr>
    </w:p>
    <w:p>
      <w:pPr>
        <w:ind w:left="360" w:right="40" w:hanging="334"/>
        <w:spacing w:after="0" w:line="229" w:lineRule="auto"/>
        <w:tabs>
          <w:tab w:leader="none" w:pos="215" w:val="left"/>
        </w:tabs>
        <w:numPr>
          <w:ilvl w:val="0"/>
          <w:numId w:val="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Primarily represents OTR transition license agreement royalty income, in addition to transition services income related to the sales of the OTR tire business and the Dunlop brand.</w:t>
      </w:r>
    </w:p>
    <w:p>
      <w:pPr>
        <w:spacing w:after="0" w:line="17" w:lineRule="exact"/>
        <w:rPr>
          <w:rFonts w:ascii="Times New Roman" w:cs="Times New Roman" w:eastAsia="Times New Roman" w:hAnsi="Times New Roman"/>
          <w:sz w:val="23"/>
          <w:szCs w:val="23"/>
          <w:color w:val="auto"/>
          <w:vertAlign w:val="superscript"/>
        </w:rPr>
      </w:pPr>
    </w:p>
    <w:p>
      <w:pPr>
        <w:ind w:left="200" w:hanging="174"/>
        <w:spacing w:after="0"/>
        <w:tabs>
          <w:tab w:leader="none" w:pos="200" w:val="left"/>
        </w:tabs>
        <w:numPr>
          <w:ilvl w:val="0"/>
          <w:numId w:val="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Primarily represents unallocated corporate costs and the elimination of royalty and other income attributable to the strategic business units (“SBUs”).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6219825</wp:posOffset>
            </wp:positionH>
            <wp:positionV relativeFrom="paragraph">
              <wp:posOffset>-454025</wp:posOffset>
            </wp:positionV>
            <wp:extent cx="90868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7"/>
        </w:trPr>
        <w:tc>
          <w:tcPr>
            <w:tcW w:w="52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3"/>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71"/>
        </w:trPr>
        <w:tc>
          <w:tcPr>
            <w:tcW w:w="5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Europe, Middle East</w:t>
            </w: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0"/>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26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and Africa</w:t>
            </w:r>
          </w:p>
        </w:tc>
        <w:tc>
          <w:tcPr>
            <w:tcW w:w="24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320" w:type="dxa"/>
            <w:vAlign w:val="bottom"/>
          </w:tcPr>
          <w:p>
            <w:pPr>
              <w:spacing w:after="0"/>
              <w:rPr>
                <w:sz w:val="16"/>
                <w:szCs w:val="16"/>
                <w:color w:val="auto"/>
              </w:rPr>
            </w:pPr>
          </w:p>
        </w:tc>
        <w:tc>
          <w:tcPr>
            <w:tcW w:w="110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22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43"/>
        </w:trPr>
        <w:tc>
          <w:tcPr>
            <w:tcW w:w="5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4,570</w:t>
            </w:r>
          </w:p>
        </w:tc>
      </w:tr>
      <w:tr>
        <w:trPr>
          <w:trHeight w:val="243"/>
        </w:trPr>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3,595</w:t>
            </w:r>
          </w:p>
        </w:tc>
      </w:tr>
      <w:tr>
        <w:trPr>
          <w:trHeight w:val="243"/>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Administrative and General Expense</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(income)</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FF0FC"/>
          </w:tcPr>
          <w:p>
            <w:pPr>
              <w:spacing w:after="0"/>
              <w:rPr>
                <w:sz w:val="23"/>
                <w:szCs w:val="23"/>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spacing w:after="0"/>
              <w:rPr>
                <w:sz w:val="23"/>
                <w:szCs w:val="23"/>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spacing w:after="0"/>
              <w:rPr>
                <w:sz w:val="23"/>
                <w:szCs w:val="23"/>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spacing w:after="0"/>
              <w:rPr>
                <w:sz w:val="23"/>
                <w:szCs w:val="2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7"/>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241</w:t>
            </w:r>
          </w:p>
        </w:tc>
        <w:tc>
          <w:tcPr>
            <w:tcW w:w="100" w:type="dxa"/>
            <w:vAlign w:val="bottom"/>
          </w:tcPr>
          <w:p>
            <w:pPr>
              <w:spacing w:after="0"/>
              <w:rPr>
                <w:sz w:val="20"/>
                <w:szCs w:val="20"/>
                <w:color w:val="auto"/>
              </w:rPr>
            </w:pP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8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334</w:t>
            </w:r>
          </w:p>
        </w:tc>
      </w:tr>
      <w:tr>
        <w:trPr>
          <w:trHeight w:val="27"/>
        </w:trPr>
        <w:tc>
          <w:tcPr>
            <w:tcW w:w="5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522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7"/>
        </w:trPr>
        <w:tc>
          <w:tcPr>
            <w:tcW w:w="52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w:t>
            </w:r>
          </w:p>
        </w:tc>
        <w:tc>
          <w:tcPr>
            <w:tcW w:w="26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r>
      <w:tr>
        <w:trPr>
          <w:trHeight w:val="243"/>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Rationalizations (Note 4)</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43"/>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(Note 5)</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(gains) losses on asset sales</w:t>
            </w:r>
          </w:p>
        </w:tc>
        <w:tc>
          <w:tcPr>
            <w:tcW w:w="2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5"/>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write-offs, accelerated depreciation and accelerated lease costs,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4"/>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(Note 4)</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incentive compensation plans</w:t>
            </w:r>
          </w:p>
        </w:tc>
        <w:tc>
          <w:tcPr>
            <w:tcW w:w="2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expenses of divested operations</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(2)</w:t>
            </w:r>
          </w:p>
        </w:tc>
        <w:tc>
          <w:tcPr>
            <w:tcW w:w="260" w:type="dxa"/>
            <w:vAlign w:val="bottom"/>
            <w:shd w:val="clear" w:color="auto" w:fill="CFF0FC"/>
          </w:tcPr>
          <w:p>
            <w:pPr>
              <w:spacing w:after="0"/>
              <w:rPr>
                <w:sz w:val="23"/>
                <w:szCs w:val="23"/>
                <w:color w:val="auto"/>
              </w:rPr>
            </w:pPr>
          </w:p>
        </w:tc>
        <w:tc>
          <w:tcPr>
            <w:tcW w:w="116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118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120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spacing w:after="0"/>
              <w:rPr>
                <w:sz w:val="23"/>
                <w:szCs w:val="2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7"/>
        </w:trPr>
        <w:tc>
          <w:tcPr>
            <w:tcW w:w="52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6219825</wp:posOffset>
            </wp:positionH>
            <wp:positionV relativeFrom="paragraph">
              <wp:posOffset>17145</wp:posOffset>
            </wp:positionV>
            <wp:extent cx="90868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-1833880</wp:posOffset>
            </wp:positionV>
            <wp:extent cx="596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-1833880</wp:posOffset>
            </wp:positionV>
            <wp:extent cx="596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-1833880</wp:posOffset>
            </wp:positionV>
            <wp:extent cx="603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-2905125</wp:posOffset>
            </wp:positionV>
            <wp:extent cx="596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-2905125</wp:posOffset>
            </wp:positionV>
            <wp:extent cx="596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-2905125</wp:posOffset>
            </wp:positionV>
            <wp:extent cx="603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4" w:lineRule="exact"/>
        <w:rPr>
          <w:sz w:val="20"/>
          <w:szCs w:val="20"/>
          <w:color w:val="auto"/>
        </w:rPr>
      </w:pPr>
    </w:p>
    <w:p>
      <w:pPr>
        <w:ind w:left="200" w:hanging="174"/>
        <w:spacing w:after="0"/>
        <w:tabs>
          <w:tab w:leader="none" w:pos="200"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Primarily represents royalty income attributable to the SBUs.</w:t>
      </w:r>
    </w:p>
    <w:p>
      <w:pPr>
        <w:spacing w:after="0" w:line="55" w:lineRule="exact"/>
        <w:rPr>
          <w:rFonts w:ascii="Times New Roman" w:cs="Times New Roman" w:eastAsia="Times New Roman" w:hAnsi="Times New Roman"/>
          <w:sz w:val="22"/>
          <w:szCs w:val="22"/>
          <w:color w:val="auto"/>
          <w:vertAlign w:val="superscript"/>
        </w:rPr>
      </w:pPr>
    </w:p>
    <w:p>
      <w:pPr>
        <w:ind w:left="360" w:right="20" w:hanging="334"/>
        <w:spacing w:after="0" w:line="219" w:lineRule="auto"/>
        <w:tabs>
          <w:tab w:leader="none" w:pos="217"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Primarily represents unallocated corporate costs and the elimination of royalty income attributable to the SBUs. Other also includes $40 million of costs related to the Goodyear Forward plan, primarily related to third-party consulting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6219825</wp:posOffset>
            </wp:positionH>
            <wp:positionV relativeFrom="paragraph">
              <wp:posOffset>-453390</wp:posOffset>
            </wp:positionV>
            <wp:extent cx="90868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7"/>
        </w:trPr>
        <w:tc>
          <w:tcPr>
            <w:tcW w:w="52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3"/>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71"/>
        </w:trPr>
        <w:tc>
          <w:tcPr>
            <w:tcW w:w="5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Europe, Middle East</w:t>
            </w: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0"/>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26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and Africa</w:t>
            </w:r>
          </w:p>
        </w:tc>
        <w:tc>
          <w:tcPr>
            <w:tcW w:w="24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320" w:type="dxa"/>
            <w:vAlign w:val="bottom"/>
          </w:tcPr>
          <w:p>
            <w:pPr>
              <w:spacing w:after="0"/>
              <w:rPr>
                <w:sz w:val="16"/>
                <w:szCs w:val="16"/>
                <w:color w:val="auto"/>
              </w:rPr>
            </w:pPr>
          </w:p>
        </w:tc>
        <w:tc>
          <w:tcPr>
            <w:tcW w:w="110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22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43"/>
        </w:trPr>
        <w:tc>
          <w:tcPr>
            <w:tcW w:w="5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5,164</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8,718</w:t>
            </w:r>
          </w:p>
        </w:tc>
      </w:tr>
      <w:tr>
        <w:trPr>
          <w:trHeight w:val="243"/>
        </w:trPr>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4,189</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7,142</w:t>
            </w:r>
          </w:p>
        </w:tc>
      </w:tr>
      <w:tr>
        <w:trPr>
          <w:trHeight w:val="243"/>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Administrative and General Expense</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(income)</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FF0FC"/>
          </w:tcPr>
          <w:p>
            <w:pPr>
              <w:spacing w:after="0"/>
              <w:rPr>
                <w:sz w:val="23"/>
                <w:szCs w:val="23"/>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spacing w:after="0"/>
              <w:rPr>
                <w:sz w:val="23"/>
                <w:szCs w:val="23"/>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spacing w:after="0"/>
              <w:rPr>
                <w:sz w:val="23"/>
                <w:szCs w:val="23"/>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spacing w:after="0"/>
              <w:rPr>
                <w:sz w:val="23"/>
                <w:szCs w:val="2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7"/>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Income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296</w:t>
            </w:r>
          </w:p>
        </w:tc>
        <w:tc>
          <w:tcPr>
            <w:tcW w:w="100" w:type="dxa"/>
            <w:vAlign w:val="bottom"/>
          </w:tcPr>
          <w:p>
            <w:pPr>
              <w:spacing w:after="0"/>
              <w:rPr>
                <w:sz w:val="20"/>
                <w:szCs w:val="20"/>
                <w:color w:val="auto"/>
              </w:rPr>
            </w:pP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8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354</w:t>
            </w:r>
          </w:p>
        </w:tc>
      </w:tr>
      <w:tr>
        <w:trPr>
          <w:trHeight w:val="27"/>
        </w:trPr>
        <w:tc>
          <w:tcPr>
            <w:tcW w:w="5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522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7"/>
        </w:trPr>
        <w:tc>
          <w:tcPr>
            <w:tcW w:w="52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w:t>
            </w:r>
          </w:p>
        </w:tc>
        <w:tc>
          <w:tcPr>
            <w:tcW w:w="26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r>
      <w:tr>
        <w:trPr>
          <w:trHeight w:val="243"/>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Rationalizations (Note 4)</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43"/>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(Note 5)</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(gains) losses on asset sales</w:t>
            </w:r>
          </w:p>
        </w:tc>
        <w:tc>
          <w:tcPr>
            <w:tcW w:w="2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25"/>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write-offs, accelerated depreciation and accelerated lease costs,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4"/>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(Note 4)</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incentive compensation plans</w:t>
            </w:r>
          </w:p>
        </w:tc>
        <w:tc>
          <w:tcPr>
            <w:tcW w:w="2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43"/>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expenses of divested operations</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(2)</w:t>
            </w:r>
          </w:p>
        </w:tc>
        <w:tc>
          <w:tcPr>
            <w:tcW w:w="260" w:type="dxa"/>
            <w:vAlign w:val="bottom"/>
            <w:shd w:val="clear" w:color="auto" w:fill="CFF0FC"/>
          </w:tcPr>
          <w:p>
            <w:pPr>
              <w:spacing w:after="0"/>
              <w:rPr>
                <w:sz w:val="23"/>
                <w:szCs w:val="23"/>
                <w:color w:val="auto"/>
              </w:rPr>
            </w:pPr>
          </w:p>
        </w:tc>
        <w:tc>
          <w:tcPr>
            <w:tcW w:w="116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118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120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spacing w:after="0"/>
              <w:rPr>
                <w:sz w:val="23"/>
                <w:szCs w:val="2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6"/>
        </w:trPr>
        <w:tc>
          <w:tcPr>
            <w:tcW w:w="52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6219825</wp:posOffset>
            </wp:positionH>
            <wp:positionV relativeFrom="paragraph">
              <wp:posOffset>17145</wp:posOffset>
            </wp:positionV>
            <wp:extent cx="90868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-1833880</wp:posOffset>
            </wp:positionV>
            <wp:extent cx="596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-1833880</wp:posOffset>
            </wp:positionV>
            <wp:extent cx="596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-1833880</wp:posOffset>
            </wp:positionV>
            <wp:extent cx="60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-2905125</wp:posOffset>
            </wp:positionV>
            <wp:extent cx="596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-2905125</wp:posOffset>
            </wp:positionV>
            <wp:extent cx="596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-2905125</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43" w:lineRule="exact"/>
        <w:rPr>
          <w:sz w:val="20"/>
          <w:szCs w:val="20"/>
          <w:color w:val="auto"/>
        </w:rPr>
      </w:pPr>
    </w:p>
    <w:p>
      <w:pPr>
        <w:ind w:left="360" w:right="20" w:hanging="334"/>
        <w:spacing w:after="0" w:line="229" w:lineRule="auto"/>
        <w:tabs>
          <w:tab w:leader="none" w:pos="23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Primarily represents OTR transition license agreement royalty income, in addition to transition services income related to the sales of the OTR tire business and the Dunlop brand.</w:t>
      </w:r>
    </w:p>
    <w:p>
      <w:pPr>
        <w:spacing w:after="0" w:line="17" w:lineRule="exact"/>
        <w:rPr>
          <w:rFonts w:ascii="Times New Roman" w:cs="Times New Roman" w:eastAsia="Times New Roman" w:hAnsi="Times New Roman"/>
          <w:sz w:val="23"/>
          <w:szCs w:val="23"/>
          <w:color w:val="auto"/>
          <w:vertAlign w:val="superscript"/>
        </w:rPr>
      </w:pPr>
    </w:p>
    <w:p>
      <w:pPr>
        <w:ind w:left="200" w:hanging="174"/>
        <w:spacing w:after="0"/>
        <w:tabs>
          <w:tab w:leader="none" w:pos="200"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Primarily represents unallocated corporate costs and the elimination of royalty and other income attributable to the SBUs.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6219825</wp:posOffset>
            </wp:positionH>
            <wp:positionV relativeFrom="paragraph">
              <wp:posOffset>-454025</wp:posOffset>
            </wp:positionV>
            <wp:extent cx="90868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37"/>
        </w:trPr>
        <w:tc>
          <w:tcPr>
            <w:tcW w:w="50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3"/>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58"/>
        </w:trPr>
        <w:tc>
          <w:tcPr>
            <w:tcW w:w="5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3"/>
          </w:tcPr>
          <w:p>
            <w:pPr>
              <w:jc w:val="center"/>
              <w:ind w:right="80"/>
              <w:spacing w:after="0" w:line="158" w:lineRule="exact"/>
              <w:rPr>
                <w:sz w:val="20"/>
                <w:szCs w:val="20"/>
                <w:color w:val="auto"/>
              </w:rPr>
            </w:pPr>
            <w:r>
              <w:rPr>
                <w:rFonts w:ascii="Times New Roman" w:cs="Times New Roman" w:eastAsia="Times New Roman" w:hAnsi="Times New Roman"/>
                <w:sz w:val="14"/>
                <w:szCs w:val="14"/>
                <w:b w:val="1"/>
                <w:bCs w:val="1"/>
                <w:color w:val="auto"/>
              </w:rPr>
              <w:t>Europe, Middle East</w:t>
            </w: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04"/>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17"/>
                <w:szCs w:val="17"/>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24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and Africa</w:t>
            </w:r>
          </w:p>
        </w:tc>
        <w:tc>
          <w:tcPr>
            <w:tcW w:w="220" w:type="dxa"/>
            <w:vAlign w:val="bottom"/>
          </w:tcPr>
          <w:p>
            <w:pPr>
              <w:spacing w:after="0"/>
              <w:rPr>
                <w:sz w:val="17"/>
                <w:szCs w:val="17"/>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320" w:type="dxa"/>
            <w:vAlign w:val="bottom"/>
          </w:tcPr>
          <w:p>
            <w:pPr>
              <w:spacing w:after="0"/>
              <w:rPr>
                <w:sz w:val="17"/>
                <w:szCs w:val="17"/>
                <w:color w:val="auto"/>
              </w:rPr>
            </w:pPr>
          </w:p>
        </w:tc>
        <w:tc>
          <w:tcPr>
            <w:tcW w:w="106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06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43"/>
        </w:trPr>
        <w:tc>
          <w:tcPr>
            <w:tcW w:w="5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5,285</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9,107</w:t>
            </w:r>
          </w:p>
        </w:tc>
      </w:tr>
      <w:tr>
        <w:trPr>
          <w:trHeight w:val="243"/>
        </w:trPr>
        <w:tc>
          <w:tcPr>
            <w:tcW w:w="5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4,196</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7,276</w:t>
            </w:r>
          </w:p>
        </w:tc>
      </w:tr>
      <w:tr>
        <w:trPr>
          <w:trHeight w:val="24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Administrative and General Expense</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w:t>
            </w:r>
          </w:p>
        </w:tc>
      </w:tr>
      <w:tr>
        <w:trPr>
          <w:trHeight w:val="27"/>
        </w:trPr>
        <w:tc>
          <w:tcPr>
            <w:tcW w:w="5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0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(income)</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FF0FC"/>
          </w:tcPr>
          <w:p>
            <w:pPr>
              <w:spacing w:after="0"/>
              <w:rPr>
                <w:sz w:val="23"/>
                <w:szCs w:val="23"/>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spacing w:after="0"/>
              <w:rPr>
                <w:sz w:val="23"/>
                <w:szCs w:val="23"/>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spacing w:after="0"/>
              <w:rPr>
                <w:sz w:val="23"/>
                <w:szCs w:val="23"/>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spacing w:after="0"/>
              <w:rPr>
                <w:sz w:val="23"/>
                <w:szCs w:val="23"/>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7"/>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420</w:t>
            </w:r>
          </w:p>
        </w:tc>
        <w:tc>
          <w:tcPr>
            <w:tcW w:w="100" w:type="dxa"/>
            <w:vAlign w:val="bottom"/>
          </w:tcPr>
          <w:p>
            <w:pPr>
              <w:spacing w:after="0"/>
              <w:rPr>
                <w:sz w:val="20"/>
                <w:szCs w:val="20"/>
                <w:color w:val="auto"/>
              </w:rPr>
            </w:pP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574</w:t>
            </w:r>
          </w:p>
        </w:tc>
      </w:tr>
      <w:tr>
        <w:trPr>
          <w:trHeight w:val="27"/>
        </w:trPr>
        <w:tc>
          <w:tcPr>
            <w:tcW w:w="5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506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7"/>
        </w:trPr>
        <w:tc>
          <w:tcPr>
            <w:tcW w:w="50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w:t>
            </w:r>
          </w:p>
        </w:tc>
        <w:tc>
          <w:tcPr>
            <w:tcW w:w="26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r>
      <w:tr>
        <w:trPr>
          <w:trHeight w:val="24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Rationalizations (Note 4)</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7"/>
        </w:trPr>
        <w:tc>
          <w:tcPr>
            <w:tcW w:w="5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4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(Note 5)</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7"/>
        </w:trPr>
        <w:tc>
          <w:tcPr>
            <w:tcW w:w="5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(gains) losses on asset sales</w:t>
            </w:r>
          </w:p>
        </w:tc>
        <w:tc>
          <w:tcPr>
            <w:tcW w:w="2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25"/>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write-offs, accelerated depreciation and accelerated lease</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4"/>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costs, net (Note 4)</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7"/>
        </w:trPr>
        <w:tc>
          <w:tcPr>
            <w:tcW w:w="5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incentive compensation plans</w:t>
            </w:r>
          </w:p>
        </w:tc>
        <w:tc>
          <w:tcPr>
            <w:tcW w:w="2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4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expenses of divested operations</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5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0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(2)</w:t>
            </w:r>
          </w:p>
        </w:tc>
        <w:tc>
          <w:tcPr>
            <w:tcW w:w="260" w:type="dxa"/>
            <w:vAlign w:val="bottom"/>
            <w:shd w:val="clear" w:color="auto" w:fill="CFF0FC"/>
          </w:tcPr>
          <w:p>
            <w:pPr>
              <w:spacing w:after="0"/>
              <w:rPr>
                <w:sz w:val="23"/>
                <w:szCs w:val="23"/>
                <w:color w:val="auto"/>
              </w:rPr>
            </w:pPr>
          </w:p>
        </w:tc>
        <w:tc>
          <w:tcPr>
            <w:tcW w:w="11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116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18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spacing w:after="0"/>
              <w:rPr>
                <w:sz w:val="23"/>
                <w:szCs w:val="23"/>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36"/>
        </w:trPr>
        <w:tc>
          <w:tcPr>
            <w:tcW w:w="50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17145</wp:posOffset>
            </wp:positionV>
            <wp:extent cx="88265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8265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-1833880</wp:posOffset>
            </wp:positionV>
            <wp:extent cx="60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-1833880</wp:posOffset>
            </wp:positionV>
            <wp:extent cx="60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-1833880</wp:posOffset>
            </wp:positionV>
            <wp:extent cx="60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-2905125</wp:posOffset>
            </wp:positionV>
            <wp:extent cx="603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-2905125</wp:posOffset>
            </wp:positionV>
            <wp:extent cx="603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-2905125</wp:posOffset>
            </wp:positionV>
            <wp:extent cx="603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4" w:lineRule="exact"/>
        <w:rPr>
          <w:sz w:val="20"/>
          <w:szCs w:val="20"/>
          <w:color w:val="auto"/>
        </w:rPr>
      </w:pPr>
    </w:p>
    <w:p>
      <w:pPr>
        <w:ind w:left="200" w:hanging="174"/>
        <w:spacing w:after="0"/>
        <w:tabs>
          <w:tab w:leader="none" w:pos="20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Primarily represents royalty income attributable to the SBUs.</w:t>
      </w:r>
    </w:p>
    <w:p>
      <w:pPr>
        <w:spacing w:after="0" w:line="55" w:lineRule="exact"/>
        <w:rPr>
          <w:rFonts w:ascii="Times New Roman" w:cs="Times New Roman" w:eastAsia="Times New Roman" w:hAnsi="Times New Roman"/>
          <w:sz w:val="22"/>
          <w:szCs w:val="22"/>
          <w:color w:val="auto"/>
          <w:vertAlign w:val="superscript"/>
        </w:rPr>
      </w:pPr>
    </w:p>
    <w:p>
      <w:pPr>
        <w:ind w:left="360" w:right="340" w:hanging="334"/>
        <w:spacing w:after="0" w:line="219" w:lineRule="auto"/>
        <w:tabs>
          <w:tab w:leader="none" w:pos="217"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Primarily represents unallocated corporate costs and the elimination of royalty income attributable to the SBUs. Other also includes $67 million of costs related to the Goodyear Forward plan, primarily related to third-party consulting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-453390</wp:posOffset>
            </wp:positionV>
            <wp:extent cx="88265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segment assets at:</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5"/>
                <w:szCs w:val="15"/>
                <w:color w:val="auto"/>
              </w:rPr>
            </w:pPr>
          </w:p>
        </w:tc>
        <w:tc>
          <w:tcPr>
            <w:tcW w:w="112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Pr>
          <w:p>
            <w:pPr>
              <w:spacing w:after="0"/>
              <w:rPr>
                <w:sz w:val="16"/>
                <w:szCs w:val="16"/>
                <w:color w:val="auto"/>
              </w:rPr>
            </w:pPr>
          </w:p>
        </w:tc>
        <w:tc>
          <w:tcPr>
            <w:tcW w:w="104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24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30"/>
        </w:trPr>
        <w:tc>
          <w:tcPr>
            <w:tcW w:w="8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r>
      <w:tr>
        <w:trPr>
          <w:trHeight w:val="243"/>
        </w:trPr>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Americas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11,406</w:t>
            </w: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4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5,370</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4,514</w:t>
            </w:r>
          </w:p>
        </w:tc>
      </w:tr>
      <w:tr>
        <w:trPr>
          <w:trHeight w:val="243"/>
        </w:trPr>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Asia Pacific</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w:t>
            </w:r>
          </w:p>
        </w:tc>
      </w:tr>
      <w:tr>
        <w:trPr>
          <w:trHeight w:val="27"/>
        </w:trPr>
        <w:tc>
          <w:tcPr>
            <w:tcW w:w="824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82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 Segment Assets</w:t>
            </w: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19,857</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18,530</w:t>
            </w:r>
          </w:p>
        </w:tc>
      </w:tr>
      <w:tr>
        <w:trPr>
          <w:trHeight w:val="270"/>
        </w:trPr>
        <w:tc>
          <w:tcPr>
            <w:tcW w:w="824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Corporate</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2,402</w:t>
            </w:r>
          </w:p>
        </w:tc>
        <w:tc>
          <w:tcPr>
            <w:tcW w:w="100" w:type="dxa"/>
            <w:vAlign w:val="bottom"/>
            <w:tcBorders>
              <w:bottom w:val="single" w:sz="8" w:color="CFF0FC"/>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2,391</w:t>
            </w:r>
          </w:p>
        </w:tc>
      </w:tr>
      <w:tr>
        <w:trPr>
          <w:trHeight w:val="288"/>
        </w:trPr>
        <w:tc>
          <w:tcPr>
            <w:tcW w:w="8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22,259</w:t>
            </w:r>
          </w:p>
        </w:tc>
        <w:tc>
          <w:tcPr>
            <w:tcW w:w="1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20,921</w:t>
            </w:r>
          </w:p>
        </w:tc>
      </w:tr>
      <w:tr>
        <w:trPr>
          <w:trHeight w:val="20"/>
        </w:trPr>
        <w:tc>
          <w:tcPr>
            <w:tcW w:w="8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-1250950</wp:posOffset>
            </wp:positionV>
            <wp:extent cx="603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92" w:lineRule="exact"/>
        <w:rPr>
          <w:sz w:val="20"/>
          <w:szCs w:val="20"/>
          <w:color w:val="auto"/>
        </w:rPr>
      </w:pPr>
    </w:p>
    <w:p>
      <w:pPr>
        <w:ind w:left="200" w:hanging="174"/>
        <w:spacing w:after="0"/>
        <w:tabs>
          <w:tab w:leader="none" w:pos="20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Corporate includes substantially all of our U.S. net deferred tax assets.</w:t>
      </w:r>
    </w:p>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geographic information. Net sales by country were determined based on the location of the selling subsidiary. Long-lived assets consist of property, plant and equipment. Management did not consider the net sales of any individual country outside the United States to be significant to the consolidated financial statements. For long-lived assets, only the United States and China were considered to be significant.</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4"/>
                <w:szCs w:val="14"/>
                <w:color w:val="auto"/>
              </w:rPr>
            </w:pPr>
          </w:p>
        </w:tc>
        <w:tc>
          <w:tcPr>
            <w:tcW w:w="2480" w:type="dxa"/>
            <w:vAlign w:val="bottom"/>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0"/>
        </w:trPr>
        <w:tc>
          <w:tcPr>
            <w:tcW w:w="5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00" w:type="dxa"/>
            <w:vAlign w:val="bottom"/>
          </w:tcPr>
          <w:p>
            <w:pPr>
              <w:spacing w:after="0"/>
              <w:rPr>
                <w:sz w:val="16"/>
                <w:szCs w:val="16"/>
                <w:color w:val="auto"/>
              </w:rPr>
            </w:pP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21"/>
                <w:szCs w:val="21"/>
                <w:color w:val="auto"/>
              </w:rPr>
            </w:pPr>
          </w:p>
        </w:tc>
        <w:tc>
          <w:tcPr>
            <w:tcW w:w="100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56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30"/>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8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w:t>
            </w:r>
          </w:p>
        </w:tc>
      </w:tr>
      <w:tr>
        <w:trPr>
          <w:trHeight w:val="27"/>
        </w:trPr>
        <w:tc>
          <w:tcPr>
            <w:tcW w:w="5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6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w:t>
            </w:r>
          </w:p>
        </w:tc>
      </w:tr>
      <w:tr>
        <w:trPr>
          <w:trHeight w:val="237"/>
        </w:trPr>
        <w:tc>
          <w:tcPr>
            <w:tcW w:w="566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4,465</w:t>
            </w:r>
          </w:p>
        </w:tc>
        <w:tc>
          <w:tcPr>
            <w:tcW w:w="8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4,570</w:t>
            </w:r>
          </w:p>
        </w:tc>
        <w:tc>
          <w:tcPr>
            <w:tcW w:w="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8,718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9,107</w:t>
            </w:r>
          </w:p>
        </w:tc>
      </w:tr>
      <w:tr>
        <w:trPr>
          <w:trHeight w:val="27"/>
        </w:trPr>
        <w:tc>
          <w:tcPr>
            <w:tcW w:w="56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5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58"/>
        </w:trPr>
        <w:tc>
          <w:tcPr>
            <w:tcW w:w="5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tcPr>
          <w:p>
            <w:pPr>
              <w:ind w:left="160"/>
              <w:spacing w:after="0" w:line="158"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100" w:type="dxa"/>
            <w:vAlign w:val="bottom"/>
          </w:tcPr>
          <w:p>
            <w:pPr>
              <w:jc w:val="right"/>
              <w:ind w:right="155"/>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4"/>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566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30"/>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Long-Lived Assets</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3,688</w:t>
            </w:r>
          </w:p>
        </w:tc>
      </w:tr>
      <w:tr>
        <w:trPr>
          <w:trHeight w:val="27"/>
        </w:trPr>
        <w:tc>
          <w:tcPr>
            <w:tcW w:w="5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r>
      <w:tr>
        <w:trPr>
          <w:trHeight w:val="243"/>
        </w:trPr>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international</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3,718</w:t>
            </w:r>
          </w:p>
        </w:tc>
      </w:tr>
      <w:tr>
        <w:trPr>
          <w:trHeight w:val="27"/>
        </w:trPr>
        <w:tc>
          <w:tcPr>
            <w:tcW w:w="56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56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8,002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8,082</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-899795</wp:posOffset>
            </wp:positionV>
            <wp:extent cx="603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-1885315</wp:posOffset>
            </wp:positionV>
            <wp:extent cx="603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-1885315</wp:posOffset>
            </wp:positionV>
            <wp:extent cx="603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Rationalizations, as described in Note to the Consolidated Financial Statements No. 4, Costs Associated with Rationalization Programs; net (gains) losses on asset sales, as described in Note to the Consolidated Financial Statements No. 2, Divestitures; and asset write-offs, accelerated depreciation and accelerated leases costs were not charged (credited) to the SBUs for performance evaluation purposes but were attributable to the SBUs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40" w:type="dxa"/>
            <w:vAlign w:val="bottom"/>
            <w:gridSpan w:val="3"/>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20" w:type="dxa"/>
            <w:vAlign w:val="bottom"/>
            <w:gridSpan w:val="4"/>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0"/>
        </w:trPr>
        <w:tc>
          <w:tcPr>
            <w:tcW w:w="5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40" w:type="dxa"/>
            <w:vAlign w:val="bottom"/>
            <w:gridSpan w:val="3"/>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Pr>
          <w:p>
            <w:pPr>
              <w:spacing w:after="0"/>
              <w:rPr>
                <w:sz w:val="19"/>
                <w:szCs w:val="19"/>
                <w:color w:val="auto"/>
              </w:rPr>
            </w:pPr>
          </w:p>
        </w:tc>
        <w:tc>
          <w:tcPr>
            <w:tcW w:w="10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56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Rationalizations</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Americas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940" w:type="dxa"/>
            <w:vAlign w:val="bottom"/>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Asia Pacific</w:t>
            </w:r>
          </w:p>
        </w:tc>
        <w:tc>
          <w:tcPr>
            <w:tcW w:w="3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5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6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Total Segment Rationalizations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Corporate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5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6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-33655</wp:posOffset>
            </wp:positionV>
            <wp:extent cx="596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-213995</wp:posOffset>
            </wp:positionV>
            <wp:extent cx="5969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-1285240</wp:posOffset>
            </wp:positionV>
            <wp:extent cx="603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-1285240</wp:posOffset>
            </wp:positionV>
            <wp:extent cx="5969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80" w:type="dxa"/>
            <w:vAlign w:val="bottom"/>
            <w:gridSpan w:val="7"/>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20" w:type="dxa"/>
            <w:vAlign w:val="bottom"/>
            <w:gridSpan w:val="4"/>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0"/>
        </w:trPr>
        <w:tc>
          <w:tcPr>
            <w:tcW w:w="5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gridSpan w:val="5"/>
          </w:tcPr>
          <w:p>
            <w:pPr>
              <w:jc w:val="center"/>
              <w:ind w:left="5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center"/>
              <w:ind w:left="5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68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3"/>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(Gains) Losses on Asset Sales</w:t>
            </w:r>
          </w:p>
        </w:tc>
        <w:tc>
          <w:tcPr>
            <w:tcW w:w="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Americas</w:t>
            </w:r>
          </w:p>
        </w:tc>
        <w:tc>
          <w:tcPr>
            <w:tcW w:w="320" w:type="dxa"/>
            <w:vAlign w:val="bottom"/>
            <w:tcBorders>
              <w:bottom w:val="single" w:sz="8" w:color="CFF0FC"/>
            </w:tcBorders>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FF0FC"/>
            </w:tcBorders>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FF0FC"/>
            </w:tcBorders>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FF0FC"/>
            </w:tcBorders>
            <w:shd w:val="clear" w:color="auto" w:fill="CFF0FC"/>
          </w:tcPr>
          <w:p>
            <w:pPr>
              <w:jc w:val="center"/>
              <w:ind w:left="493"/>
              <w:spacing w:after="0"/>
              <w:rPr>
                <w:sz w:val="20"/>
                <w:szCs w:val="20"/>
                <w:color w:val="auto"/>
              </w:rPr>
            </w:pPr>
            <w:r>
              <w:rPr>
                <w:rFonts w:ascii="Times New Roman" w:cs="Times New Roman" w:eastAsia="Times New Roman" w:hAnsi="Times New Roman"/>
                <w:sz w:val="18"/>
                <w:szCs w:val="18"/>
                <w:color w:val="auto"/>
                <w:w w:val="99"/>
              </w:rPr>
              <w:t>(14)</w:t>
            </w:r>
          </w:p>
        </w:tc>
        <w:tc>
          <w:tcPr>
            <w:tcW w:w="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FF0FC"/>
            </w:tcBorders>
            <w:shd w:val="clear" w:color="auto" w:fill="CFF0FC"/>
          </w:tcPr>
          <w:p>
            <w:pPr>
              <w:jc w:val="center"/>
              <w:ind w:left="513"/>
              <w:spacing w:after="0"/>
              <w:rPr>
                <w:sz w:val="20"/>
                <w:szCs w:val="20"/>
                <w:color w:val="auto"/>
              </w:rPr>
            </w:pPr>
            <w:r>
              <w:rPr>
                <w:rFonts w:ascii="Times New Roman" w:cs="Times New Roman" w:eastAsia="Times New Roman" w:hAnsi="Times New Roman"/>
                <w:sz w:val="18"/>
                <w:szCs w:val="18"/>
                <w:color w:val="auto"/>
                <w:w w:val="99"/>
              </w:rPr>
              <w:t>(14)</w:t>
            </w:r>
          </w:p>
        </w:tc>
        <w:tc>
          <w:tcPr>
            <w:tcW w:w="0" w:type="dxa"/>
            <w:vAlign w:val="bottom"/>
          </w:tcPr>
          <w:p>
            <w:pPr>
              <w:spacing w:after="0"/>
              <w:rPr>
                <w:sz w:val="1"/>
                <w:szCs w:val="1"/>
                <w:color w:val="auto"/>
              </w:rPr>
            </w:pPr>
          </w:p>
        </w:tc>
      </w:tr>
      <w:tr>
        <w:trPr>
          <w:trHeight w:val="243"/>
        </w:trPr>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center"/>
              <w:ind w:left="493"/>
              <w:spacing w:after="0"/>
              <w:rPr>
                <w:sz w:val="20"/>
                <w:szCs w:val="20"/>
                <w:color w:val="auto"/>
              </w:rPr>
            </w:pPr>
            <w:r>
              <w:rPr>
                <w:rFonts w:ascii="Times New Roman" w:cs="Times New Roman" w:eastAsia="Times New Roman" w:hAnsi="Times New Roman"/>
                <w:sz w:val="18"/>
                <w:szCs w:val="18"/>
                <w:color w:val="auto"/>
                <w:w w:val="99"/>
              </w:rPr>
              <w:t>(82)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940" w:type="dxa"/>
            <w:vAlign w:val="bottom"/>
          </w:tcPr>
          <w:p>
            <w:pPr>
              <w:jc w:val="center"/>
              <w:ind w:left="513"/>
              <w:spacing w:after="0"/>
              <w:rPr>
                <w:sz w:val="20"/>
                <w:szCs w:val="20"/>
                <w:color w:val="auto"/>
              </w:rPr>
            </w:pPr>
            <w:r>
              <w:rPr>
                <w:rFonts w:ascii="Times New Roman" w:cs="Times New Roman" w:eastAsia="Times New Roman" w:hAnsi="Times New Roman"/>
                <w:sz w:val="18"/>
                <w:szCs w:val="18"/>
                <w:color w:val="auto"/>
                <w:w w:val="99"/>
              </w:rPr>
              <w:t>(80)</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Asia Pacific</w:t>
            </w:r>
          </w:p>
        </w:tc>
        <w:tc>
          <w:tcPr>
            <w:tcW w:w="2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2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CFF0FC"/>
            </w:tcBorders>
            <w:gridSpan w:val="2"/>
            <w:shd w:val="clear" w:color="auto" w:fill="CFF0FC"/>
          </w:tcPr>
          <w:p>
            <w:pPr>
              <w:jc w:val="center"/>
              <w:ind w:left="453"/>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center"/>
              <w:ind w:left="553"/>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7"/>
        </w:trPr>
        <w:tc>
          <w:tcPr>
            <w:tcW w:w="56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Segment (Gains) Losses on Asset Sales</w:t>
            </w:r>
          </w:p>
        </w:tc>
        <w:tc>
          <w:tcPr>
            <w:tcW w:w="320" w:type="dxa"/>
            <w:vAlign w:val="bottom"/>
            <w:tcBorders>
              <w:top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top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tcBorders>
          </w:tcPr>
          <w:p>
            <w:pPr>
              <w:jc w:val="center"/>
              <w:ind w:left="493"/>
              <w:spacing w:after="0"/>
              <w:rPr>
                <w:sz w:val="20"/>
                <w:szCs w:val="20"/>
                <w:color w:val="auto"/>
              </w:rPr>
            </w:pPr>
            <w:r>
              <w:rPr>
                <w:rFonts w:ascii="Times New Roman" w:cs="Times New Roman" w:eastAsia="Times New Roman" w:hAnsi="Times New Roman"/>
                <w:sz w:val="18"/>
                <w:szCs w:val="18"/>
                <w:b w:val="1"/>
                <w:bCs w:val="1"/>
                <w:color w:val="auto"/>
                <w:w w:val="99"/>
              </w:rPr>
              <w:t>(96)</w:t>
            </w:r>
          </w:p>
        </w:tc>
        <w:tc>
          <w:tcPr>
            <w:tcW w:w="80" w:type="dxa"/>
            <w:vAlign w:val="bottom"/>
          </w:tcPr>
          <w:p>
            <w:pPr>
              <w:spacing w:after="0"/>
              <w:rPr>
                <w:sz w:val="20"/>
                <w:szCs w:val="20"/>
                <w:color w:val="auto"/>
              </w:rPr>
            </w:pPr>
          </w:p>
        </w:tc>
        <w:tc>
          <w:tcPr>
            <w:tcW w:w="320" w:type="dxa"/>
            <w:vAlign w:val="bottom"/>
            <w:tcBorders>
              <w:top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tcBorders>
          </w:tcPr>
          <w:p>
            <w:pPr>
              <w:jc w:val="center"/>
              <w:ind w:left="513"/>
              <w:spacing w:after="0"/>
              <w:rPr>
                <w:sz w:val="20"/>
                <w:szCs w:val="20"/>
                <w:color w:val="auto"/>
              </w:rPr>
            </w:pPr>
            <w:r>
              <w:rPr>
                <w:rFonts w:ascii="Times New Roman" w:cs="Times New Roman" w:eastAsia="Times New Roman" w:hAnsi="Times New Roman"/>
                <w:sz w:val="18"/>
                <w:szCs w:val="18"/>
                <w:b w:val="1"/>
                <w:bCs w:val="1"/>
                <w:color w:val="auto"/>
                <w:w w:val="99"/>
              </w:rPr>
              <w:t>(94)</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80" w:type="dxa"/>
            <w:vAlign w:val="bottom"/>
            <w:tcBorders>
              <w:bottom w:val="single" w:sz="8" w:color="CFF0FC"/>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6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Corporate</w:t>
            </w:r>
          </w:p>
        </w:tc>
        <w:tc>
          <w:tcPr>
            <w:tcW w:w="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gridSpan w:val="2"/>
            <w:shd w:val="clear" w:color="auto" w:fill="CFF0FC"/>
          </w:tcPr>
          <w:p>
            <w:pPr>
              <w:jc w:val="center"/>
              <w:ind w:left="453"/>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shd w:val="clear" w:color="auto" w:fill="CFF0FC"/>
          </w:tcPr>
          <w:p>
            <w:pPr>
              <w:jc w:val="center"/>
              <w:ind w:left="553"/>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7"/>
        </w:trPr>
        <w:tc>
          <w:tcPr>
            <w:tcW w:w="5680" w:type="dxa"/>
            <w:vAlign w:val="bottom"/>
          </w:tcPr>
          <w:p>
            <w:pPr>
              <w:spacing w:after="0"/>
              <w:rPr>
                <w:sz w:val="20"/>
                <w:szCs w:val="20"/>
                <w:color w:val="auto"/>
              </w:rPr>
            </w:pPr>
          </w:p>
        </w:tc>
        <w:tc>
          <w:tcPr>
            <w:tcW w:w="320" w:type="dxa"/>
            <w:vAlign w:val="bottom"/>
            <w:tcBorders>
              <w:top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top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tcBorders>
          </w:tcPr>
          <w:p>
            <w:pPr>
              <w:jc w:val="center"/>
              <w:ind w:left="493"/>
              <w:spacing w:after="0"/>
              <w:rPr>
                <w:sz w:val="20"/>
                <w:szCs w:val="20"/>
                <w:color w:val="auto"/>
              </w:rPr>
            </w:pPr>
            <w:r>
              <w:rPr>
                <w:rFonts w:ascii="Times New Roman" w:cs="Times New Roman" w:eastAsia="Times New Roman" w:hAnsi="Times New Roman"/>
                <w:sz w:val="18"/>
                <w:szCs w:val="18"/>
                <w:b w:val="1"/>
                <w:bCs w:val="1"/>
                <w:color w:val="auto"/>
                <w:w w:val="99"/>
              </w:rPr>
              <w:t>(96)</w:t>
            </w:r>
          </w:p>
        </w:tc>
        <w:tc>
          <w:tcPr>
            <w:tcW w:w="80" w:type="dxa"/>
            <w:vAlign w:val="bottom"/>
          </w:tcPr>
          <w:p>
            <w:pPr>
              <w:spacing w:after="0"/>
              <w:rPr>
                <w:sz w:val="20"/>
                <w:szCs w:val="20"/>
                <w:color w:val="auto"/>
              </w:rPr>
            </w:pPr>
          </w:p>
        </w:tc>
        <w:tc>
          <w:tcPr>
            <w:tcW w:w="320" w:type="dxa"/>
            <w:vAlign w:val="bottom"/>
            <w:tcBorders>
              <w:top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(701)</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tcBorders>
          </w:tcPr>
          <w:p>
            <w:pPr>
              <w:jc w:val="center"/>
              <w:ind w:left="513"/>
              <w:spacing w:after="0"/>
              <w:rPr>
                <w:sz w:val="20"/>
                <w:szCs w:val="20"/>
                <w:color w:val="auto"/>
              </w:rPr>
            </w:pPr>
            <w:r>
              <w:rPr>
                <w:rFonts w:ascii="Times New Roman" w:cs="Times New Roman" w:eastAsia="Times New Roman" w:hAnsi="Times New Roman"/>
                <w:sz w:val="18"/>
                <w:szCs w:val="18"/>
                <w:b w:val="1"/>
                <w:bCs w:val="1"/>
                <w:color w:val="auto"/>
                <w:w w:val="99"/>
              </w:rPr>
              <w:t>(94)</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7"/>
        </w:trPr>
        <w:tc>
          <w:tcPr>
            <w:tcW w:w="5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80" w:type="dxa"/>
            <w:vAlign w:val="bottom"/>
            <w:gridSpan w:val="7"/>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20" w:type="dxa"/>
            <w:vAlign w:val="bottom"/>
            <w:gridSpan w:val="4"/>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0"/>
        </w:trPr>
        <w:tc>
          <w:tcPr>
            <w:tcW w:w="5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gridSpan w:val="5"/>
          </w:tcPr>
          <w:p>
            <w:pPr>
              <w:jc w:val="center"/>
              <w:ind w:left="57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center"/>
              <w:ind w:left="5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56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568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Asset Write-Offs, Accelerated Depreciation, and Accelerated Lease</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net</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Americas</w:t>
            </w:r>
          </w:p>
        </w:tc>
        <w:tc>
          <w:tcPr>
            <w:tcW w:w="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center"/>
              <w:ind w:left="553"/>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ind w:left="553"/>
              <w:spacing w:after="0"/>
              <w:rPr>
                <w:sz w:val="20"/>
                <w:szCs w:val="20"/>
                <w:color w:val="auto"/>
              </w:rPr>
            </w:pPr>
            <w:r>
              <w:rPr>
                <w:rFonts w:ascii="Times New Roman" w:cs="Times New Roman" w:eastAsia="Times New Roman" w:hAnsi="Times New Roman"/>
                <w:sz w:val="18"/>
                <w:szCs w:val="18"/>
                <w:color w:val="auto"/>
                <w:w w:val="99"/>
              </w:rPr>
              <w:t>33</w:t>
            </w:r>
          </w:p>
        </w:tc>
        <w:tc>
          <w:tcPr>
            <w:tcW w:w="0" w:type="dxa"/>
            <w:vAlign w:val="bottom"/>
          </w:tcPr>
          <w:p>
            <w:pPr>
              <w:spacing w:after="0"/>
              <w:rPr>
                <w:sz w:val="1"/>
                <w:szCs w:val="1"/>
                <w:color w:val="auto"/>
              </w:rPr>
            </w:pPr>
          </w:p>
        </w:tc>
      </w:tr>
      <w:tr>
        <w:trPr>
          <w:trHeight w:val="243"/>
        </w:trPr>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Asia Pacific</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center"/>
              <w:ind w:left="553"/>
              <w:spacing w:after="0"/>
              <w:rPr>
                <w:sz w:val="20"/>
                <w:szCs w:val="20"/>
                <w:color w:val="auto"/>
              </w:rPr>
            </w:pPr>
            <w:r>
              <w:rPr>
                <w:rFonts w:ascii="Times New Roman" w:cs="Times New Roman" w:eastAsia="Times New Roman" w:hAnsi="Times New Roman"/>
                <w:sz w:val="18"/>
                <w:szCs w:val="18"/>
                <w:color w:val="auto"/>
                <w:w w:val="99"/>
              </w:rPr>
              <w:t>31</w:t>
            </w:r>
          </w:p>
        </w:tc>
        <w:tc>
          <w:tcPr>
            <w:tcW w:w="0" w:type="dxa"/>
            <w:vAlign w:val="bottom"/>
          </w:tcPr>
          <w:p>
            <w:pPr>
              <w:spacing w:after="0"/>
              <w:rPr>
                <w:sz w:val="1"/>
                <w:szCs w:val="1"/>
                <w:color w:val="auto"/>
              </w:rPr>
            </w:pPr>
          </w:p>
        </w:tc>
      </w:tr>
      <w:tr>
        <w:trPr>
          <w:trHeight w:val="27"/>
        </w:trPr>
        <w:tc>
          <w:tcPr>
            <w:tcW w:w="56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5680" w:type="dxa"/>
            <w:vAlign w:val="bottom"/>
            <w:shd w:val="clear" w:color="auto" w:fill="CCEEFF"/>
          </w:tcPr>
          <w:p>
            <w:pPr>
              <w:ind w:left="260"/>
              <w:spacing w:after="0" w:line="201" w:lineRule="exact"/>
              <w:rPr>
                <w:sz w:val="20"/>
                <w:szCs w:val="20"/>
                <w:color w:val="auto"/>
              </w:rPr>
            </w:pPr>
            <w:r>
              <w:rPr>
                <w:rFonts w:ascii="Times New Roman" w:cs="Times New Roman" w:eastAsia="Times New Roman" w:hAnsi="Times New Roman"/>
                <w:sz w:val="18"/>
                <w:szCs w:val="18"/>
                <w:b w:val="1"/>
                <w:bCs w:val="1"/>
                <w:color w:val="auto"/>
              </w:rPr>
              <w:t>Total Segment Asset Write-Offs, Accelerated Depreciation, and</w:t>
            </w:r>
          </w:p>
        </w:tc>
        <w:tc>
          <w:tcPr>
            <w:tcW w:w="20" w:type="dxa"/>
            <w:vAlign w:val="bottom"/>
            <w:vMerge w:val="restart"/>
            <w:shd w:val="clear" w:color="auto" w:fill="CCEEFF"/>
          </w:tcPr>
          <w:p>
            <w:pPr>
              <w:spacing w:after="0"/>
              <w:rPr>
                <w:sz w:val="17"/>
                <w:szCs w:val="17"/>
                <w:color w:val="auto"/>
              </w:rPr>
            </w:pP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vMerge w:val="restart"/>
            <w:shd w:val="clear" w:color="auto" w:fill="CCEEFF"/>
          </w:tcPr>
          <w:p>
            <w:pPr>
              <w:spacing w:after="0"/>
              <w:rPr>
                <w:sz w:val="17"/>
                <w:szCs w:val="17"/>
                <w:color w:val="auto"/>
              </w:rPr>
            </w:pP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80" w:type="dxa"/>
            <w:vAlign w:val="bottom"/>
            <w:shd w:val="clear" w:color="auto" w:fill="CCEEFF"/>
          </w:tcPr>
          <w:p>
            <w:pPr>
              <w:spacing w:after="0"/>
              <w:rPr>
                <w:sz w:val="17"/>
                <w:szCs w:val="17"/>
                <w:color w:val="auto"/>
              </w:rPr>
            </w:pPr>
          </w:p>
        </w:tc>
        <w:tc>
          <w:tcPr>
            <w:tcW w:w="20" w:type="dxa"/>
            <w:vAlign w:val="bottom"/>
            <w:vMerge w:val="restart"/>
            <w:shd w:val="clear" w:color="auto" w:fill="CCEEFF"/>
          </w:tcPr>
          <w:p>
            <w:pPr>
              <w:spacing w:after="0"/>
              <w:rPr>
                <w:sz w:val="17"/>
                <w:szCs w:val="17"/>
                <w:color w:val="auto"/>
              </w:rPr>
            </w:pP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10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shd w:val="clear" w:color="auto" w:fill="CCEEFF"/>
          </w:tcPr>
          <w:p>
            <w:pPr>
              <w:jc w:val="center"/>
              <w:ind w:left="553"/>
              <w:spacing w:after="0"/>
              <w:rPr>
                <w:sz w:val="20"/>
                <w:szCs w:val="20"/>
                <w:color w:val="auto"/>
              </w:rPr>
            </w:pPr>
            <w:r>
              <w:rPr>
                <w:rFonts w:ascii="Times New Roman" w:cs="Times New Roman" w:eastAsia="Times New Roman" w:hAnsi="Times New Roman"/>
                <w:sz w:val="18"/>
                <w:szCs w:val="18"/>
                <w:b w:val="1"/>
                <w:bCs w:val="1"/>
                <w:color w:val="auto"/>
                <w:w w:val="99"/>
              </w:rPr>
              <w:t>74</w:t>
            </w:r>
          </w:p>
        </w:tc>
        <w:tc>
          <w:tcPr>
            <w:tcW w:w="0" w:type="dxa"/>
            <w:vAlign w:val="bottom"/>
          </w:tcPr>
          <w:p>
            <w:pPr>
              <w:spacing w:after="0"/>
              <w:rPr>
                <w:sz w:val="1"/>
                <w:szCs w:val="1"/>
                <w:color w:val="auto"/>
              </w:rPr>
            </w:pPr>
          </w:p>
        </w:tc>
      </w:tr>
      <w:tr>
        <w:trPr>
          <w:trHeight w:val="258"/>
        </w:trPr>
        <w:tc>
          <w:tcPr>
            <w:tcW w:w="56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Accelerated Lease Costs, net</w:t>
            </w:r>
          </w:p>
        </w:tc>
        <w:tc>
          <w:tcPr>
            <w:tcW w:w="20" w:type="dxa"/>
            <w:vAlign w:val="bottom"/>
            <w:tcBorders>
              <w:bottom w:val="single" w:sz="8" w:color="CCEEFF"/>
            </w:tcBorders>
            <w:vMerge w:val="continue"/>
            <w:shd w:val="clear" w:color="auto" w:fill="CCEEFF"/>
          </w:tcPr>
          <w:p>
            <w:pPr>
              <w:spacing w:after="0"/>
              <w:rPr>
                <w:sz w:val="22"/>
                <w:szCs w:val="22"/>
                <w:color w:val="auto"/>
              </w:rPr>
            </w:pPr>
          </w:p>
        </w:tc>
        <w:tc>
          <w:tcPr>
            <w:tcW w:w="300" w:type="dxa"/>
            <w:vAlign w:val="bottom"/>
            <w:tcBorders>
              <w:bottom w:val="single" w:sz="8" w:color="auto"/>
            </w:tcBorders>
            <w:vMerge w:val="continue"/>
            <w:shd w:val="clear" w:color="auto" w:fill="CCEEFF"/>
          </w:tcPr>
          <w:p>
            <w:pPr>
              <w:spacing w:after="0"/>
              <w:rPr>
                <w:sz w:val="22"/>
                <w:szCs w:val="22"/>
                <w:color w:val="auto"/>
              </w:rPr>
            </w:pPr>
          </w:p>
        </w:tc>
        <w:tc>
          <w:tcPr>
            <w:tcW w:w="980" w:type="dxa"/>
            <w:vAlign w:val="bottom"/>
            <w:tcBorders>
              <w:bottom w:val="single" w:sz="8" w:color="auto"/>
            </w:tcBorders>
            <w:vMerge w:val="continue"/>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vMerge w:val="continue"/>
            <w:shd w:val="clear" w:color="auto" w:fill="CCEEFF"/>
          </w:tcPr>
          <w:p>
            <w:pPr>
              <w:spacing w:after="0"/>
              <w:rPr>
                <w:sz w:val="22"/>
                <w:szCs w:val="22"/>
                <w:color w:val="auto"/>
              </w:rPr>
            </w:pPr>
          </w:p>
        </w:tc>
        <w:tc>
          <w:tcPr>
            <w:tcW w:w="340" w:type="dxa"/>
            <w:vAlign w:val="bottom"/>
            <w:tcBorders>
              <w:bottom w:val="single" w:sz="8" w:color="auto"/>
            </w:tcBorders>
            <w:vMerge w:val="continue"/>
            <w:shd w:val="clear" w:color="auto" w:fill="CCEEFF"/>
          </w:tcPr>
          <w:p>
            <w:pPr>
              <w:spacing w:after="0"/>
              <w:rPr>
                <w:sz w:val="22"/>
                <w:szCs w:val="22"/>
                <w:color w:val="auto"/>
              </w:rPr>
            </w:pPr>
          </w:p>
        </w:tc>
        <w:tc>
          <w:tcPr>
            <w:tcW w:w="96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vMerge w:val="continue"/>
            <w:shd w:val="clear" w:color="auto" w:fill="CCEEFF"/>
          </w:tcPr>
          <w:p>
            <w:pPr>
              <w:spacing w:after="0"/>
              <w:rPr>
                <w:sz w:val="22"/>
                <w:szCs w:val="22"/>
                <w:color w:val="auto"/>
              </w:rPr>
            </w:pPr>
          </w:p>
        </w:tc>
        <w:tc>
          <w:tcPr>
            <w:tcW w:w="300" w:type="dxa"/>
            <w:vAlign w:val="bottom"/>
            <w:tcBorders>
              <w:bottom w:val="single" w:sz="8" w:color="auto"/>
            </w:tcBorders>
            <w:vMerge w:val="continue"/>
            <w:shd w:val="clear" w:color="auto" w:fill="CCEEFF"/>
          </w:tcPr>
          <w:p>
            <w:pPr>
              <w:spacing w:after="0"/>
              <w:rPr>
                <w:sz w:val="22"/>
                <w:szCs w:val="22"/>
                <w:color w:val="auto"/>
              </w:rPr>
            </w:pPr>
          </w:p>
        </w:tc>
        <w:tc>
          <w:tcPr>
            <w:tcW w:w="100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vMerge w:val="continue"/>
            <w:shd w:val="clear" w:color="auto" w:fill="CCEEFF"/>
          </w:tcPr>
          <w:p>
            <w:pPr>
              <w:spacing w:after="0"/>
              <w:rPr>
                <w:sz w:val="22"/>
                <w:szCs w:val="22"/>
                <w:color w:val="auto"/>
              </w:rPr>
            </w:pPr>
          </w:p>
        </w:tc>
        <w:tc>
          <w:tcPr>
            <w:tcW w:w="94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Corporate</w:t>
            </w: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940" w:type="dxa"/>
            <w:vAlign w:val="bottom"/>
          </w:tcPr>
          <w:p>
            <w:pPr>
              <w:jc w:val="center"/>
              <w:ind w:left="553"/>
              <w:spacing w:after="0"/>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r>
        <w:trPr>
          <w:trHeight w:val="27"/>
        </w:trPr>
        <w:tc>
          <w:tcPr>
            <w:tcW w:w="56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6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CCEEFF"/>
            </w:tcBorders>
            <w:shd w:val="clear" w:color="auto" w:fill="CCEEFF"/>
          </w:tcPr>
          <w:p>
            <w:pPr>
              <w:jc w:val="center"/>
              <w:ind w:left="553"/>
              <w:spacing w:after="0"/>
              <w:rPr>
                <w:sz w:val="20"/>
                <w:szCs w:val="20"/>
                <w:color w:val="auto"/>
              </w:rPr>
            </w:pPr>
            <w:r>
              <w:rPr>
                <w:rFonts w:ascii="Times New Roman" w:cs="Times New Roman" w:eastAsia="Times New Roman" w:hAnsi="Times New Roman"/>
                <w:sz w:val="18"/>
                <w:szCs w:val="18"/>
                <w:b w:val="1"/>
                <w:bCs w:val="1"/>
                <w:color w:val="auto"/>
                <w:w w:val="99"/>
              </w:rPr>
              <w:t>94</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-3514090</wp:posOffset>
            </wp:positionV>
            <wp:extent cx="603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-33655</wp:posOffset>
            </wp:positionV>
            <wp:extent cx="6032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-213995</wp:posOffset>
            </wp:positionV>
            <wp:extent cx="603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-1534160</wp:posOffset>
            </wp:positionV>
            <wp:extent cx="6032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-1534160</wp:posOffset>
            </wp:positionV>
            <wp:extent cx="6032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segment capital expenditures and depreciation and amortization: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0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5"/>
                <w:szCs w:val="15"/>
                <w:color w:val="auto"/>
              </w:rPr>
            </w:pPr>
          </w:p>
        </w:tc>
        <w:tc>
          <w:tcPr>
            <w:tcW w:w="2420" w:type="dxa"/>
            <w:vAlign w:val="bottom"/>
            <w:gridSpan w:val="4"/>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0"/>
        </w:trPr>
        <w:tc>
          <w:tcPr>
            <w:tcW w:w="5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tcPr>
          <w:p>
            <w:pPr>
              <w:jc w:val="center"/>
              <w:ind w:left="57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3"/>
          </w:tcPr>
          <w:p>
            <w:pPr>
              <w:jc w:val="center"/>
              <w:ind w:left="57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Pr>
          <w:p>
            <w:pPr>
              <w:spacing w:after="0"/>
              <w:rPr>
                <w:sz w:val="19"/>
                <w:szCs w:val="19"/>
                <w:color w:val="auto"/>
              </w:rPr>
            </w:pPr>
          </w:p>
        </w:tc>
        <w:tc>
          <w:tcPr>
            <w:tcW w:w="10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56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Americas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43"/>
        </w:trPr>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Asia Pacific</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7"/>
        </w:trPr>
        <w:tc>
          <w:tcPr>
            <w:tcW w:w="5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6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Total Segment Capital Expenditures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463</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616</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w:t>
            </w:r>
          </w:p>
        </w:tc>
        <w:tc>
          <w:tcPr>
            <w:tcW w:w="3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5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6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316</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466</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634</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5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0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24"/>
                <w:szCs w:val="24"/>
                <w:color w:val="auto"/>
              </w:rPr>
            </w:pPr>
          </w:p>
        </w:tc>
        <w:tc>
          <w:tcPr>
            <w:tcW w:w="2420" w:type="dxa"/>
            <w:vAlign w:val="bottom"/>
            <w:gridSpan w:val="4"/>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0"/>
        </w:trPr>
        <w:tc>
          <w:tcPr>
            <w:tcW w:w="5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tcPr>
          <w:p>
            <w:pPr>
              <w:jc w:val="center"/>
              <w:ind w:left="57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3"/>
          </w:tcPr>
          <w:p>
            <w:pPr>
              <w:jc w:val="center"/>
              <w:ind w:left="57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Pr>
          <w:p>
            <w:pPr>
              <w:spacing w:after="0"/>
              <w:rPr>
                <w:sz w:val="19"/>
                <w:szCs w:val="19"/>
                <w:color w:val="auto"/>
              </w:rPr>
            </w:pPr>
          </w:p>
        </w:tc>
        <w:tc>
          <w:tcPr>
            <w:tcW w:w="10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56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Americas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43"/>
        </w:trPr>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Asia Pacific</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7"/>
        </w:trPr>
        <w:tc>
          <w:tcPr>
            <w:tcW w:w="5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6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Total Segment Depreciation and Amortization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525</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Corporate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5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6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262</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546</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-1868170</wp:posOffset>
            </wp:positionV>
            <wp:extent cx="5969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-2047875</wp:posOffset>
            </wp:positionV>
            <wp:extent cx="596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-3119755</wp:posOffset>
            </wp:positionV>
            <wp:extent cx="6032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-3119755</wp:posOffset>
            </wp:positionV>
            <wp:extent cx="5969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-33655</wp:posOffset>
            </wp:positionV>
            <wp:extent cx="5969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-213995</wp:posOffset>
            </wp:positionV>
            <wp:extent cx="5969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-1285240</wp:posOffset>
            </wp:positionV>
            <wp:extent cx="6032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-1285240</wp:posOffset>
            </wp:positionV>
            <wp:extent cx="5969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segment equity in the net (income) loss of investees accounted for by the equity method: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80" w:type="dxa"/>
            <w:vAlign w:val="bottom"/>
          </w:tcPr>
          <w:p>
            <w:pPr>
              <w:spacing w:after="0"/>
              <w:rPr>
                <w:sz w:val="15"/>
                <w:szCs w:val="15"/>
                <w:color w:val="auto"/>
              </w:rPr>
            </w:pPr>
          </w:p>
        </w:tc>
        <w:tc>
          <w:tcPr>
            <w:tcW w:w="2340" w:type="dxa"/>
            <w:vAlign w:val="bottom"/>
            <w:gridSpan w:val="4"/>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20" w:type="dxa"/>
            <w:vAlign w:val="bottom"/>
            <w:gridSpan w:val="4"/>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0"/>
        </w:trPr>
        <w:tc>
          <w:tcPr>
            <w:tcW w:w="5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0" w:type="dxa"/>
            <w:vAlign w:val="bottom"/>
            <w:gridSpan w:val="3"/>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center"/>
              <w:ind w:left="55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6"/>
                <w:szCs w:val="16"/>
                <w:color w:val="auto"/>
              </w:rPr>
            </w:pPr>
          </w:p>
        </w:tc>
      </w:tr>
      <w:tr>
        <w:trPr>
          <w:trHeight w:val="229"/>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568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30"/>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 in (Income) Loss</w:t>
            </w:r>
          </w:p>
        </w:tc>
        <w:tc>
          <w:tcPr>
            <w:tcW w:w="9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43"/>
        </w:trPr>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Americas</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center"/>
              <w:ind w:left="54"/>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94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5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9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w w:val="95"/>
              </w:rPr>
              <w:t>(1)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5"/>
              </w:rPr>
              <w:t>(1)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Asia Pacific</w:t>
            </w:r>
          </w:p>
        </w:tc>
        <w:tc>
          <w:tcPr>
            <w:tcW w:w="940" w:type="dxa"/>
            <w:vAlign w:val="bottom"/>
          </w:tcPr>
          <w:p>
            <w:pPr>
              <w:spacing w:after="0"/>
              <w:rPr>
                <w:sz w:val="21"/>
                <w:szCs w:val="21"/>
                <w:color w:val="auto"/>
              </w:rPr>
            </w:pPr>
          </w:p>
        </w:tc>
        <w:tc>
          <w:tcPr>
            <w:tcW w:w="360" w:type="dxa"/>
            <w:vAlign w:val="bottom"/>
          </w:tcPr>
          <w:p>
            <w:pPr>
              <w:jc w:val="center"/>
              <w:ind w:left="34"/>
              <w:spacing w:after="0"/>
              <w:rPr>
                <w:sz w:val="20"/>
                <w:szCs w:val="20"/>
                <w:color w:val="auto"/>
              </w:rPr>
            </w:pPr>
            <w:r>
              <w:rPr>
                <w:rFonts w:ascii="Times New Roman" w:cs="Times New Roman" w:eastAsia="Times New Roman" w:hAnsi="Times New Roman"/>
                <w:sz w:val="18"/>
                <w:szCs w:val="18"/>
                <w:color w:val="auto"/>
                <w:w w:val="95"/>
              </w:rPr>
              <w:t>(4)</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5"/>
              </w:rPr>
              <w:t>(7)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56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9"/>
        </w:trPr>
        <w:tc>
          <w:tcPr>
            <w:tcW w:w="56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Total Segment Equity in (Income) Loss</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Borders>
              <w:bottom w:val="single" w:sz="8" w:color="auto"/>
            </w:tcBorders>
            <w:shd w:val="clear" w:color="auto" w:fill="CCEEFF"/>
          </w:tcPr>
          <w:p>
            <w:pPr>
              <w:jc w:val="center"/>
              <w:ind w:left="54"/>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rPr>
              <w:t>14</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-33655</wp:posOffset>
            </wp:positionV>
            <wp:extent cx="603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-33655</wp:posOffset>
            </wp:positionV>
            <wp:extent cx="596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-213995</wp:posOffset>
            </wp:positionV>
            <wp:extent cx="6032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-213995</wp:posOffset>
            </wp:positionV>
            <wp:extent cx="5969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-899160</wp:posOffset>
            </wp:positionV>
            <wp:extent cx="603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-899160</wp:posOffset>
            </wp:positionV>
            <wp:extent cx="596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9. FINANCING ARRANGEMENTS AND DERIVATIVE FINANCIAL INSTRUMENTS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June 30, 2025, we had total credit arrangements of $10,920 million, of which $3,158 million were unused. At that date, approximately 30% of our debt was at variable interest rates averaging 6.42%.</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Notes Payable and Overdrafts, Long Term Debt and Finance Leases due Within One Year and Short Term Financing Arrangements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June 30, 2025, we had short term committed and uncommitted credit arrangements totaling $781 million, of which $250 million were unused. These arrangements are available primarily to certain of our foreign subsidiaries through various banks at quoted market interest rates.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amounts due within one year:</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4"/>
                <w:szCs w:val="14"/>
                <w:color w:val="auto"/>
              </w:rPr>
            </w:pPr>
          </w:p>
        </w:tc>
        <w:tc>
          <w:tcPr>
            <w:tcW w:w="12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4"/>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Pr>
          <w:p>
            <w:pPr>
              <w:spacing w:after="0"/>
              <w:rPr>
                <w:sz w:val="17"/>
                <w:szCs w:val="17"/>
                <w:color w:val="auto"/>
              </w:rPr>
            </w:pPr>
          </w:p>
        </w:tc>
        <w:tc>
          <w:tcPr>
            <w:tcW w:w="114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2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Chinese credit facilities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foreign and domestic debt</w:t>
            </w:r>
          </w:p>
        </w:tc>
        <w:tc>
          <w:tcPr>
            <w:tcW w:w="300" w:type="dxa"/>
            <w:vAlign w:val="bottom"/>
          </w:tcPr>
          <w:p>
            <w:pPr>
              <w:spacing w:after="0"/>
              <w:rPr>
                <w:sz w:val="21"/>
                <w:szCs w:val="21"/>
                <w:color w:val="auto"/>
              </w:rPr>
            </w:pP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Notes Payable and Overdrafts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499</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558</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2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Chinese credit facilities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9.5% Notes due 2025</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 Notes due 2026</w:t>
            </w:r>
          </w:p>
        </w:tc>
        <w:tc>
          <w:tcPr>
            <w:tcW w:w="300" w:type="dxa"/>
            <w:vAlign w:val="bottom"/>
          </w:tcPr>
          <w:p>
            <w:pPr>
              <w:spacing w:after="0"/>
              <w:rPr>
                <w:sz w:val="21"/>
                <w:szCs w:val="21"/>
                <w:color w:val="auto"/>
              </w:rPr>
            </w:pP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foreign and domestic debt (including finance leases)</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3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 Term Debt and Finance Leases due Within One Year</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778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832</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8.46 %</w:t>
            </w:r>
          </w:p>
        </w:tc>
        <w:tc>
          <w:tcPr>
            <w:tcW w:w="0" w:type="dxa"/>
            <w:vAlign w:val="bottom"/>
          </w:tcPr>
          <w:p>
            <w:pPr>
              <w:spacing w:after="0"/>
              <w:rPr>
                <w:sz w:val="1"/>
                <w:szCs w:val="1"/>
                <w:color w:val="auto"/>
              </w:rPr>
            </w:pPr>
          </w:p>
        </w:tc>
      </w:tr>
      <w:tr>
        <w:trPr>
          <w:trHeight w:val="23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obligations due within one year</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1,277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1,390</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-393700</wp:posOffset>
            </wp:positionV>
            <wp:extent cx="6032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-1662430</wp:posOffset>
            </wp:positionV>
            <wp:extent cx="603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-1842770</wp:posOffset>
            </wp:positionV>
            <wp:extent cx="6032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-2193925</wp:posOffset>
            </wp:positionV>
            <wp:extent cx="603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Long Term Debt and Finance Leases and Financing Arrangements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2025, we had long term credit arrangements totaling $10,139 million, of which $2,908 million were unused.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long term debt and finance leases, net of unamortized discounts, and interest rates: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3"/>
          </w:tcPr>
          <w:p>
            <w:pPr>
              <w:jc w:val="right"/>
              <w:ind w:right="74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7"/>
        </w:trPr>
        <w:tc>
          <w:tcPr>
            <w:tcW w:w="54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171"/>
        </w:trPr>
        <w:tc>
          <w:tcPr>
            <w:tcW w:w="5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Interest</w:t>
            </w:r>
          </w:p>
        </w:tc>
      </w:tr>
      <w:tr>
        <w:trPr>
          <w:trHeight w:val="190"/>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16"/>
                <w:szCs w:val="16"/>
                <w:color w:val="auto"/>
              </w:rPr>
            </w:pPr>
          </w:p>
        </w:tc>
        <w:tc>
          <w:tcPr>
            <w:tcW w:w="16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260" w:type="dxa"/>
            <w:vAlign w:val="bottom"/>
          </w:tcPr>
          <w:p>
            <w:pPr>
              <w:spacing w:after="0"/>
              <w:rPr>
                <w:sz w:val="16"/>
                <w:szCs w:val="16"/>
                <w:color w:val="auto"/>
              </w:rPr>
            </w:pPr>
          </w:p>
        </w:tc>
        <w:tc>
          <w:tcPr>
            <w:tcW w:w="104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42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Rate</w:t>
            </w:r>
          </w:p>
        </w:tc>
      </w:tr>
      <w:tr>
        <w:trPr>
          <w:trHeight w:val="37"/>
        </w:trPr>
        <w:tc>
          <w:tcPr>
            <w:tcW w:w="548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30"/>
        </w:trPr>
        <w:tc>
          <w:tcPr>
            <w:tcW w:w="5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6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CFF0FC"/>
            </w:tcBorders>
            <w:shd w:val="clear" w:color="auto" w:fill="CFF0FC"/>
          </w:tcPr>
          <w:p>
            <w:pPr>
              <w:spacing w:after="0"/>
              <w:rPr>
                <w:sz w:val="20"/>
                <w:szCs w:val="20"/>
                <w:color w:val="auto"/>
              </w:rPr>
            </w:pPr>
          </w:p>
        </w:tc>
      </w:tr>
      <w:tr>
        <w:trPr>
          <w:trHeight w:val="243"/>
        </w:trPr>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9.5% due 2025</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4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5% due 2026</w:t>
            </w:r>
          </w:p>
        </w:tc>
        <w:tc>
          <w:tcPr>
            <w:tcW w:w="2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spacing w:after="0"/>
              <w:rPr>
                <w:sz w:val="21"/>
                <w:szCs w:val="21"/>
                <w:color w:val="auto"/>
              </w:rPr>
            </w:pPr>
          </w:p>
        </w:tc>
      </w:tr>
      <w:tr>
        <w:trPr>
          <w:trHeight w:val="243"/>
        </w:trPr>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4.875% due 2027</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4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7.625% due 2027</w:t>
            </w:r>
          </w:p>
        </w:tc>
        <w:tc>
          <w:tcPr>
            <w:tcW w:w="2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spacing w:after="0"/>
              <w:rPr>
                <w:sz w:val="21"/>
                <w:szCs w:val="21"/>
                <w:color w:val="auto"/>
              </w:rPr>
            </w:pPr>
          </w:p>
        </w:tc>
      </w:tr>
      <w:tr>
        <w:trPr>
          <w:trHeight w:val="243"/>
        </w:trPr>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7% due 2028</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4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2.75% Euro Notes due 2028</w:t>
            </w:r>
          </w:p>
        </w:tc>
        <w:tc>
          <w:tcPr>
            <w:tcW w:w="2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spacing w:after="0"/>
              <w:rPr>
                <w:sz w:val="21"/>
                <w:szCs w:val="21"/>
                <w:color w:val="auto"/>
              </w:rPr>
            </w:pPr>
          </w:p>
        </w:tc>
      </w:tr>
      <w:tr>
        <w:trPr>
          <w:trHeight w:val="243"/>
        </w:trPr>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 due 2029</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4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6.625% due 2030</w:t>
            </w:r>
          </w:p>
        </w:tc>
        <w:tc>
          <w:tcPr>
            <w:tcW w:w="2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spacing w:after="0"/>
              <w:rPr>
                <w:sz w:val="21"/>
                <w:szCs w:val="21"/>
                <w:color w:val="auto"/>
              </w:rPr>
            </w:pPr>
          </w:p>
        </w:tc>
      </w:tr>
      <w:tr>
        <w:trPr>
          <w:trHeight w:val="243"/>
        </w:trPr>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5.25% due April 2031</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4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5.25% due July 2031</w:t>
            </w:r>
          </w:p>
        </w:tc>
        <w:tc>
          <w:tcPr>
            <w:tcW w:w="2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spacing w:after="0"/>
              <w:rPr>
                <w:sz w:val="21"/>
                <w:szCs w:val="21"/>
                <w:color w:val="auto"/>
              </w:rPr>
            </w:pPr>
          </w:p>
        </w:tc>
      </w:tr>
      <w:tr>
        <w:trPr>
          <w:trHeight w:val="243"/>
        </w:trPr>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5.625% due 2033</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Credit Facilities:</w:t>
            </w:r>
          </w:p>
        </w:tc>
        <w:tc>
          <w:tcPr>
            <w:tcW w:w="2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spacing w:after="0"/>
              <w:rPr>
                <w:sz w:val="21"/>
                <w:szCs w:val="21"/>
                <w:color w:val="auto"/>
              </w:rPr>
            </w:pPr>
          </w:p>
        </w:tc>
      </w:tr>
      <w:tr>
        <w:trPr>
          <w:trHeight w:val="243"/>
        </w:trPr>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First lien revolving credit facility due 2030</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5.86 %</w:t>
            </w:r>
          </w:p>
        </w:tc>
      </w:tr>
      <w:tr>
        <w:trPr>
          <w:trHeight w:val="27"/>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4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European revolving credit facility due 2028</w:t>
            </w:r>
          </w:p>
        </w:tc>
        <w:tc>
          <w:tcPr>
            <w:tcW w:w="2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3.43 %</w:t>
            </w:r>
          </w:p>
        </w:tc>
        <w:tc>
          <w:tcPr>
            <w:tcW w:w="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Pan-European accounts receivable facility</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4.83 %</w:t>
            </w:r>
          </w:p>
        </w:tc>
      </w:tr>
      <w:tr>
        <w:trPr>
          <w:trHeight w:val="27"/>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Mexican credit facility</w:t>
            </w:r>
          </w:p>
        </w:tc>
        <w:tc>
          <w:tcPr>
            <w:tcW w:w="26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CFF0FC"/>
            </w:tcBorders>
            <w:gridSpan w:val="3"/>
            <w:shd w:val="clear" w:color="auto" w:fill="CFF0FC"/>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6.37 %</w:t>
            </w:r>
          </w:p>
        </w:tc>
        <w:tc>
          <w:tcPr>
            <w:tcW w:w="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5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7.36 %</w:t>
            </w:r>
          </w:p>
        </w:tc>
      </w:tr>
      <w:tr>
        <w:trPr>
          <w:trHeight w:val="24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Chinese credit facilities</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2.50 %</w:t>
            </w:r>
          </w:p>
        </w:tc>
      </w:tr>
      <w:tr>
        <w:trPr>
          <w:trHeight w:val="27"/>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foreign and domestic debt</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FF0FC"/>
          </w:tcPr>
          <w:p>
            <w:pPr>
              <w:spacing w:after="0"/>
              <w:rPr>
                <w:sz w:val="23"/>
                <w:szCs w:val="23"/>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shd w:val="clear" w:color="auto" w:fill="CFF0FC"/>
          </w:tcPr>
          <w:p>
            <w:pPr>
              <w:spacing w:after="0"/>
              <w:rPr>
                <w:sz w:val="23"/>
                <w:szCs w:val="23"/>
                <w:color w:val="auto"/>
              </w:rPr>
            </w:pPr>
          </w:p>
        </w:tc>
        <w:tc>
          <w:tcPr>
            <w:tcW w:w="460" w:type="dxa"/>
            <w:vAlign w:val="bottom"/>
            <w:shd w:val="clear" w:color="auto" w:fill="CFF0FC"/>
          </w:tcPr>
          <w:p>
            <w:pPr>
              <w:spacing w:after="0"/>
              <w:rPr>
                <w:sz w:val="23"/>
                <w:szCs w:val="2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8.18 %</w:t>
            </w:r>
          </w:p>
        </w:tc>
        <w:tc>
          <w:tcPr>
            <w:tcW w:w="80" w:type="dxa"/>
            <w:vAlign w:val="bottom"/>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spacing w:after="0"/>
              <w:rPr>
                <w:sz w:val="23"/>
                <w:szCs w:val="23"/>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7.39 %</w:t>
            </w:r>
          </w:p>
        </w:tc>
      </w:tr>
      <w:tr>
        <w:trPr>
          <w:trHeight w:val="236"/>
        </w:trPr>
        <w:tc>
          <w:tcPr>
            <w:tcW w:w="5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6,994</w:t>
            </w: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Unamortized deferred financing fees</w:t>
            </w:r>
          </w:p>
        </w:tc>
        <w:tc>
          <w:tcPr>
            <w:tcW w:w="26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FF0FC"/>
            </w:tcBorders>
            <w:shd w:val="clear" w:color="auto" w:fill="CFF0FC"/>
          </w:tcPr>
          <w:p>
            <w:pPr>
              <w:spacing w:after="0"/>
              <w:rPr>
                <w:sz w:val="23"/>
                <w:szCs w:val="23"/>
                <w:color w:val="auto"/>
              </w:rPr>
            </w:pPr>
          </w:p>
        </w:tc>
        <w:tc>
          <w:tcPr>
            <w:tcW w:w="46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FF0FC"/>
            </w:tcBorders>
            <w:shd w:val="clear" w:color="auto" w:fill="CFF0FC"/>
          </w:tcPr>
          <w:p>
            <w:pPr>
              <w:spacing w:after="0"/>
              <w:rPr>
                <w:sz w:val="23"/>
                <w:szCs w:val="23"/>
                <w:color w:val="auto"/>
              </w:rPr>
            </w:pPr>
          </w:p>
        </w:tc>
        <w:tc>
          <w:tcPr>
            <w:tcW w:w="1420" w:type="dxa"/>
            <w:vAlign w:val="bottom"/>
            <w:tcBorders>
              <w:bottom w:val="single" w:sz="8" w:color="CFF0FC"/>
            </w:tcBorders>
            <w:shd w:val="clear" w:color="auto" w:fill="CFF0FC"/>
          </w:tcPr>
          <w:p>
            <w:pPr>
              <w:spacing w:after="0"/>
              <w:rPr>
                <w:sz w:val="23"/>
                <w:szCs w:val="23"/>
                <w:color w:val="auto"/>
              </w:rPr>
            </w:pPr>
          </w:p>
        </w:tc>
      </w:tr>
      <w:tr>
        <w:trPr>
          <w:trHeight w:val="237"/>
        </w:trPr>
        <w:tc>
          <w:tcPr>
            <w:tcW w:w="54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6,963</w:t>
            </w: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r>
              <w:rPr>
                <w:rFonts w:ascii="Times New Roman" w:cs="Times New Roman" w:eastAsia="Times New Roman" w:hAnsi="Times New Roman"/>
                <w:sz w:val="23"/>
                <w:szCs w:val="23"/>
                <w:color w:val="auto"/>
                <w:vertAlign w:val="superscript"/>
              </w:rPr>
              <w:t>(2)</w:t>
            </w:r>
          </w:p>
        </w:tc>
        <w:tc>
          <w:tcPr>
            <w:tcW w:w="260" w:type="dxa"/>
            <w:vAlign w:val="bottom"/>
            <w:tcBorders>
              <w:bottom w:val="single" w:sz="8" w:color="auto"/>
            </w:tcBorders>
            <w:shd w:val="clear" w:color="auto" w:fill="CFF0FC"/>
          </w:tcPr>
          <w:p>
            <w:pPr>
              <w:spacing w:after="0"/>
              <w:rPr>
                <w:sz w:val="23"/>
                <w:szCs w:val="23"/>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FF0FC"/>
          </w:tcPr>
          <w:p>
            <w:pPr>
              <w:spacing w:after="0"/>
              <w:rPr>
                <w:sz w:val="23"/>
                <w:szCs w:val="23"/>
                <w:color w:val="auto"/>
              </w:rPr>
            </w:pPr>
          </w:p>
        </w:tc>
        <w:tc>
          <w:tcPr>
            <w:tcW w:w="460" w:type="dxa"/>
            <w:vAlign w:val="bottom"/>
            <w:shd w:val="clear" w:color="auto" w:fill="CFF0FC"/>
          </w:tcPr>
          <w:p>
            <w:pPr>
              <w:spacing w:after="0"/>
              <w:rPr>
                <w:sz w:val="23"/>
                <w:szCs w:val="23"/>
                <w:color w:val="auto"/>
              </w:rPr>
            </w:pPr>
          </w:p>
        </w:tc>
        <w:tc>
          <w:tcPr>
            <w:tcW w:w="98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spacing w:after="0"/>
              <w:rPr>
                <w:sz w:val="23"/>
                <w:szCs w:val="23"/>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FF0FC"/>
          </w:tcPr>
          <w:p>
            <w:pPr>
              <w:spacing w:after="0"/>
              <w:rPr>
                <w:sz w:val="23"/>
                <w:szCs w:val="23"/>
                <w:color w:val="auto"/>
              </w:rPr>
            </w:pPr>
          </w:p>
        </w:tc>
        <w:tc>
          <w:tcPr>
            <w:tcW w:w="1420" w:type="dxa"/>
            <w:vAlign w:val="bottom"/>
            <w:shd w:val="clear" w:color="auto" w:fill="CFF0FC"/>
          </w:tcPr>
          <w:p>
            <w:pPr>
              <w:spacing w:after="0"/>
              <w:rPr>
                <w:sz w:val="23"/>
                <w:szCs w:val="23"/>
                <w:color w:val="auto"/>
              </w:rPr>
            </w:pPr>
          </w:p>
        </w:tc>
      </w:tr>
      <w:tr>
        <w:trPr>
          <w:trHeight w:val="237"/>
        </w:trPr>
        <w:tc>
          <w:tcPr>
            <w:tcW w:w="5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7,224</w:t>
            </w: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portion due within one year</w:t>
            </w:r>
          </w:p>
        </w:tc>
        <w:tc>
          <w:tcPr>
            <w:tcW w:w="26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Borders>
              <w:bottom w:val="single" w:sz="8" w:color="CFF0FC"/>
            </w:tcBorders>
            <w:shd w:val="clear" w:color="auto" w:fill="CFF0FC"/>
          </w:tcPr>
          <w:p>
            <w:pPr>
              <w:spacing w:after="0"/>
              <w:rPr>
                <w:sz w:val="23"/>
                <w:szCs w:val="23"/>
                <w:color w:val="auto"/>
              </w:rPr>
            </w:pPr>
          </w:p>
        </w:tc>
        <w:tc>
          <w:tcPr>
            <w:tcW w:w="46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tcBorders>
              <w:bottom w:val="single" w:sz="8" w:color="CFF0FC"/>
            </w:tcBorders>
            <w:shd w:val="clear" w:color="auto" w:fill="CFF0FC"/>
          </w:tcPr>
          <w:p>
            <w:pPr>
              <w:spacing w:after="0"/>
              <w:rPr>
                <w:sz w:val="23"/>
                <w:szCs w:val="23"/>
                <w:color w:val="auto"/>
              </w:rPr>
            </w:pPr>
          </w:p>
        </w:tc>
        <w:tc>
          <w:tcPr>
            <w:tcW w:w="1420" w:type="dxa"/>
            <w:vAlign w:val="bottom"/>
            <w:tcBorders>
              <w:bottom w:val="single" w:sz="8" w:color="CFF0FC"/>
            </w:tcBorders>
            <w:shd w:val="clear" w:color="auto" w:fill="CFF0FC"/>
          </w:tcPr>
          <w:p>
            <w:pPr>
              <w:spacing w:after="0"/>
              <w:rPr>
                <w:sz w:val="23"/>
                <w:szCs w:val="23"/>
                <w:color w:val="auto"/>
              </w:rPr>
            </w:pPr>
          </w:p>
        </w:tc>
      </w:tr>
      <w:tr>
        <w:trPr>
          <w:trHeight w:val="237"/>
        </w:trPr>
        <w:tc>
          <w:tcPr>
            <w:tcW w:w="54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6,559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6,392</w:t>
            </w: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5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
        </w:trPr>
        <w:tc>
          <w:tcPr>
            <w:tcW w:w="548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460" w:type="dxa"/>
            <w:vAlign w:val="bottom"/>
            <w:tcBorders>
              <w:bottom w:val="single" w:sz="8" w:color="CFF0FC"/>
            </w:tcBorders>
          </w:tcPr>
          <w:p>
            <w:pPr>
              <w:spacing w:after="0" w:line="20" w:lineRule="exact"/>
              <w:rPr>
                <w:sz w:val="1"/>
                <w:szCs w:val="1"/>
                <w:color w:val="auto"/>
              </w:rPr>
            </w:pPr>
          </w:p>
        </w:tc>
        <w:tc>
          <w:tcPr>
            <w:tcW w:w="98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20" w:type="dxa"/>
            <w:vAlign w:val="bottom"/>
            <w:tcBorders>
              <w:bottom w:val="single" w:sz="8" w:color="CFF0FC"/>
            </w:tcBorders>
          </w:tcPr>
          <w:p>
            <w:pPr>
              <w:spacing w:after="0" w:line="20" w:lineRule="exact"/>
              <w:rPr>
                <w:sz w:val="1"/>
                <w:szCs w:val="1"/>
                <w:color w:val="auto"/>
              </w:rPr>
            </w:pPr>
          </w:p>
        </w:tc>
      </w:tr>
      <w:tr>
        <w:trPr>
          <w:trHeight w:val="223"/>
        </w:trPr>
        <w:tc>
          <w:tcPr>
            <w:tcW w:w="5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-153670</wp:posOffset>
            </wp:positionV>
            <wp:extent cx="596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-153670</wp:posOffset>
            </wp:positionV>
            <wp:extent cx="596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-4671060</wp:posOffset>
            </wp:positionV>
            <wp:extent cx="596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-4671060</wp:posOffset>
            </wp:positionV>
            <wp:extent cx="596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-4671060</wp:posOffset>
            </wp:positionV>
            <wp:extent cx="596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ind w:left="340" w:hanging="314"/>
        <w:spacing w:after="0" w:line="220" w:lineRule="auto"/>
        <w:tabs>
          <w:tab w:leader="none" w:pos="34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Interest rates are weighted average interest rates primarily related to various foreign credit facilities with customary terms and conditions.</w:t>
      </w:r>
    </w:p>
    <w:p>
      <w:pPr>
        <w:spacing w:after="0" w:line="2" w:lineRule="exact"/>
        <w:rPr>
          <w:rFonts w:ascii="Times New Roman" w:cs="Times New Roman" w:eastAsia="Times New Roman" w:hAnsi="Times New Roman"/>
          <w:sz w:val="23"/>
          <w:szCs w:val="23"/>
          <w:color w:val="auto"/>
          <w:vertAlign w:val="superscript"/>
        </w:rPr>
      </w:pPr>
    </w:p>
    <w:p>
      <w:pPr>
        <w:ind w:left="360" w:right="40" w:hanging="334"/>
        <w:spacing w:after="0" w:line="219" w:lineRule="auto"/>
        <w:tabs>
          <w:tab w:leader="none" w:pos="347"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$1 million of non-cash financing additions during the six months ended June 30, 2025, and $2 million of non-cash financing additions during the twelve months ended December 31,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2025, we had $4,892 million of outstanding notes, compared to $5,240 million at December 31, 2024.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$500 million 6.625% Senior Notes due 2030</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3, 2025, we issued $500 million in aggregate principal amount of 6.625% senior notes due 2030. These notes were sold at 100% of the principal amount and will mature on July 15, 2030. These notes are unsecured senior obligations and are guaranteed by our U.S. and Canadian subsidiaries that also guarantee our obligations under our U.S. first lien revolving credit facility described below.</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the option to redeem these notes, in whole or in part, at any time on or after July 15, 2027 at a redemption price of 103.313%, 101.656% and 100% during the 12-month periods commencing on July 15, 2027, 2028 and 2029 and thereafter, respectively, plus accrued and unpaid interest to the redemption date. Prior to July 15, 2027, we may redeem these notes, in whole or in part, at a redemption price equal to 100% of the principal amount plus a make-whole premium and accrued and unpaid interest to the redemption date. In addition, prior to July 15, 2027, we may redeem up to 35% of the original aggregate principal amount of these notes from the net cash proceeds of certain equity offerings at a redemption price equal to 106.625% of the principal amount plus accrued and unpaid interest to the redemption date.</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terms of the indenture for these notes, among other things, limit our ability and the ability of certain of our subsidiaries to (i) incur certain liens, (ii) engage in sale and leaseback transactions, and (iii) consolidate, merge, sell or otherwise dispose of all or substantially all of our assets. These covenants are subject to significant exceptions and qualifications.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$900 million 5% Senior Notes due 2026</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30, 2025, we redeemed $400 million of our 5% senior notes due 2026 at a redemption price equal to 100% of the principal amount redeemed plus accrued and unpaid interest. On July 3, 2025, we redeemed the remaining $500 million of our 5% senior notes due 2026 at a redemption price equal to 100% of the principal amount redeemed plus accrued and unpaid interest. We used the net proceeds from the 6.625% senior notes described above, together with cash and cash equivalents, to redeem these notes.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$2.75 billion Amended and Restated First Lien Revolving Credit Facility due 2030</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19, 2025, we amended and restated our U.S. first lien revolving credit facility. The principal change to the facility was the extension of its maturity from June 8, 2026 to May, 19, 2030. The interest rate for loans under the facility remained at SOFR plus 125 basis points, based on our current liquidity as described below.</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amended and restated first lien revolving credit facility is available in the form of loans or letters of credit. Up to $800 million in letters of credit and $50 million of swingline loans are available for issuance under the facility. Subject to the consent of the lenders whose commitments are to be increased, we may request that the facility be increased by up to $250 million.</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obligations under the facility are guaranteed by most of our wholly-owned U.S. and Canadian subsidiaries. Our obligations under the facility and our subsidiaries' obligations under the related guarantees are secured by first priority security interests in a variety of collateral. Availability under the facility is subject to a borrowing base, which is based on (i) eligible accounts receivable and inventory of The Goodyear Tire &amp; Rubber Company and certain of its U.S. and Canadian subsidiaries, (ii) the greater of 50% of the appraised value, if any, of our principal trademarks or $400 million, (iii) the value of eligible machinery and equipment, and (iv) certain cash in an amount not to exceed $275 million. To the extent that our eligible accounts receivable, inventory and other components of the borrowing base decline in value, our borrowing base will decrease and the availability under the facility may decrease below $2.75 billion. As of June 30, 2025, our borrowing base, and therefore our availability, under this facility was $69 million below the facility's stated amount of $2.75 billion.</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facility has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2024. The facility also has customary defaults, including a cross-default to material indebtedness of Goodyear and our subsidiaries.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Available Cash (as defined in the facility) plus the average quarterly availability under the facility is greater than 25% of the total commitments under the facility, amounts drawn under the facility will bear interest, at our option, at (i) 125 basis points over SOFR or (ii) 25 basis points over an alternate base rate (the higher of (a) the prime rate, (b) the federal funds effective rate or the overnight bank funding rate plus 50 basis points or (c) SOFR plus 100 basis points). If Available Cash plus the average quarterly availability under the facility is equal to or less than 25% of the total commitments under the facility, then amounts drawn under the facility will bear interest, at our option, at (i) 150 basis points over SOFR or (ii) 50 basis points over an alternate base rate. Based on our current liquidity, amounts drawn under this facility bear interest at SOFR plus 125 basis points. Undrawn amounts under the facility are subject to an annual commitment fee of 25 basis points.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June 30, 2025, we had $1,210 million of borrowings and $1 million of letters of credit issued under the revolving credit facility. At December 31, 2024, we had $700 million of borrowings and $1 million of letters of credit issued under the revolving credit facility.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€800 million Amended and Restated Senior Secured European Revolving Credit Facility due 2028</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European revolving credit facility matures on January 14, 2028 and consists of (i) a €180 million German tranche that is available only to Goodyear Germany GmbH and (ii) a €620 million all-borrower tranche that is available to Goodyear Europe B.V. ("GEBV"), Goodyear Germany and Goodyear Operations S.A. Up to €175 million of swingline loans and €75 million in letters of credit are available for issuance under the all-borrower tranche. Subject to the consent of the lenders whose commitments are to be increased, we may request that the facility be increased by up to €200 million. Amounts drawn under this facility will bear interest at SOFR plus 150 basis points for loans denominated in U.S. dollars, EURIBOR plus 150 basis points for loans denominated in euros, and SONIA plus 150 basis points for loans denominated in pounds sterling. Undrawn amounts under the facility are subject to an annual commitment fee of 25 basis points.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GEBV and certain of its subsidiaries in the United Kingdom, Luxembourg, France and Germany provide guarantees to support the facility. The German guarantors secure the German tranche on a first-lien basis and the all-borrower tranche on a second-lien basis. GEBV and its other subsidiaries that provide guarantees secure the all-borrower tranche on a first-lien basis and</w:t>
      </w:r>
    </w:p>
    <w:p>
      <w:pPr>
        <w:sectPr>
          <w:pgSz w:w="11900" w:h="16838" w:orient="portrait"/>
          <w:cols w:equalWidth="0" w:num="1">
            <w:col w:w="11240"/>
          </w:cols>
          <w:pgMar w:left="320" w:top="337"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generally do not provide collateral support for the German tranche. The Company and its U.S. and Canadian subsidiaries that guarantee our U.S. first lien revolving credit facility described above also provide unsecured guarantees in support of the facility.</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facility has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2021. The facility also has customary defaults, including a cross-default to material indebtedness of Goodyear and our subsidiaries.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June 30, 2025, there were $140 million (€120 million) of borrowings outstanding under the all-borrower tranche, no borrowings outstanding under the German tranche, and no letters of credit outstanding under the European revolving credit facility. At December 31, 2024, we had no borrowings and no letters of credit outstanding under the European revolving credit facility.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Securitization Facilities (On-Balance Sheet)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GEBV and certain other of our European subsidiaries are parties to a pan-European accounts receivable securitization facility that expires in 2027. The terms of the facility provide the flexibility to designate annually the maximum amount of funding available under the facility in an amount of not less than €30 million and not more than €450 million. For the period from October 19, 2023 through October 16, 2024, the designated maximum amount of the facility was €300 million. For the period from October 17, 2024 through October 16, 2025, the designated maximum amount of the facility will remain €300 million.</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facility involves an ongoing daily sale of substantially all of the trade accounts receivable of certain GEBV subsidiaries. These subsidiaries retain servicing responsibilities. Utilization under this facility is based on eligible receivable balances.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funding commitments under the facility will expire upon the earliest to occur of: (a) October 19, 2027, (b) the non-renewal and expiration (without substitution) of all of the back-up liquidity commitments, (c) the early termination of the facility according to its terms (generally upon an Early Amortisation Event (as defined in the facility), which includes, among other things, events similar to the events of default under our first lien revolving credit facility; certain tax law changes; or certain changes to law, regulation or accounting standards), or (d) our request for early termination of the facility. The facility’s current back-up liquidity commitments will expire on October 16, 2025.</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June 30, 2025, the amounts available and utilized under this program totaled $200 million (€170 million). At December 31, 2024, the amounts available and utilized under this program totaled $227 million (€218 million). The program does not qualify for sale accounting, and accordingly, these amounts are included in Long Term Debt and Finance Leases.</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 description of the collateral securing the credit facilities described above as well as the covenants applicable to them, refer to Note to the Consolidated Financial Statements No. 15, Financing Arrangements and Derivative Financial Instruments, in our 2024 Form 10-K.</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Factoring Facilities (Off-Balance Sheet)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sold certain of our trade receivables under off-balance sheet programs. For these programs, we have concluded that there is generally no risk of loss to us from non-payment of the sold receivables. At June 30, 2025, the gross amount of receivables sold was $771 million, compared to $773 million at December 31, 2024.</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Supplier Financing</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entered into supplier finance programs with several financial institutions. Under these programs, the financial institutions act as our paying agents with respect to accounts payable due to our suppliers. We agree to pay the financial institutions the stated amount of the confirmed invoices from the designated suppliers on the original due dates of the invoices. Invoice payment terms can be up to 120 days based on industry norms for the specific item purchased. We do not pay any fees to the financial institutions and we do not pledge any assets as security or provide other forms of guarantees for these programs. These programs allow our suppliers to sell their receivables to the financial institutions at the sole discretion of the suppliers and the financial institutions on terms that are negotiated among them. We are not always notified when our suppliers sell receivables under these programs. Our obligations to our suppliers, including the amounts due and scheduled payment dates, are not impacted by our suppliers’ decisions to sell their receivables under these programs. The amounts available under these programs were $875 million and $775 million at June 30, 2025 and December 31, 2024, respectively. The amounts confirmed to the financial institutions were $692 million and $604 million at June 30, 2025 and December 31, 2024, respectively, and are included in Accounts Payable — Trade in our Consolidated Balance Sheets. All activity related to these obligations is presented within operating activities on the Consolidated Statements of Cash Flows.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Foreign Credit Facilities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Mexican subsidiary and a U.S. subsidiary have a revolving credit facility in Mexico. At June 30, 2025, we have $200 million available and no borrowings outstanding under this facility. At December 31, 2024, the amounts available and utilized under this facility were $200 million. The facility matures on November 22, 2026, has covenants relating to the Mexican and U.S.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subsidiaries and has customary representations and warranties and defaults relating to the Mexican and U.S. subsidiaries' ability to perform their respective obligations under the facility.</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Chinese subsidiaries have several financing arrangements in China. These facilities contain covenants relating to these Chinese subsidiaries and have customary representations and warranties and defaults relating to these Chinese subsidiaries' ability to perform their respective obligations under these facilities. These facilities are also available for other off-balance sheet utilization, such as letters of credit and bank acceptances.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total amounts available and utilized under the Chinese financing arrangements: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5"/>
                <w:szCs w:val="15"/>
                <w:color w:val="auto"/>
              </w:rPr>
            </w:pP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3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16"/>
                <w:szCs w:val="16"/>
                <w:color w:val="auto"/>
              </w:rPr>
            </w:pPr>
          </w:p>
        </w:tc>
        <w:tc>
          <w:tcPr>
            <w:tcW w:w="112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38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8"/>
        </w:trPr>
        <w:tc>
          <w:tcPr>
            <w:tcW w:w="8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available</w:t>
            </w: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888</w:t>
            </w:r>
          </w:p>
        </w:tc>
        <w:tc>
          <w:tcPr>
            <w:tcW w:w="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817</w:t>
            </w:r>
          </w:p>
        </w:tc>
        <w:tc>
          <w:tcPr>
            <w:tcW w:w="0" w:type="dxa"/>
            <w:vAlign w:val="bottom"/>
          </w:tcPr>
          <w:p>
            <w:pPr>
              <w:spacing w:after="0"/>
              <w:rPr>
                <w:sz w:val="1"/>
                <w:szCs w:val="1"/>
                <w:color w:val="auto"/>
              </w:rPr>
            </w:pPr>
          </w:p>
        </w:tc>
      </w:tr>
      <w:tr>
        <w:trPr>
          <w:trHeight w:val="20"/>
        </w:trPr>
        <w:tc>
          <w:tcPr>
            <w:tcW w:w="838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Amounts utilized: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3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Notes Payable and Overdrafts</w:t>
            </w: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43"/>
        </w:trPr>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Long Term Debt due Within One Year</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Long Term Debt</w:t>
            </w:r>
          </w:p>
        </w:tc>
        <w:tc>
          <w:tcPr>
            <w:tcW w:w="2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43"/>
        </w:trPr>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Letters of credit, bank acceptances and other utilization</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7"/>
        </w:trPr>
        <w:tc>
          <w:tcPr>
            <w:tcW w:w="838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3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 utilized</w:t>
            </w: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381</w:t>
            </w:r>
          </w:p>
        </w:tc>
        <w:tc>
          <w:tcPr>
            <w:tcW w:w="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317</w:t>
            </w:r>
          </w:p>
        </w:tc>
        <w:tc>
          <w:tcPr>
            <w:tcW w:w="0" w:type="dxa"/>
            <w:vAlign w:val="bottom"/>
          </w:tcPr>
          <w:p>
            <w:pPr>
              <w:spacing w:after="0"/>
              <w:rPr>
                <w:sz w:val="1"/>
                <w:szCs w:val="1"/>
                <w:color w:val="auto"/>
              </w:rPr>
            </w:pPr>
          </w:p>
        </w:tc>
      </w:tr>
      <w:tr>
        <w:trPr>
          <w:trHeight w:val="20"/>
        </w:trPr>
        <w:tc>
          <w:tcPr>
            <w:tcW w:w="83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Maturities</w:t>
            </w: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7/25-8/28</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1/25-8/28</w:t>
            </w:r>
          </w:p>
        </w:tc>
        <w:tc>
          <w:tcPr>
            <w:tcW w:w="0" w:type="dxa"/>
            <w:vAlign w:val="bottom"/>
          </w:tcPr>
          <w:p>
            <w:pPr>
              <w:spacing w:after="0"/>
              <w:rPr>
                <w:sz w:val="1"/>
                <w:szCs w:val="1"/>
                <w:color w:val="auto"/>
              </w:rPr>
            </w:pPr>
          </w:p>
        </w:tc>
      </w:tr>
      <w:tr>
        <w:trPr>
          <w:trHeight w:val="27"/>
        </w:trPr>
        <w:tc>
          <w:tcPr>
            <w:tcW w:w="838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1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1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-530860</wp:posOffset>
            </wp:positionV>
            <wp:extent cx="603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-873760</wp:posOffset>
            </wp:positionV>
            <wp:extent cx="6032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-1585595</wp:posOffset>
            </wp:positionV>
            <wp:extent cx="603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of these facilities can only be used to finance the expansion of our manufacturing facilities in China and the unused amount available under these facilities was $31 million at both June 30, 2025 and December 31,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derivative financial instrument contracts and nonderivative instruments to manage interest rate, foreign exchange and commodity price risks. We have established a control environment that includes policies and procedures for risk assessment and the approval, reporting and monitoring of derivative financial instrument activities. We do not hold or issue derivative financial instruments for trading purposes.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Foreign Currency Contracts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enter into foreign currency contracts in order to manage the impact of changes in foreign exchange rates on our consolidated results of operations and future foreign currency-denominated cash flows. These contracts may be used to reduce exposure to currency movements affecting existing foreign currency-denominated assets, liabilities, firm commitments and forecasted transactions resulting primarily from trade purchases and sales, equipment acquisitions, intercompany loans and royalty agreements. Contracts hedging short term trade receivables and payables normally have no hedging designation.</w:t>
      </w:r>
    </w:p>
    <w:p>
      <w:pPr>
        <w:spacing w:after="0" w:line="7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following table presents the fair values for foreign currency hedge contracts that do not meet the criteria to be accounted for as cash flow hedging instruments:</w:t>
      </w:r>
    </w:p>
    <w:tbl>
      <w:tblPr>
        <w:tblLayout w:type="fixed"/>
        <w:tblInd w:w="0" w:type="dxa"/>
        <w:tblCellMar>
          <w:top w:w="0" w:type="dxa"/>
          <w:left w:w="0" w:type="dxa"/>
          <w:bottom w:w="0" w:type="dxa"/>
          <w:right w:w="0" w:type="dxa"/>
        </w:tblCellMar>
      </w:tblPr>
      <w:tr>
        <w:trPr>
          <w:trHeight w:val="162"/>
        </w:trPr>
        <w:tc>
          <w:tcPr>
            <w:tcW w:w="8480" w:type="dxa"/>
            <w:vAlign w:val="bottom"/>
          </w:tcPr>
          <w:p>
            <w:pPr>
              <w:spacing w:after="0"/>
              <w:rPr>
                <w:sz w:val="14"/>
                <w:szCs w:val="14"/>
                <w:color w:val="auto"/>
              </w:rPr>
            </w:pPr>
          </w:p>
        </w:tc>
        <w:tc>
          <w:tcPr>
            <w:tcW w:w="960" w:type="dxa"/>
            <w:vAlign w:val="bottom"/>
          </w:tcPr>
          <w:p>
            <w:pPr>
              <w:jc w:val="center"/>
              <w:ind w:left="30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4"/>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480" w:type="dxa"/>
            <w:vAlign w:val="bottom"/>
            <w:tcBorders>
              <w:bottom w:val="single" w:sz="8" w:color="CFF0FC"/>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Values — Current asset (liability):</w:t>
            </w:r>
          </w:p>
        </w:tc>
        <w:tc>
          <w:tcPr>
            <w:tcW w:w="9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r>
      <w:tr>
        <w:trPr>
          <w:trHeight w:val="243"/>
        </w:trPr>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receivable</w:t>
            </w:r>
          </w:p>
        </w:tc>
        <w:tc>
          <w:tcPr>
            <w:tcW w:w="960" w:type="dxa"/>
            <w:vAlign w:val="bottom"/>
          </w:tcPr>
          <w:p>
            <w:pPr>
              <w:jc w:val="right"/>
              <w:ind w:right="76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8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96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848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140" w:type="dxa"/>
            <w:vAlign w:val="bottom"/>
            <w:shd w:val="clear" w:color="auto" w:fill="CFF0F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-513715</wp:posOffset>
            </wp:positionV>
            <wp:extent cx="603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June 30, 2025 and December 31, 2024, these outstanding foreign currency derivatives had notional amounts of $2,159 million and $1,779 million, respectively, and were primarily related to intercompany loans. Other (Income) Expense included net transaction losses on derivatives of $91 million and $106 million for the three and six months ended June 30, 2025. Other (Income) Expense included net transaction gains on derivatives of $10 million and $45 million for the three and six months ended June 30, 2024. These amounts were substantially offset in Other (Income) Expense by the effect of changing exchange rates on the underlying currency exposures.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June 30, 2025 and December 31, 2024, we did not have any open foreign currency hedge contracts that meet the criteria to be accounted for as cash flow hedging instruments.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enter into master netting agreements with counterparties. The amounts eligible for offset under the master netting agreements are not material and we have elected a gross presentation of foreign currency contracts in the Consolidated Balance Sheets.</w:t>
      </w:r>
    </w:p>
    <w:p>
      <w:pPr>
        <w:sectPr>
          <w:pgSz w:w="11900" w:h="16838" w:orient="portrait"/>
          <w:cols w:equalWidth="0" w:num="1">
            <w:col w:w="11240"/>
          </w:cols>
          <w:pgMar w:left="320" w:top="337"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following table presents the classification of changes in fair values of foreign currency contracts that meet the criteria to be accounted for as cash flow hedging instruments (before tax and minority):</w:t>
      </w:r>
    </w:p>
    <w:tbl>
      <w:tblPr>
        <w:tblLayout w:type="fixed"/>
        <w:tblInd w:w="0" w:type="dxa"/>
        <w:tblCellMar>
          <w:top w:w="0" w:type="dxa"/>
          <w:left w:w="0" w:type="dxa"/>
          <w:bottom w:w="0" w:type="dxa"/>
          <w:right w:w="0" w:type="dxa"/>
        </w:tblCellMar>
      </w:tblPr>
      <w:tr>
        <w:trPr>
          <w:trHeight w:val="176"/>
        </w:trPr>
        <w:tc>
          <w:tcPr>
            <w:tcW w:w="5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0" w:type="dxa"/>
            <w:vAlign w:val="bottom"/>
            <w:gridSpan w:val="6"/>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20" w:type="dxa"/>
            <w:vAlign w:val="bottom"/>
            <w:gridSpan w:val="4"/>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0"/>
        </w:trPr>
        <w:tc>
          <w:tcPr>
            <w:tcW w:w="5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tcPr>
          <w:p>
            <w:pPr>
              <w:jc w:val="center"/>
              <w:ind w:left="56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center"/>
              <w:ind w:left="56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6"/>
                <w:szCs w:val="16"/>
                <w:color w:val="auto"/>
              </w:rPr>
            </w:pP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Pr>
          <w:p>
            <w:pPr>
              <w:spacing w:after="0"/>
              <w:rPr>
                <w:sz w:val="19"/>
                <w:szCs w:val="19"/>
                <w:color w:val="auto"/>
              </w:rPr>
            </w:pPr>
          </w:p>
        </w:tc>
        <w:tc>
          <w:tcPr>
            <w:tcW w:w="100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570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05"/>
        </w:trPr>
        <w:tc>
          <w:tcPr>
            <w:tcW w:w="570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Amount of gains (losses) deferred to Accumulated Other Comprehensive</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r>
      <w:tr>
        <w:trPr>
          <w:trHeight w:val="241"/>
        </w:trPr>
        <w:tc>
          <w:tcPr>
            <w:tcW w:w="5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("AOCL")</w:t>
            </w: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FF0FC"/>
            </w:tcBorders>
            <w:gridSpan w:val="3"/>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Borders>
              <w:bottom w:val="single" w:sz="8" w:color="CFF0FC"/>
            </w:tcBorders>
            <w:gridSpan w:val="3"/>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tcBorders>
              <w:bottom w:val="single" w:sz="8" w:color="CFF0FC"/>
            </w:tcBorders>
            <w:gridSpan w:val="3"/>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 adjustment for amounts recognized in CGS</w:t>
            </w:r>
          </w:p>
        </w:tc>
        <w:tc>
          <w:tcPr>
            <w:tcW w:w="300" w:type="dxa"/>
            <w:vAlign w:val="bottom"/>
          </w:tcPr>
          <w:p>
            <w:pPr>
              <w:spacing w:after="0"/>
              <w:rPr>
                <w:sz w:val="21"/>
                <w:szCs w:val="21"/>
                <w:color w:val="auto"/>
              </w:rPr>
            </w:pPr>
          </w:p>
        </w:tc>
        <w:tc>
          <w:tcPr>
            <w:tcW w:w="14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net deferred losses at June 30, 2025 are expected to be reclassified to earnings within the next twelve months.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counterparties to our foreign currency contracts were considered by us to be substantial and creditworthy financial institutions that were recognized market makers at the time we entered into those contracts. We seek to control our credit exposure to these counterparties by diversifying across multiple counterparties, by setting counterparty credit limits based on long term credit ratings and other indicators of counterparty credit risk such as credit default swap spreads and default probabilities, and by monitoring the financial strength of these counterparties on a regular basis. We also enter into master netting agreements with counterparties when possible. By controlling and monitoring exposure to counterparties in this manner, we believe that we effectively manage the risk of loss due to nonperformance by a counterparty. However, the inability of a counterparty to fulfill its contractual obligations to us could have a material adverse effect on our liquidity, financial position or results of operations in the period in which it occurs.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10. 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assets and liabilities recorded at fair value on the Consolidated Balance Sheets at June 30,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 Carrying Value</w:t>
            </w:r>
          </w:p>
        </w:tc>
        <w:tc>
          <w:tcPr>
            <w:tcW w:w="140" w:type="dxa"/>
            <w:vAlign w:val="bottom"/>
          </w:tcPr>
          <w:p>
            <w:pPr>
              <w:spacing w:after="0"/>
              <w:rPr>
                <w:sz w:val="14"/>
                <w:szCs w:val="14"/>
                <w:color w:val="auto"/>
              </w:rPr>
            </w:pPr>
          </w:p>
        </w:tc>
        <w:tc>
          <w:tcPr>
            <w:tcW w:w="178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3"/>
          </w:tcPr>
          <w:p>
            <w:pPr>
              <w:jc w:val="center"/>
              <w:ind w:left="299"/>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3"/>
          </w:tcPr>
          <w:p>
            <w:pPr>
              <w:jc w:val="center"/>
              <w:ind w:left="399"/>
              <w:spacing w:after="0"/>
              <w:rPr>
                <w:sz w:val="20"/>
                <w:szCs w:val="20"/>
                <w:color w:val="auto"/>
              </w:rPr>
            </w:pPr>
            <w:r>
              <w:rPr>
                <w:rFonts w:ascii="Times New Roman" w:cs="Times New Roman" w:eastAsia="Times New Roman" w:hAnsi="Times New Roman"/>
                <w:sz w:val="14"/>
                <w:szCs w:val="14"/>
                <w:b w:val="1"/>
                <w:bCs w:val="1"/>
                <w:color w:val="auto"/>
              </w:rPr>
              <w:t>in the</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Markets for Identical</w:t>
            </w:r>
          </w:p>
        </w:tc>
        <w:tc>
          <w:tcPr>
            <w:tcW w:w="200" w:type="dxa"/>
            <w:vAlign w:val="bottom"/>
          </w:tcPr>
          <w:p>
            <w:pPr>
              <w:spacing w:after="0"/>
              <w:rPr>
                <w:sz w:val="15"/>
                <w:szCs w:val="15"/>
                <w:color w:val="auto"/>
              </w:rPr>
            </w:pPr>
          </w:p>
        </w:tc>
        <w:tc>
          <w:tcPr>
            <w:tcW w:w="172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00" w:type="dxa"/>
            <w:vAlign w:val="bottom"/>
          </w:tcPr>
          <w:p>
            <w:pPr>
              <w:spacing w:after="0"/>
              <w:rPr>
                <w:sz w:val="15"/>
                <w:szCs w:val="15"/>
                <w:color w:val="auto"/>
              </w:rPr>
            </w:pPr>
          </w:p>
        </w:tc>
        <w:tc>
          <w:tcPr>
            <w:tcW w:w="1620" w:type="dxa"/>
            <w:vAlign w:val="bottom"/>
            <w:gridSpan w:val="4"/>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6"/>
        </w:trPr>
        <w:tc>
          <w:tcPr>
            <w:tcW w:w="3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40" w:type="dxa"/>
            <w:vAlign w:val="bottom"/>
          </w:tcPr>
          <w:p>
            <w:pPr>
              <w:spacing w:after="0"/>
              <w:rPr>
                <w:sz w:val="15"/>
                <w:szCs w:val="15"/>
                <w:color w:val="auto"/>
              </w:rPr>
            </w:pPr>
          </w:p>
        </w:tc>
        <w:tc>
          <w:tcPr>
            <w:tcW w:w="17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Assets/Liabilities</w:t>
            </w:r>
          </w:p>
        </w:tc>
        <w:tc>
          <w:tcPr>
            <w:tcW w:w="200" w:type="dxa"/>
            <w:vAlign w:val="bottom"/>
          </w:tcPr>
          <w:p>
            <w:pPr>
              <w:spacing w:after="0"/>
              <w:rPr>
                <w:sz w:val="15"/>
                <w:szCs w:val="15"/>
                <w:color w:val="auto"/>
              </w:rPr>
            </w:pPr>
          </w:p>
        </w:tc>
        <w:tc>
          <w:tcPr>
            <w:tcW w:w="172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200" w:type="dxa"/>
            <w:vAlign w:val="bottom"/>
          </w:tcPr>
          <w:p>
            <w:pPr>
              <w:spacing w:after="0"/>
              <w:rPr>
                <w:sz w:val="15"/>
                <w:szCs w:val="15"/>
                <w:color w:val="auto"/>
              </w:rPr>
            </w:pPr>
          </w:p>
        </w:tc>
        <w:tc>
          <w:tcPr>
            <w:tcW w:w="1040" w:type="dxa"/>
            <w:vAlign w:val="bottom"/>
            <w:gridSpan w:val="3"/>
          </w:tcPr>
          <w:p>
            <w:pPr>
              <w:jc w:val="center"/>
              <w:ind w:left="319"/>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140" w:type="dxa"/>
            <w:vAlign w:val="bottom"/>
          </w:tcPr>
          <w:p>
            <w:pPr>
              <w:spacing w:after="0"/>
              <w:rPr>
                <w:sz w:val="16"/>
                <w:szCs w:val="16"/>
                <w:color w:val="auto"/>
              </w:rPr>
            </w:pPr>
          </w:p>
        </w:tc>
        <w:tc>
          <w:tcPr>
            <w:tcW w:w="1080" w:type="dxa"/>
            <w:vAlign w:val="bottom"/>
            <w:gridSpan w:val="3"/>
          </w:tcPr>
          <w:p>
            <w:pPr>
              <w:jc w:val="center"/>
              <w:ind w:left="37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3"/>
          </w:tcPr>
          <w:p>
            <w:pPr>
              <w:jc w:val="center"/>
              <w:ind w:left="31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3"/>
          </w:tcPr>
          <w:p>
            <w:pPr>
              <w:jc w:val="center"/>
              <w:ind w:left="29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6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364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3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80" w:type="dxa"/>
            <w:vAlign w:val="bottom"/>
            <w:tcBorders>
              <w:bottom w:val="single" w:sz="8" w:color="CFF0FC"/>
            </w:tcBorders>
            <w:shd w:val="clear" w:color="auto" w:fill="CFF0FC"/>
          </w:tcPr>
          <w:p>
            <w:pPr>
              <w:spacing w:after="0"/>
              <w:rPr>
                <w:sz w:val="23"/>
                <w:szCs w:val="23"/>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82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3"/>
                <w:szCs w:val="23"/>
                <w:color w:val="auto"/>
              </w:rPr>
            </w:pPr>
          </w:p>
        </w:tc>
        <w:tc>
          <w:tcPr>
            <w:tcW w:w="7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3"/>
                <w:szCs w:val="23"/>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CFF0FC"/>
            </w:tcBorders>
            <w:shd w:val="clear" w:color="auto" w:fill="CFF0FC"/>
          </w:tcPr>
          <w:p>
            <w:pPr>
              <w:spacing w:after="0"/>
              <w:rPr>
                <w:sz w:val="23"/>
                <w:szCs w:val="23"/>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760" w:type="dxa"/>
            <w:vAlign w:val="bottom"/>
            <w:tcBorders>
              <w:bottom w:val="single" w:sz="8" w:color="CFF0FC"/>
            </w:tcBorders>
            <w:gridSpan w:val="2"/>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3"/>
                <w:szCs w:val="23"/>
                <w:color w:val="auto"/>
              </w:rPr>
            </w:pPr>
          </w:p>
        </w:tc>
        <w:tc>
          <w:tcPr>
            <w:tcW w:w="58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at Fair Value</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4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FF0FC"/>
            </w:tcBorders>
            <w:gridSpan w:val="2"/>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at Fair Value</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The following table presents supplemental fair value information about long term fixed rate and variable rate debt, excluding finance leases, at June 30, 2025 and December 31, 2024:</w:t>
      </w:r>
    </w:p>
    <w:tbl>
      <w:tblPr>
        <w:tblLayout w:type="fixed"/>
        <w:tblInd w:w="0" w:type="dxa"/>
        <w:tblCellMar>
          <w:top w:w="0" w:type="dxa"/>
          <w:left w:w="0" w:type="dxa"/>
          <w:bottom w:w="0" w:type="dxa"/>
          <w:right w:w="0" w:type="dxa"/>
        </w:tblCellMar>
      </w:tblPr>
      <w:tr>
        <w:trPr>
          <w:trHeight w:val="175"/>
        </w:trPr>
        <w:tc>
          <w:tcPr>
            <w:tcW w:w="8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5"/>
                <w:szCs w:val="15"/>
                <w:color w:val="auto"/>
              </w:rPr>
            </w:pPr>
          </w:p>
        </w:tc>
        <w:tc>
          <w:tcPr>
            <w:tcW w:w="114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16"/>
                <w:szCs w:val="16"/>
                <w:color w:val="auto"/>
              </w:rPr>
            </w:pPr>
          </w:p>
        </w:tc>
        <w:tc>
          <w:tcPr>
            <w:tcW w:w="106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48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50"/>
        </w:trPr>
        <w:tc>
          <w:tcPr>
            <w:tcW w:w="8480" w:type="dxa"/>
            <w:vAlign w:val="bottom"/>
            <w:shd w:val="clear" w:color="auto" w:fill="CFF0FC"/>
          </w:tcPr>
          <w:p>
            <w:pPr>
              <w:ind w:left="20"/>
              <w:spacing w:after="0" w:line="250" w:lineRule="exact"/>
              <w:rPr>
                <w:sz w:val="20"/>
                <w:szCs w:val="20"/>
                <w:color w:val="auto"/>
              </w:rPr>
            </w:pPr>
            <w:r>
              <w:rPr>
                <w:rFonts w:ascii="Times New Roman" w:cs="Times New Roman" w:eastAsia="Times New Roman" w:hAnsi="Times New Roman"/>
                <w:sz w:val="18"/>
                <w:szCs w:val="18"/>
                <w:b w:val="1"/>
                <w:bCs w:val="1"/>
                <w:color w:val="auto"/>
              </w:rPr>
              <w:t>Fixed Rate Debt:</w:t>
            </w:r>
            <w:r>
              <w:rPr>
                <w:rFonts w:ascii="Times New Roman" w:cs="Times New Roman" w:eastAsia="Times New Roman" w:hAnsi="Times New Roman"/>
                <w:sz w:val="23"/>
                <w:szCs w:val="23"/>
                <w:b w:val="1"/>
                <w:bCs w:val="1"/>
                <w:color w:val="auto"/>
                <w:vertAlign w:val="superscript"/>
              </w:rPr>
              <w:t>(1)</w:t>
            </w: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Carrying amount — liability</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5,367</w:t>
            </w: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 liability</w:t>
            </w:r>
          </w:p>
        </w:tc>
        <w:tc>
          <w:tcPr>
            <w:tcW w:w="26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4,933</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5,076</w:t>
            </w:r>
          </w:p>
        </w:tc>
      </w:tr>
      <w:tr>
        <w:trPr>
          <w:trHeight w:val="257"/>
        </w:trPr>
        <w:tc>
          <w:tcPr>
            <w:tcW w:w="8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0"/>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Variable Rate Debt:</w:t>
            </w:r>
            <w:r>
              <w:rPr>
                <w:rFonts w:ascii="Times New Roman" w:cs="Times New Roman" w:eastAsia="Times New Roman" w:hAnsi="Times New Roman"/>
                <w:sz w:val="23"/>
                <w:szCs w:val="23"/>
                <w:b w:val="1"/>
                <w:bCs w:val="1"/>
                <w:color w:val="auto"/>
                <w:vertAlign w:val="superscript"/>
              </w:rPr>
              <w:t>(1)</w:t>
            </w:r>
          </w:p>
        </w:tc>
        <w:tc>
          <w:tcPr>
            <w:tcW w:w="260" w:type="dxa"/>
            <w:vAlign w:val="bottom"/>
            <w:shd w:val="clear" w:color="auto" w:fill="CFF0FC"/>
          </w:tcPr>
          <w:p>
            <w:pPr>
              <w:spacing w:after="0"/>
              <w:rPr>
                <w:sz w:val="23"/>
                <w:szCs w:val="23"/>
                <w:color w:val="auto"/>
              </w:rPr>
            </w:pPr>
          </w:p>
        </w:tc>
        <w:tc>
          <w:tcPr>
            <w:tcW w:w="106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1140" w:type="dxa"/>
            <w:vAlign w:val="bottom"/>
            <w:shd w:val="clear" w:color="auto" w:fill="CFF0FC"/>
          </w:tcPr>
          <w:p>
            <w:pPr>
              <w:spacing w:after="0"/>
              <w:rPr>
                <w:sz w:val="23"/>
                <w:szCs w:val="23"/>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Carrying amount — liability</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 liability</w:t>
            </w: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1,590</w:t>
            </w:r>
          </w:p>
        </w:tc>
      </w:tr>
      <w:tr>
        <w:trPr>
          <w:trHeight w:val="27"/>
        </w:trPr>
        <w:tc>
          <w:tcPr>
            <w:tcW w:w="848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140" w:type="dxa"/>
            <w:vAlign w:val="bottom"/>
            <w:shd w:val="clear" w:color="auto" w:fill="CFF0F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-1190625</wp:posOffset>
            </wp:positionV>
            <wp:extent cx="6032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9" w:lineRule="exact"/>
        <w:rPr>
          <w:sz w:val="20"/>
          <w:szCs w:val="20"/>
          <w:color w:val="auto"/>
        </w:rPr>
      </w:pPr>
    </w:p>
    <w:p>
      <w:pPr>
        <w:jc w:val="both"/>
        <w:ind w:left="360" w:right="40" w:hanging="334"/>
        <w:spacing w:after="0" w:line="235" w:lineRule="auto"/>
        <w:tabs>
          <w:tab w:leader="none" w:pos="347"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Excludes Notes Payable and Overdrafts of $499 million and $558 million at June 30, 2025 and December 31, 2024, respectively, of which $190 million and $241 million, respectively, are at fixed rates and $309 million and $317 million, respectively, are at variable rates. The carrying value of Notes Payable and Overdrafts approximates fair value due to the short term nature of the facilities.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Long term debt with fair values of $4,766 million and $4,921 million at June 30, 2025 and December 31, 2024, respectively, were estimated using quoted Level 1 market prices. The carrying value of the remaining debt was based upon internal estimates of fair value derived from market prices for similar debt.</w:t>
      </w:r>
    </w:p>
    <w:p>
      <w:pPr>
        <w:spacing w:after="0" w:line="158" w:lineRule="exact"/>
        <w:rPr>
          <w:sz w:val="20"/>
          <w:szCs w:val="20"/>
          <w:color w:val="auto"/>
        </w:rPr>
      </w:pPr>
    </w:p>
    <w:p>
      <w:pPr>
        <w:ind w:right="4400"/>
        <w:spacing w:after="0" w:line="353"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NOTE 11. PENSION, SAVINGS AND OTHER POSTRETIREMENT BENEFIT PLANS </w:t>
      </w:r>
      <w:r>
        <w:rPr>
          <w:rFonts w:ascii="Times New Roman" w:cs="Times New Roman" w:eastAsia="Times New Roman" w:hAnsi="Times New Roman"/>
          <w:sz w:val="18"/>
          <w:szCs w:val="18"/>
          <w:color w:val="auto"/>
        </w:rPr>
        <w:t>We provide employees with defined benefit pension or defined contribution savings plans. Defined benefit pension cost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4"/>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rPr>
              <w:t>U.S.</w:t>
            </w: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5"/>
          </w:tcPr>
          <w:p>
            <w:pPr>
              <w:jc w:val="center"/>
              <w:ind w:left="556"/>
              <w:spacing w:after="0"/>
              <w:rPr>
                <w:sz w:val="20"/>
                <w:szCs w:val="20"/>
                <w:color w:val="auto"/>
              </w:rPr>
            </w:pPr>
            <w:r>
              <w:rPr>
                <w:rFonts w:ascii="Times New Roman" w:cs="Times New Roman" w:eastAsia="Times New Roman" w:hAnsi="Times New Roman"/>
                <w:sz w:val="14"/>
                <w:szCs w:val="14"/>
                <w:b w:val="1"/>
                <w:bCs w:val="1"/>
                <w:color w:val="auto"/>
              </w:rPr>
              <w:t>U.S.</w:t>
            </w:r>
          </w:p>
        </w:tc>
        <w:tc>
          <w:tcPr>
            <w:tcW w:w="940" w:type="dxa"/>
            <w:vAlign w:val="bottom"/>
          </w:tcPr>
          <w:p>
            <w:pPr>
              <w:spacing w:after="0"/>
              <w:rPr>
                <w:sz w:val="16"/>
                <w:szCs w:val="16"/>
                <w:color w:val="auto"/>
              </w:rPr>
            </w:pPr>
          </w:p>
        </w:tc>
      </w:tr>
      <w:tr>
        <w:trPr>
          <w:trHeight w:val="37"/>
        </w:trPr>
        <w:tc>
          <w:tcPr>
            <w:tcW w:w="57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gridSpan w:val="2"/>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r>
      <w:tr>
        <w:trPr>
          <w:trHeight w:val="171"/>
        </w:trPr>
        <w:tc>
          <w:tcPr>
            <w:tcW w:w="5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gridSpan w:val="7"/>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6"/>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0"/>
        </w:trPr>
        <w:tc>
          <w:tcPr>
            <w:tcW w:w="5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4"/>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5"/>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6"/>
                <w:szCs w:val="16"/>
                <w:color w:val="auto"/>
              </w:rPr>
            </w:pPr>
          </w:p>
        </w:tc>
      </w:tr>
      <w:tr>
        <w:trPr>
          <w:trHeight w:val="230"/>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Pr>
          <w:p>
            <w:pPr>
              <w:spacing w:after="0"/>
              <w:rPr>
                <w:sz w:val="19"/>
                <w:szCs w:val="19"/>
                <w:color w:val="auto"/>
              </w:rPr>
            </w:pPr>
          </w:p>
        </w:tc>
        <w:tc>
          <w:tcPr>
            <w:tcW w:w="10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570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tcBorders>
              <w:bottom w:val="single" w:sz="8" w:color="CFF0FC"/>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 w:type="dxa"/>
            <w:vAlign w:val="bottom"/>
            <w:tcBorders>
              <w:bottom w:val="single" w:sz="8" w:color="CFF0FC"/>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 w:type="dxa"/>
            <w:vAlign w:val="bottom"/>
            <w:tcBorders>
              <w:bottom w:val="single" w:sz="8" w:color="CFF0FC"/>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43"/>
        </w:trPr>
        <w:tc>
          <w:tcPr>
            <w:tcW w:w="5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7"/>
        </w:trPr>
        <w:tc>
          <w:tcPr>
            <w:tcW w:w="5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net losses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7"/>
        </w:trPr>
        <w:tc>
          <w:tcPr>
            <w:tcW w:w="57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5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pension cost</w:t>
            </w: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curtailments/settlements/termination benefits</w:t>
            </w:r>
          </w:p>
        </w:tc>
        <w:tc>
          <w:tcPr>
            <w:tcW w:w="300" w:type="dxa"/>
            <w:vAlign w:val="bottom"/>
          </w:tcPr>
          <w:p>
            <w:pPr>
              <w:spacing w:after="0"/>
              <w:rPr>
                <w:sz w:val="21"/>
                <w:szCs w:val="21"/>
                <w:color w:val="auto"/>
              </w:rPr>
            </w:pP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57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8"/>
        </w:trPr>
        <w:tc>
          <w:tcPr>
            <w:tcW w:w="5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defined benefit pension cost</w:t>
            </w: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2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CFF0FC"/>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2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2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CFF0FC"/>
            </w:tcBorders>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r>
      <w:tr>
        <w:trPr>
          <w:trHeight w:val="20"/>
        </w:trPr>
        <w:tc>
          <w:tcPr>
            <w:tcW w:w="57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88"/>
        </w:trPr>
        <w:tc>
          <w:tcPr>
            <w:tcW w:w="5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gridSpan w:val="4"/>
          </w:tcPr>
          <w:p>
            <w:pPr>
              <w:jc w:val="center"/>
              <w:ind w:left="556"/>
              <w:spacing w:after="0"/>
              <w:rPr>
                <w:sz w:val="20"/>
                <w:szCs w:val="20"/>
                <w:color w:val="auto"/>
              </w:rPr>
            </w:pPr>
            <w:r>
              <w:rPr>
                <w:rFonts w:ascii="Times New Roman" w:cs="Times New Roman" w:eastAsia="Times New Roman" w:hAnsi="Times New Roman"/>
                <w:sz w:val="14"/>
                <w:szCs w:val="14"/>
                <w:b w:val="1"/>
                <w:bCs w:val="1"/>
                <w:color w:val="auto"/>
              </w:rPr>
              <w:t>Non-U.S.</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gridSpan w:val="5"/>
          </w:tcPr>
          <w:p>
            <w:pPr>
              <w:jc w:val="center"/>
              <w:ind w:left="556"/>
              <w:spacing w:after="0"/>
              <w:rPr>
                <w:sz w:val="20"/>
                <w:szCs w:val="20"/>
                <w:color w:val="auto"/>
              </w:rPr>
            </w:pPr>
            <w:r>
              <w:rPr>
                <w:rFonts w:ascii="Times New Roman" w:cs="Times New Roman" w:eastAsia="Times New Roman" w:hAnsi="Times New Roman"/>
                <w:sz w:val="14"/>
                <w:szCs w:val="14"/>
                <w:b w:val="1"/>
                <w:bCs w:val="1"/>
                <w:color w:val="auto"/>
                <w:w w:val="99"/>
              </w:rPr>
              <w:t>Non-U.S.</w:t>
            </w:r>
          </w:p>
        </w:tc>
        <w:tc>
          <w:tcPr>
            <w:tcW w:w="940" w:type="dxa"/>
            <w:vAlign w:val="bottom"/>
          </w:tcPr>
          <w:p>
            <w:pPr>
              <w:spacing w:after="0"/>
              <w:rPr>
                <w:sz w:val="24"/>
                <w:szCs w:val="24"/>
                <w:color w:val="auto"/>
              </w:rPr>
            </w:pPr>
          </w:p>
        </w:tc>
      </w:tr>
      <w:tr>
        <w:trPr>
          <w:trHeight w:val="37"/>
        </w:trPr>
        <w:tc>
          <w:tcPr>
            <w:tcW w:w="57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gridSpan w:val="6"/>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gridSpan w:val="6"/>
          </w:tcPr>
          <w:p>
            <w:pPr>
              <w:spacing w:after="0"/>
              <w:rPr>
                <w:sz w:val="3"/>
                <w:szCs w:val="3"/>
                <w:color w:val="auto"/>
              </w:rPr>
            </w:pPr>
          </w:p>
        </w:tc>
      </w:tr>
      <w:tr>
        <w:trPr>
          <w:trHeight w:val="158"/>
        </w:trPr>
        <w:tc>
          <w:tcPr>
            <w:tcW w:w="5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00" w:type="dxa"/>
            <w:vAlign w:val="bottom"/>
            <w:gridSpan w:val="7"/>
          </w:tcPr>
          <w:p>
            <w:pPr>
              <w:jc w:val="center"/>
              <w:ind w:right="380"/>
              <w:spacing w:after="0" w:line="158"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0" w:type="dxa"/>
            <w:vAlign w:val="bottom"/>
            <w:gridSpan w:val="6"/>
          </w:tcPr>
          <w:p>
            <w:pPr>
              <w:jc w:val="center"/>
              <w:ind w:right="212"/>
              <w:spacing w:after="0" w:line="158" w:lineRule="exact"/>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0"/>
        </w:trPr>
        <w:tc>
          <w:tcPr>
            <w:tcW w:w="5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4"/>
          </w:tcPr>
          <w:p>
            <w:pPr>
              <w:jc w:val="center"/>
              <w:ind w:left="5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5"/>
          </w:tcPr>
          <w:p>
            <w:pPr>
              <w:jc w:val="center"/>
              <w:ind w:left="5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6"/>
                <w:szCs w:val="16"/>
                <w:color w:val="auto"/>
              </w:rPr>
            </w:pP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Pr>
          <w:p>
            <w:pPr>
              <w:spacing w:after="0"/>
              <w:rPr>
                <w:sz w:val="21"/>
                <w:szCs w:val="21"/>
                <w:color w:val="auto"/>
              </w:rPr>
            </w:pPr>
          </w:p>
        </w:tc>
        <w:tc>
          <w:tcPr>
            <w:tcW w:w="10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570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0" w:type="dxa"/>
            <w:vAlign w:val="bottom"/>
            <w:tcBorders>
              <w:bottom w:val="single" w:sz="8" w:color="CFF0FC"/>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43"/>
        </w:trPr>
        <w:tc>
          <w:tcPr>
            <w:tcW w:w="5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7"/>
        </w:trPr>
        <w:tc>
          <w:tcPr>
            <w:tcW w:w="5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5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net losses</w:t>
            </w:r>
          </w:p>
        </w:tc>
        <w:tc>
          <w:tcPr>
            <w:tcW w:w="30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bottom w:val="single" w:sz="8" w:color="CFF0FC"/>
            </w:tcBorders>
            <w:shd w:val="clear" w:color="auto" w:fill="CFF0FC"/>
          </w:tcPr>
          <w:p>
            <w:pPr>
              <w:spacing w:after="0"/>
              <w:rPr>
                <w:sz w:val="23"/>
                <w:szCs w:val="23"/>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2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2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7"/>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pension cost</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r>
      <w:tr>
        <w:trPr>
          <w:trHeight w:val="27"/>
        </w:trPr>
        <w:tc>
          <w:tcPr>
            <w:tcW w:w="5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curtailments/settlements/termination benefits</w:t>
            </w:r>
          </w:p>
        </w:tc>
        <w:tc>
          <w:tcPr>
            <w:tcW w:w="30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CFF0FC"/>
            </w:tcBorders>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2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defined benefit pension cost</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r>
      <w:tr>
        <w:trPr>
          <w:trHeight w:val="27"/>
        </w:trPr>
        <w:tc>
          <w:tcPr>
            <w:tcW w:w="5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
        </w:trPr>
        <w:tc>
          <w:tcPr>
            <w:tcW w:w="5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-2099945</wp:posOffset>
            </wp:positionV>
            <wp:extent cx="603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-2279650</wp:posOffset>
            </wp:positionV>
            <wp:extent cx="603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-2630805</wp:posOffset>
            </wp:positionV>
            <wp:extent cx="603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-3325495</wp:posOffset>
            </wp:positionV>
            <wp:extent cx="603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-3325495</wp:posOffset>
            </wp:positionV>
            <wp:extent cx="603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-1430655</wp:posOffset>
            </wp:positionV>
            <wp:extent cx="603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-1430655</wp:posOffset>
            </wp:positionV>
            <wp:extent cx="603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-1430655</wp:posOffset>
            </wp:positionV>
            <wp:extent cx="603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Service cost is recorded in CGS or SAG. Other components of net periodic pension cost are recorded in Other (Income) Expense. Net curtailments, settlements and termination benefits, if any, are recorded in Other (Income) Expense or Rationalizations if related to a rationalization plan.</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first six months of 2025, a pension settlement charge of $4 million was recorded in Other (Income) Expense. The settlement charge resulted from total lump sum payments exceeding annual service and interest cost of the applicable plan. In addition, pension termination benefits charges of $4 million and $1 million were recorded related to the exit of employees under an approved rationalization plan and the sale of the OTR tire business, respectively.</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first six months of 2024, a pension settlement credit of $5 million was recorded in Other (Income) Expense. The settlement credit resulted from a premium refund related to the purchase of a group annuity contract for the Cooper Tire U.S. salaried defined benefit pension plan in 2023.</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provide certain U.S. employees and employees at certain non-U.S. subsidiaries with health care benefits or life insurance benefits upon retirement. There was no net other postretirement benefits expense for three and six months ended June 30, 2025. Other postretirement benefits expense for the three and six months ended June 30, 2024 was $2 million and $4 million, respectively.</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expect to contribute $25 million to $50 million to our funded non-U.S. pension plans in 2025. For the three and six months ended June 30, 2025, we contributed $7 million and $13 million, respectively, to our non-U.S. plans.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expense recognized for our contributions to defined contribution savings plans for the three months ended June 30, 2025 and 2024 was $30 million and $33 million, respectively, and for the six months ended June 30, 2025 and 2024 was $62 million and $70 million,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12. STOCK COMPENSATION PLANS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granted 1.9 million restricted stock units and 1.0 million performance share units during the six months ended June 30, 2025 under our stock compensation plans. We measure the fair value of grants of restricted stock units and performance share units based primarily on the closing market price of a share of our common stock on the date of the grant, modified as appropriate to take into account the features of such grants. The weighted average fair value per share was $9.79 for restricted stock units and $9.31 for performance share units granted during the six months ended June 30, 2025.</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recognized stock-based compensation expense of $5 million and $11 million during the three and six months ended June 30, 2025, respectively. At June 30, 2025, unearned compensation cost related to the unvested portion of all stock-based awards was approximately $27 million and is expected to be recognized over the remaining vesting period of the respective grants, through the second quarter of 2028. We recognized stock-based compensation expense of $6 million and $9 million during the three and six months ended June 30, 2024,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13. COMMITMENTS AND CONTINGENT LIABILITIES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recorded liabilities totaling $77 million and $81 million at June 30, 2025 and December 31, 2024, respectively, for anticipated costs related to various environmental matters, primarily the remediation of numerous waste disposal sites and certain properties sold by us. Of these amounts, $22 million and $24 million were included in Other Current Liabilities at June 30, 2025 and December 31, 2024, respectively. The costs include legal and consulting fees, site studies, the design and implementation of remediation plans, post-remediation monitoring and related activities, and will be paid over several years. The amount of our ultimate liability in respect of these matters may be affected by several uncertainties, primarily the ultimate cost of required remediation and the extent to which other responsible parties contribute. We have limited potential insurance coverage for future environmental claims.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many of the remediation activities related to environmental matters vary substantially in duration and cost from site to site and the associated costs for each vary depending on the mix of unique site characteristics, in some cases we cannot reasonably estimate a range of possible losses. Although it is not possible to estimate with certainty the outcome of all of our environmental matters, management believes that potential losses in excess of current reserves for environmental matters, individually and in the aggregate, will not have a material adverse effect on our financial position, cash flows or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Workers’ Compensation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recorded liabilities, on a discounted basis, totaling $158 million for anticipated costs related to workers’ compensation at both June 30, 2025 and December 31, 2024. Of these amounts, $29 million and $31 million were included in Other Current Liabilities as part of Compensation and Benefits at June 30, 2025 and December 31, 2024, respectively. The costs include an estimate of expected settlements on pending claims, defense costs and a provision for claims incurred but not reported. These estimates are based on our assessment of potential liability using an analysis of available information with respect to pending claims, historical experience and current cost trends. The amount of our ultimate liability in respect of these matters may differ from these estimates. We periodically, and at least annually, update our loss development factors based on actuarial analyses. At June 30, 2025 and December 31, 2024, the liability was discounted using a risk-free rate of return. At June 30, 2025, we estimate that it is reasonably possible that the liability could exceed our recorded amounts by approximately $25 million.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Product Liability and Other Litigation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recorded liabilities for both asserted and unasserted claims totaling $415 million and $406 million, including related legal fees expected to be incurred, for potential product liability and other tort claims, including asbestos claims, at June 30, 2025 and December 31, 2024, respectively. Of these amounts, $85 million and $60 million were included in Other Current Liabilities at June 30, 2025 and December 31, 2024, respectively. The amounts recorded were estimated based on an assessment of potential liability using an analysis of available information with respect to pending claims, historical experience and, where available, recent and current trends. Based upon that assessment, at June 30, 2025, we do not believe that estimated reasonably possible losses associated with general and product liability claims in excess of the amounts recorded will have a material adverse effect on our financial position, cash flows or results of operations. However, the amount of our ultimate liability in respect of these matters may differ from these estimates.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recorded an indemnification asset within Accounts Receivable of $4 million and within Other Assets of $2 million for SRI's obligation to indemnify us for certain product liability claims related to products manufactured by a formerly consolidated joint venture entity, subject to certain caps and restrictions.</w:t>
      </w:r>
    </w:p>
    <w:p>
      <w:pPr>
        <w:spacing w:after="0" w:line="6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Asbestos. </w:t>
      </w:r>
      <w:r>
        <w:rPr>
          <w:rFonts w:ascii="Times New Roman" w:cs="Times New Roman" w:eastAsia="Times New Roman" w:hAnsi="Times New Roman"/>
          <w:sz w:val="18"/>
          <w:szCs w:val="18"/>
          <w:color w:val="auto"/>
        </w:rPr>
        <w:t>We are a defendant in numerous lawsuits alleging various asbestos-related personal injuries purported to result from alleged exposure to asbestos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certain products manufactured by us or present in certain of our facilities. Typically, these lawsuits have been brought against multiple defendants in state and federal courts. To date, we have disposed of approximately</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164,100 claims by defending, obtaining the dismissal thereof, or entering into a settlement. The sum of our accrued asbestos-related liability and gross payments to date, including legal costs, by us and our insurers totaled approximately $597 million through June 30, 2025 and $589 million through December 31, 2024.</w:t>
      </w:r>
    </w:p>
    <w:p>
      <w:pPr>
        <w:spacing w:after="0" w:line="68"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color w:val="auto"/>
        </w:rPr>
        <w:t>A summary of recent approximate asbestos claims activity follows. Because claims are often filed and disposed of by settlement or dismissal in large numbers, the amount and timing of filings, settlements and dismissals and the number of open claims during a particular period can fluctuate significantly.</w:t>
      </w:r>
    </w:p>
    <w:tbl>
      <w:tblPr>
        <w:tblLayout w:type="fixed"/>
        <w:tblInd w:w="0" w:type="dxa"/>
        <w:tblCellMar>
          <w:top w:w="0" w:type="dxa"/>
          <w:left w:w="0" w:type="dxa"/>
          <w:bottom w:w="0" w:type="dxa"/>
          <w:right w:w="0" w:type="dxa"/>
        </w:tblCellMar>
      </w:tblPr>
      <w:tr>
        <w:trPr>
          <w:trHeight w:val="176"/>
        </w:trPr>
        <w:tc>
          <w:tcPr>
            <w:tcW w:w="8480" w:type="dxa"/>
            <w:vAlign w:val="bottom"/>
          </w:tcPr>
          <w:p>
            <w:pPr>
              <w:spacing w:after="0"/>
              <w:rPr>
                <w:sz w:val="15"/>
                <w:szCs w:val="15"/>
                <w:color w:val="auto"/>
              </w:rPr>
            </w:pP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0" w:type="dxa"/>
            <w:vAlign w:val="bottom"/>
          </w:tcPr>
          <w:p>
            <w:pPr>
              <w:spacing w:after="0"/>
              <w:rPr>
                <w:sz w:val="15"/>
                <w:szCs w:val="15"/>
                <w:color w:val="auto"/>
              </w:rPr>
            </w:pPr>
          </w:p>
        </w:tc>
        <w:tc>
          <w:tcPr>
            <w:tcW w:w="112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90"/>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7"/>
        </w:trPr>
        <w:tc>
          <w:tcPr>
            <w:tcW w:w="848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3"/>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Pending claims, beginning of period</w:t>
            </w:r>
          </w:p>
        </w:tc>
        <w:tc>
          <w:tcPr>
            <w:tcW w:w="18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35,400</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35,800</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claims filed</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Claims settled/dismissed</w:t>
            </w:r>
          </w:p>
        </w:tc>
        <w:tc>
          <w:tcPr>
            <w:tcW w:w="18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0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w:t>
            </w:r>
          </w:p>
        </w:tc>
      </w:tr>
      <w:tr>
        <w:trPr>
          <w:trHeight w:val="237"/>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Pending claims, end of period</w:t>
            </w: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32,860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35,400</w:t>
            </w:r>
          </w:p>
        </w:tc>
      </w:tr>
      <w:tr>
        <w:trPr>
          <w:trHeight w:val="27"/>
        </w:trPr>
        <w:tc>
          <w:tcPr>
            <w:tcW w:w="8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48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89"/>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Payments</w:t>
            </w:r>
            <w:r>
              <w:rPr>
                <w:rFonts w:ascii="Times New Roman" w:cs="Times New Roman" w:eastAsia="Times New Roman" w:hAnsi="Times New Roman"/>
                <w:sz w:val="23"/>
                <w:szCs w:val="23"/>
                <w:color w:val="auto"/>
                <w:vertAlign w:val="superscript"/>
              </w:rPr>
              <w:t>(1)</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r>
      <w:tr>
        <w:trPr>
          <w:trHeight w:val="20"/>
        </w:trPr>
        <w:tc>
          <w:tcPr>
            <w:tcW w:w="84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-213995</wp:posOffset>
            </wp:positionV>
            <wp:extent cx="603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-942340</wp:posOffset>
            </wp:positionV>
            <wp:extent cx="603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ind w:left="340" w:hanging="314"/>
        <w:spacing w:after="0" w:line="232" w:lineRule="auto"/>
        <w:tabs>
          <w:tab w:leader="none" w:pos="34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cash payments made during the period by us and our insurers for asbestos litigation defense and claim resolution.</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periodically, and at least annually, review our existing reserves for pending claims, including a reasonable estimate of the liability associated with unasserted asbestos claims, and estimate our receivables from probable insurance recoveries. We recorded gross liabilities for both asserted and unasserted claims, inclusive of defense costs, totaling $116 million and $115 million at June 30, 2025 and December 31, 2024, respectively. In determining the estimate of our asbestos liability, we evaluated claims over the next ten-year period. Due to the difficulties in making these estimates, analysis based on new data and/or a change in circumstances arising in the future may result in an increase in the recorded obligation, and that increase could be significant.</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certain primary and excess insurance coverage under coverage-in-place agreements, and also have additional excess liability insurance with respect to asbestos liabilities. After consultation with our outside legal counsel and giving consideration to agreements with certain of our insurance carriers, the financial viability and legal obligations of our insurance carriers and other relevant factors, we determine an amount we expect is probable of recovery from such carriers. We record a receivable with respect to such policies when we determine that recovery is probable and we can reasonably estimate the amount of a particular recovery.</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recorded an insurance receivable related to asbestos claims of $64 million and $63 million at June 30, 2025 and December 31, 2024, respectively. We expect that approximately 55% of asbestos claim related losses would be recoverable through insurance during the ten-year period covered by the estimated liability. Of these amounts, $11 million was included in Current Assets as part of Accounts Receivable at both June 30, 2025 and December 31, 2024. The recorded receivable consists of an amount we expect to collect under coverage-in-place agreements with certain primary and excess insurance carriers as well as an amount we believe is probable of recovery from certain of our other excess insurance carriers.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at December 31, 2024, we had approximately $520 million in excess level policy limits applicable to indemnity and defense costs for asbestos products claims under coverage-in-place agreements. We also had additional unsettled excess level policy limits potentially applicable to such costs. In addition, we had coverage under certain primary policies for indemnity and defense costs for asbestos products claims under remaining aggregate limits pursuant to a coverage-in-place agreement, as well as coverage for indemnity and defense costs for asbestos premises claims pursuant to coverage-in-place agreements.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respect to both asserted and unasserted claims, it is reasonably possible that we may incur a material amount of cost in excess of the current reserve; however, such amounts cannot be reasonably estimated. Coverage under insurance policies is subject to varying characteristics of asbestos claims including, but not limited to, the type of claim (premise vs. product exposure), alleged date of first exposure to our products or premises and disease alleged. Recoveries may also be limited by insurer insolvencies or financial difficulties. Depending upon the nature of these characteristics or events, as well as the resolution of certain legal issues, some portion of the insurance may not be accessible by us.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Actions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currently a party to various claims, indirect tax assessments and legal proceedings in addition to those noted above. If management believes that a loss arising from these matters is probable and can reasonably be estimated, we record the amount of the loss, or the minimum estimated liability when the loss is estimated using a range and no point within the range is more probable than another. As additional information becomes available, any potential liability related to these matters is assessed and the estimates are revised, if necessary. Based on currently available information, management believes that the ultimate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outcome of these matters, individually and in the aggregate, will not have a material adverse effect on our financial position or overall trends in results of operations.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recorded liabilities and estimates of reasonably possible losses for the contingent liabilities described above are based on our assessment of potential liability using the information available to us at the time and, where applicable, any past experience and recent and current trends with respect to similar matters. Our contingent liabilities are subject to inherent uncertainties, and unfavorable judicial or administrative decisions could occur which we did not anticipate. Such an unfavorable decision could include monetary damages, fines or other penalties or an injunction prohibiting us from taking certain actions or selling certain products. If such an unfavorable decision were to occur, it could result in a material adverse impact on our financial position and results of operations in the period in which the decision occurs or in future periods.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Matters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calculation of our tax liabilities involves dealing with uncertainties in the application of complex tax regulations. We recognize liabilities for anticipated tax audit issues based on our estimate of whether, and the extent to which, additional taxes will be due. If we ultimately determine that payment of these amounts is unnecessary, we reverse the liability and recognize a tax benefit during the period in which we determine that the liability is no longer necessary. We also recognize income tax benefits to the extent that it is more likely than not that our positions will be sustained when challenged by the taxing authorities. We derecognize income tax benefits when based on new information we determine that it is no longer more likely than not that our position will be sustained. To the extent we prevail in matters for which liabilities have been established, or determine we need to derecognize tax benefits recorded in prior periods, our results of operations and effective tax rate in a given period could be materially affected. An unfavorable tax settlement would require use of our cash, and lead to recognition of expense to the extent the settlement amount exceeds recorded liabilities and, in the case of an income tax settlement, result in an increase in our effective tax rate in the period of resolution. A favorable tax settlement would be recognized as a reduction of expense to the extent the settlement amount is lower than recorded liabilities and, in the case of an income tax settlement, would result in a reduction in our effective tax rate in the period of resolution.</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an audit by the IRS, we received a Notice of Proposed Adjustment ("NOPA") during the second quarter of 2025 related to an intercompany sale of certain intellectual property in 2021. The IRS proposes to disallow income recognition totaling $1.5 billion associated with this transaction. The federal tax charge related to that income recognition was fully offset by the utilization of $315 million of then-existing deferred tax assets, including tax loss carryforwards and foreign tax credits.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disagree with the IRS’s position as stated in the NOPA and plan to challenge the proposed adjustments through the established IRS administrative procedures. Based on the information currently available, we believe that it is more likely than not that our tax position will be sustained upon review; therefore, no changes have been made to our reserve for uncertain tax positions relating to the NOPA. The ultimate resolution of this matter is uncertain, and if the income recognition associated with the transaction is disallowed, we will not be able to use a portion of the deferred tax assets that we utilized to offset the related federal taxes and our operating results could be adversely impacted.</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the Company applies consistent transfer pricing policies and practices globally, supports transfer prices through economic studies, seeks advance pricing agreements and joint audits to the extent possible and believes its transfer prices to be appropriate, such transfer prices, and related interpretations of tax laws, are occasionally challenged by various taxing authorities globally. We have received various tax assessments challenging our interpretations of applicable tax laws in various jurisdictions. Although we believe we have complied with applicable tax laws, have strong positions and defenses and have historically been successful in defending such claims, our results of operations could be materially adversely affected in the case we are unsuccessful in the defense of existing or future claims.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Binding Commitments and Guarantees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off-balance sheet financial guarantees and other commitments totaling $29 million at both June 30, 2025 and December 31, 2024. We issue guarantees to financial institutions or other entities on behalf of certain of our affiliates, lessors or customers. We generally do not require collateral in connection with the issuance of these guarantees.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2015, as a result of the dissolution of the global alliance with SRI, we issued a guarantee of $46 million to an insurance company related to SRI's obligation to pay certain outstanding workers' compensation claims of a formerly consolidated joint venture entity. As of June 30, 2025, this guarantee amount has been reduced to $15 million. We have concluded the probability of our performance to be remote and, therefore, have not recorded a liability for this guarantee. While there is no fixed duration of this guarantee, we expect the amount of this guarantee to continue to decrease over time as the formerly consolidated joint venture entity pays its outstanding claims.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our performance under these guarantees is triggered by non-payment or another specified event, we would be obligated to make payment to the financial institution or the other entity, and would typically have recourse to the affiliate, lessor, customer or SRI, as applicable. We are unable to estimate the extent to which our lessors’, customers’ or SRI's assets would be adequate to recover any payments made by us under the related guarantees.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an agreement to provide a revolving loan commitment to TireHub, LLC of up to $130 million. The carrying value of our net investment in TireHub was $83 million and $110 million, which includes an outstanding loan receivable of $117 million and $119 million, including $2 million of interest, at June 30, 2025 and December 31, 2024, respectively, and was included in Other Assets on our Consolidated Balance Sheets. Our investment in TireHub is accounted for under the equity method of accounting and, as such, includes our 50% share of the net income (losses) of TireHub.</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14. CAPITAL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Repurchases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repurchase shares delivered to us by employees as payment for the exercise price of stock options and the withholding taxes due upon the exercise of stock options or the vesting or payment of stock awards. During the first six months of 2025, we did not repurchase any shares from employees.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15. ACCUMULATED OTHER COMPREHENSIVE LOSS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changes in AOCL, by component, for the six months ended June 30, 2025 and 2024, after tax and minority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6236970</wp:posOffset>
            </wp:positionH>
            <wp:positionV relativeFrom="paragraph">
              <wp:posOffset>34290</wp:posOffset>
            </wp:positionV>
            <wp:extent cx="60325" cy="5911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325" cy="59118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34290</wp:posOffset>
            </wp:positionV>
            <wp:extent cx="60325" cy="5911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325" cy="59118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34290</wp:posOffset>
            </wp:positionV>
            <wp:extent cx="60325" cy="5911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0325" cy="59118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34290</wp:posOffset>
            </wp:positionV>
            <wp:extent cx="60325" cy="5911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325" cy="591185"/>
                    </a:xfrm>
                    <a:prstGeom prst="rect">
                      <a:avLst/>
                    </a:prstGeom>
                    <a:noFill/>
                  </pic:spPr>
                </pic:pic>
              </a:graphicData>
            </a:graphic>
          </wp:anchor>
        </w:drawing>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Unrecognized</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4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 Actuarial</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2"/>
        </w:trPr>
        <w:tc>
          <w:tcPr>
            <w:tcW w:w="4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 and</w:t>
            </w:r>
          </w:p>
        </w:tc>
        <w:tc>
          <w:tcPr>
            <w:tcW w:w="16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4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00" w:type="dxa"/>
            <w:vAlign w:val="bottom"/>
          </w:tcPr>
          <w:p>
            <w:pPr>
              <w:spacing w:after="0"/>
              <w:rPr>
                <w:sz w:val="15"/>
                <w:szCs w:val="15"/>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(Losses) from</w:t>
            </w: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Prior Service</w:t>
            </w:r>
          </w:p>
        </w:tc>
        <w:tc>
          <w:tcPr>
            <w:tcW w:w="160" w:type="dxa"/>
            <w:vAlign w:val="bottom"/>
          </w:tcPr>
          <w:p>
            <w:pPr>
              <w:spacing w:after="0"/>
              <w:rPr>
                <w:sz w:val="15"/>
                <w:szCs w:val="15"/>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4"/>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Income (Loss)</w:t>
            </w:r>
          </w:p>
        </w:tc>
        <w:tc>
          <w:tcPr>
            <w:tcW w:w="20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00" w:type="dxa"/>
            <w:vAlign w:val="bottom"/>
          </w:tcPr>
          <w:p>
            <w:pPr>
              <w:spacing w:after="0"/>
              <w:rPr>
                <w:sz w:val="17"/>
                <w:szCs w:val="17"/>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6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300" w:type="dxa"/>
            <w:vAlign w:val="bottom"/>
          </w:tcPr>
          <w:p>
            <w:pPr>
              <w:spacing w:after="0"/>
              <w:rPr>
                <w:sz w:val="17"/>
                <w:szCs w:val="17"/>
                <w:color w:val="auto"/>
              </w:rPr>
            </w:pP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(3,844)</w:t>
            </w:r>
          </w:p>
        </w:tc>
        <w:tc>
          <w:tcPr>
            <w:tcW w:w="20" w:type="dxa"/>
            <w:vAlign w:val="bottom"/>
          </w:tcPr>
          <w:p>
            <w:pPr>
              <w:spacing w:after="0"/>
              <w:rPr>
                <w:sz w:val="21"/>
                <w:szCs w:val="21"/>
                <w:color w:val="auto"/>
              </w:rPr>
            </w:pPr>
          </w:p>
        </w:tc>
      </w:tr>
      <w:tr>
        <w:trPr>
          <w:trHeight w:val="225"/>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reclassifications</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20"/>
                <w:szCs w:val="20"/>
                <w:color w:val="auto"/>
              </w:rPr>
            </w:pPr>
          </w:p>
        </w:tc>
      </w:tr>
      <w:tr>
        <w:trPr>
          <w:trHeight w:val="27"/>
        </w:trPr>
        <w:tc>
          <w:tcPr>
            <w:tcW w:w="4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5"/>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61"/>
        </w:trPr>
        <w:tc>
          <w:tcPr>
            <w:tcW w:w="4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22"/>
                <w:szCs w:val="22"/>
                <w:color w:val="auto"/>
              </w:rPr>
            </w:pPr>
          </w:p>
        </w:tc>
      </w:tr>
      <w:tr>
        <w:trPr>
          <w:trHeight w:val="237"/>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(1,693)</w:t>
            </w: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(2,092)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(3,784)</w:t>
            </w:r>
          </w:p>
        </w:tc>
        <w:tc>
          <w:tcPr>
            <w:tcW w:w="20" w:type="dxa"/>
            <w:vAlign w:val="bottom"/>
          </w:tcPr>
          <w:p>
            <w:pPr>
              <w:spacing w:after="0"/>
              <w:rPr>
                <w:sz w:val="20"/>
                <w:szCs w:val="20"/>
                <w:color w:val="auto"/>
              </w:rPr>
            </w:pPr>
          </w:p>
        </w:tc>
      </w:tr>
      <w:tr>
        <w:trPr>
          <w:trHeight w:val="27"/>
        </w:trPr>
        <w:tc>
          <w:tcPr>
            <w:tcW w:w="4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
        </w:trPr>
        <w:tc>
          <w:tcPr>
            <w:tcW w:w="4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7"/>
        </w:trPr>
        <w:tc>
          <w:tcPr>
            <w:tcW w:w="4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Unrecognized</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4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 Actuarial</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4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5"/>
                <w:szCs w:val="15"/>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 and</w:t>
            </w:r>
          </w:p>
        </w:tc>
        <w:tc>
          <w:tcPr>
            <w:tcW w:w="16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4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00" w:type="dxa"/>
            <w:vAlign w:val="bottom"/>
          </w:tcPr>
          <w:p>
            <w:pPr>
              <w:spacing w:after="0"/>
              <w:rPr>
                <w:sz w:val="15"/>
                <w:szCs w:val="15"/>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(Losses) from</w:t>
            </w: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Prior Service</w:t>
            </w:r>
          </w:p>
        </w:tc>
        <w:tc>
          <w:tcPr>
            <w:tcW w:w="160" w:type="dxa"/>
            <w:vAlign w:val="bottom"/>
          </w:tcPr>
          <w:p>
            <w:pPr>
              <w:spacing w:after="0"/>
              <w:rPr>
                <w:sz w:val="15"/>
                <w:szCs w:val="15"/>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Income (Loss)</w:t>
            </w:r>
          </w:p>
        </w:tc>
        <w:tc>
          <w:tcPr>
            <w:tcW w:w="20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0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6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300" w:type="dxa"/>
            <w:vAlign w:val="bottom"/>
          </w:tcPr>
          <w:p>
            <w:pPr>
              <w:spacing w:after="0"/>
              <w:rPr>
                <w:sz w:val="16"/>
                <w:szCs w:val="16"/>
                <w:color w:val="auto"/>
              </w:rPr>
            </w:pP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428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44"/>
        </w:trPr>
        <w:tc>
          <w:tcPr>
            <w:tcW w:w="4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(1,613)</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(2,224)</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(3,835)</w:t>
            </w:r>
          </w:p>
        </w:tc>
        <w:tc>
          <w:tcPr>
            <w:tcW w:w="20" w:type="dxa"/>
            <w:vAlign w:val="bottom"/>
          </w:tcPr>
          <w:p>
            <w:pPr>
              <w:spacing w:after="0"/>
              <w:rPr>
                <w:sz w:val="21"/>
                <w:szCs w:val="21"/>
                <w:color w:val="auto"/>
              </w:rPr>
            </w:pPr>
          </w:p>
        </w:tc>
      </w:tr>
      <w:tr>
        <w:trPr>
          <w:trHeight w:val="225"/>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reclassifications</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20"/>
                <w:szCs w:val="20"/>
                <w:color w:val="auto"/>
              </w:rPr>
            </w:pPr>
          </w:p>
        </w:tc>
      </w:tr>
      <w:tr>
        <w:trPr>
          <w:trHeight w:val="27"/>
        </w:trPr>
        <w:tc>
          <w:tcPr>
            <w:tcW w:w="4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5"/>
        </w:trPr>
        <w:tc>
          <w:tcPr>
            <w:tcW w:w="4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61"/>
        </w:trPr>
        <w:tc>
          <w:tcPr>
            <w:tcW w:w="42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00" w:type="dxa"/>
            <w:vAlign w:val="bottom"/>
            <w:tcBorders>
              <w:bottom w:val="single" w:sz="8" w:color="CFF0FC"/>
            </w:tcBorders>
            <w:shd w:val="clear" w:color="auto" w:fill="CFF0FC"/>
          </w:tcPr>
          <w:p>
            <w:pPr>
              <w:spacing w:after="0"/>
              <w:rPr>
                <w:sz w:val="22"/>
                <w:szCs w:val="22"/>
                <w:color w:val="auto"/>
              </w:rPr>
            </w:pPr>
          </w:p>
        </w:tc>
        <w:tc>
          <w:tcPr>
            <w:tcW w:w="122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130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22"/>
                <w:szCs w:val="22"/>
                <w:color w:val="auto"/>
              </w:rPr>
            </w:pPr>
          </w:p>
        </w:tc>
      </w:tr>
      <w:tr>
        <w:trPr>
          <w:trHeight w:val="237"/>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(1,668)</w:t>
            </w: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(2,177)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(3,842)</w:t>
            </w:r>
          </w:p>
        </w:tc>
        <w:tc>
          <w:tcPr>
            <w:tcW w:w="20" w:type="dxa"/>
            <w:vAlign w:val="bottom"/>
          </w:tcPr>
          <w:p>
            <w:pPr>
              <w:spacing w:after="0"/>
              <w:rPr>
                <w:sz w:val="20"/>
                <w:szCs w:val="20"/>
                <w:color w:val="auto"/>
              </w:rPr>
            </w:pPr>
          </w:p>
        </w:tc>
      </w:tr>
      <w:tr>
        <w:trPr>
          <w:trHeight w:val="27"/>
        </w:trPr>
        <w:tc>
          <w:tcPr>
            <w:tcW w:w="4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4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0"/>
        </w:trPr>
        <w:tc>
          <w:tcPr>
            <w:tcW w:w="4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-1628140</wp:posOffset>
            </wp:positionV>
            <wp:extent cx="6032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-1628140</wp:posOffset>
            </wp:positionV>
            <wp:extent cx="6032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-1628140</wp:posOffset>
            </wp:positionV>
            <wp:extent cx="6032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reclassifications out of AOCL:</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180" w:type="dxa"/>
            <w:vAlign w:val="bottom"/>
          </w:tcPr>
          <w:p>
            <w:pPr>
              <w:spacing w:after="0"/>
              <w:rPr>
                <w:sz w:val="15"/>
                <w:szCs w:val="15"/>
                <w:color w:val="auto"/>
              </w:rPr>
            </w:pPr>
          </w:p>
        </w:tc>
        <w:tc>
          <w:tcPr>
            <w:tcW w:w="1760" w:type="dxa"/>
            <w:vAlign w:val="bottom"/>
            <w:gridSpan w:val="4"/>
          </w:tcPr>
          <w:p>
            <w:pPr>
              <w:jc w:val="center"/>
              <w:ind w:left="21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3"/>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20" w:type="dxa"/>
            <w:vAlign w:val="bottom"/>
            <w:gridSpan w:val="3"/>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3"/>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(Income) Expense</w:t>
            </w:r>
          </w:p>
        </w:tc>
        <w:tc>
          <w:tcPr>
            <w:tcW w:w="6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1"/>
        </w:trPr>
        <w:tc>
          <w:tcPr>
            <w:tcW w:w="4180" w:type="dxa"/>
            <w:vAlign w:val="bottom"/>
            <w:vMerge w:val="continue"/>
          </w:tcPr>
          <w:p>
            <w:pPr>
              <w:spacing w:after="0"/>
              <w:rPr>
                <w:sz w:val="24"/>
                <w:szCs w:val="24"/>
                <w:color w:val="auto"/>
              </w:rPr>
            </w:pPr>
          </w:p>
        </w:tc>
        <w:tc>
          <w:tcPr>
            <w:tcW w:w="1760" w:type="dxa"/>
            <w:vAlign w:val="bottom"/>
            <w:gridSpan w:val="4"/>
            <w:vMerge w:val="restart"/>
          </w:tcPr>
          <w:p>
            <w:pPr>
              <w:jc w:val="center"/>
              <w:ind w:left="215"/>
              <w:spacing w:after="0"/>
              <w:rPr>
                <w:sz w:val="20"/>
                <w:szCs w:val="20"/>
                <w:color w:val="auto"/>
              </w:rPr>
            </w:pPr>
            <w:r>
              <w:rPr>
                <w:rFonts w:ascii="Times New Roman" w:cs="Times New Roman" w:eastAsia="Times New Roman" w:hAnsi="Times New Roman"/>
                <w:sz w:val="14"/>
                <w:szCs w:val="14"/>
                <w:b w:val="1"/>
                <w:bCs w:val="1"/>
                <w:color w:val="auto"/>
              </w:rPr>
              <w:t>Amount Reclassified</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3"/>
            <w:vMerge w:val="restart"/>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rPr>
              <w:t>Amount Reclassified</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Affected Line Item in the Consolidated</w:t>
            </w:r>
          </w:p>
        </w:tc>
        <w:tc>
          <w:tcPr>
            <w:tcW w:w="0" w:type="dxa"/>
            <w:vAlign w:val="bottom"/>
          </w:tcPr>
          <w:p>
            <w:pPr>
              <w:spacing w:after="0"/>
              <w:rPr>
                <w:sz w:val="1"/>
                <w:szCs w:val="1"/>
                <w:color w:val="auto"/>
              </w:rPr>
            </w:pPr>
          </w:p>
        </w:tc>
      </w:tr>
      <w:tr>
        <w:trPr>
          <w:trHeight w:val="39"/>
        </w:trPr>
        <w:tc>
          <w:tcPr>
            <w:tcW w:w="4180" w:type="dxa"/>
            <w:vAlign w:val="bottom"/>
          </w:tcPr>
          <w:p>
            <w:pPr>
              <w:spacing w:after="0"/>
              <w:rPr>
                <w:sz w:val="3"/>
                <w:szCs w:val="3"/>
                <w:color w:val="auto"/>
              </w:rPr>
            </w:pPr>
          </w:p>
        </w:tc>
        <w:tc>
          <w:tcPr>
            <w:tcW w:w="1760" w:type="dxa"/>
            <w:vAlign w:val="bottom"/>
            <w:gridSpan w:val="4"/>
            <w:vMerge w:val="continue"/>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00" w:type="dxa"/>
            <w:vAlign w:val="bottom"/>
            <w:gridSpan w:val="3"/>
            <w:vMerge w:val="continue"/>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7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4180" w:type="dxa"/>
            <w:vAlign w:val="bottom"/>
          </w:tcPr>
          <w:p>
            <w:pPr>
              <w:ind w:left="1440"/>
              <w:spacing w:after="0"/>
              <w:rPr>
                <w:sz w:val="20"/>
                <w:szCs w:val="20"/>
                <w:color w:val="auto"/>
              </w:rPr>
            </w:pPr>
            <w:r>
              <w:rPr>
                <w:rFonts w:ascii="Times New Roman" w:cs="Times New Roman" w:eastAsia="Times New Roman" w:hAnsi="Times New Roman"/>
                <w:sz w:val="14"/>
                <w:szCs w:val="14"/>
                <w:b w:val="1"/>
                <w:bCs w:val="1"/>
                <w:color w:val="auto"/>
              </w:rPr>
              <w:t>Component of AOCL</w:t>
            </w:r>
          </w:p>
        </w:tc>
        <w:tc>
          <w:tcPr>
            <w:tcW w:w="640" w:type="dxa"/>
            <w:vAlign w:val="bottom"/>
          </w:tcPr>
          <w:p>
            <w:pPr>
              <w:spacing w:after="0"/>
              <w:rPr>
                <w:sz w:val="16"/>
                <w:szCs w:val="16"/>
                <w:color w:val="auto"/>
              </w:rPr>
            </w:pPr>
          </w:p>
        </w:tc>
        <w:tc>
          <w:tcPr>
            <w:tcW w:w="1120" w:type="dxa"/>
            <w:vAlign w:val="bottom"/>
            <w:gridSpan w:val="3"/>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rPr>
              <w:t>from AOCL</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3"/>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rPr>
              <w:t>from AOCL</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Statements of Operations</w:t>
            </w:r>
          </w:p>
        </w:tc>
        <w:tc>
          <w:tcPr>
            <w:tcW w:w="0" w:type="dxa"/>
            <w:vAlign w:val="bottom"/>
          </w:tcPr>
          <w:p>
            <w:pPr>
              <w:spacing w:after="0"/>
              <w:rPr>
                <w:sz w:val="1"/>
                <w:szCs w:val="1"/>
                <w:color w:val="auto"/>
              </w:rPr>
            </w:pPr>
          </w:p>
        </w:tc>
      </w:tr>
      <w:tr>
        <w:trPr>
          <w:trHeight w:val="37"/>
        </w:trPr>
        <w:tc>
          <w:tcPr>
            <w:tcW w:w="4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 before tax</w:t>
            </w:r>
          </w:p>
        </w:tc>
        <w:tc>
          <w:tcPr>
            <w:tcW w:w="640" w:type="dxa"/>
            <w:vAlign w:val="bottom"/>
            <w:tcBorders>
              <w:bottom w:val="single" w:sz="8" w:color="CFF0FC"/>
            </w:tcBorders>
            <w:shd w:val="clear" w:color="auto" w:fill="CFF0FC"/>
          </w:tcPr>
          <w:p>
            <w:pPr>
              <w:jc w:val="right"/>
              <w:ind w:right="455"/>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jc w:val="right"/>
              <w:ind w:right="49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FF0FC"/>
            </w:tcBorders>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Loss on Asset Sales</w:t>
            </w:r>
          </w:p>
        </w:tc>
        <w:tc>
          <w:tcPr>
            <w:tcW w:w="0" w:type="dxa"/>
            <w:vAlign w:val="bottom"/>
          </w:tcPr>
          <w:p>
            <w:pPr>
              <w:spacing w:after="0"/>
              <w:rPr>
                <w:sz w:val="1"/>
                <w:szCs w:val="1"/>
                <w:color w:val="auto"/>
              </w:rPr>
            </w:pPr>
          </w:p>
        </w:tc>
      </w:tr>
      <w:tr>
        <w:trPr>
          <w:trHeight w:val="243"/>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effect</w:t>
            </w:r>
          </w:p>
        </w:tc>
        <w:tc>
          <w:tcPr>
            <w:tcW w:w="640" w:type="dxa"/>
            <w:vAlign w:val="bottom"/>
          </w:tcPr>
          <w:p>
            <w:pPr>
              <w:spacing w:after="0"/>
              <w:rPr>
                <w:sz w:val="21"/>
                <w:szCs w:val="21"/>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1"/>
                <w:szCs w:val="21"/>
                <w:color w:val="auto"/>
              </w:rPr>
            </w:pP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1"/>
                <w:szCs w:val="21"/>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and Foreign Taxes</w:t>
            </w:r>
          </w:p>
        </w:tc>
        <w:tc>
          <w:tcPr>
            <w:tcW w:w="0" w:type="dxa"/>
            <w:vAlign w:val="bottom"/>
          </w:tcPr>
          <w:p>
            <w:pPr>
              <w:spacing w:after="0"/>
              <w:rPr>
                <w:sz w:val="1"/>
                <w:szCs w:val="1"/>
                <w:color w:val="auto"/>
              </w:rPr>
            </w:pPr>
          </w:p>
        </w:tc>
      </w:tr>
      <w:tr>
        <w:trPr>
          <w:trHeight w:val="27"/>
        </w:trPr>
        <w:tc>
          <w:tcPr>
            <w:tcW w:w="4180" w:type="dxa"/>
            <w:vAlign w:val="bottom"/>
            <w:tcBorders>
              <w:bottom w:val="single" w:sz="8" w:color="CFF0FC"/>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of tax</w:t>
            </w:r>
          </w:p>
        </w:tc>
        <w:tc>
          <w:tcPr>
            <w:tcW w:w="640" w:type="dxa"/>
            <w:vAlign w:val="bottom"/>
            <w:tcBorders>
              <w:bottom w:val="single" w:sz="8" w:color="CFF0FC"/>
            </w:tcBorders>
            <w:shd w:val="clear" w:color="auto" w:fill="CFF0FC"/>
          </w:tcPr>
          <w:p>
            <w:pPr>
              <w:jc w:val="right"/>
              <w:ind w:right="455"/>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jc w:val="right"/>
              <w:ind w:right="49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FF0FC"/>
            </w:tcBorders>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Goodyear Net Income (Loss)</w:t>
            </w:r>
          </w:p>
        </w:tc>
        <w:tc>
          <w:tcPr>
            <w:tcW w:w="0" w:type="dxa"/>
            <w:vAlign w:val="bottom"/>
          </w:tcPr>
          <w:p>
            <w:pPr>
              <w:spacing w:after="0"/>
              <w:rPr>
                <w:sz w:val="1"/>
                <w:szCs w:val="1"/>
                <w:color w:val="auto"/>
              </w:rPr>
            </w:pPr>
          </w:p>
        </w:tc>
      </w:tr>
      <w:tr>
        <w:trPr>
          <w:trHeight w:val="486"/>
        </w:trPr>
        <w:tc>
          <w:tcPr>
            <w:tcW w:w="4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 and unrecognized</w:t>
            </w: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gains and losses</w:t>
            </w:r>
          </w:p>
        </w:tc>
        <w:tc>
          <w:tcPr>
            <w:tcW w:w="640" w:type="dxa"/>
            <w:vAlign w:val="bottom"/>
            <w:tcBorders>
              <w:bottom w:val="single" w:sz="8" w:color="CFF0FC"/>
            </w:tcBorders>
            <w:shd w:val="clear" w:color="auto" w:fill="CFF0FC"/>
          </w:tcPr>
          <w:p>
            <w:pPr>
              <w:jc w:val="right"/>
              <w:ind w:right="455"/>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CFF0FC"/>
            </w:tcBorders>
            <w:shd w:val="clear" w:color="auto" w:fill="CFF0FC"/>
          </w:tcPr>
          <w:p>
            <w:pPr>
              <w:jc w:val="right"/>
              <w:ind w:right="492"/>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CFF0FC"/>
            </w:tcBorders>
            <w:shd w:val="clear" w:color="auto" w:fill="CFF0FC"/>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FF0FC"/>
            </w:tcBorders>
            <w:shd w:val="clear" w:color="auto" w:fill="CFF0FC"/>
          </w:tcPr>
          <w:p>
            <w:pPr>
              <w:spacing w:after="0"/>
              <w:rPr>
                <w:sz w:val="20"/>
                <w:szCs w:val="20"/>
                <w:color w:val="auto"/>
              </w:rPr>
            </w:pPr>
          </w:p>
        </w:tc>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0" w:type="dxa"/>
            <w:vAlign w:val="bottom"/>
          </w:tcPr>
          <w:p>
            <w:pPr>
              <w:spacing w:after="0"/>
              <w:rPr>
                <w:sz w:val="1"/>
                <w:szCs w:val="1"/>
                <w:color w:val="auto"/>
              </w:rPr>
            </w:pPr>
          </w:p>
        </w:tc>
      </w:tr>
      <w:tr>
        <w:trPr>
          <w:trHeight w:val="225"/>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Immediate recognition of prior service cost and</w:t>
            </w: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gains and losses due to curtailments,</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w:t>
            </w:r>
          </w:p>
        </w:tc>
        <w:tc>
          <w:tcPr>
            <w:tcW w:w="0" w:type="dxa"/>
            <w:vAlign w:val="bottom"/>
          </w:tcPr>
          <w:p>
            <w:pPr>
              <w:spacing w:after="0"/>
              <w:rPr>
                <w:sz w:val="1"/>
                <w:szCs w:val="1"/>
                <w:color w:val="auto"/>
              </w:rPr>
            </w:pPr>
          </w:p>
        </w:tc>
      </w:tr>
      <w:tr>
        <w:trPr>
          <w:trHeight w:val="234"/>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settlements and divestitures</w:t>
            </w:r>
          </w:p>
        </w:tc>
        <w:tc>
          <w:tcPr>
            <w:tcW w:w="640" w:type="dxa"/>
            <w:vAlign w:val="bottom"/>
          </w:tcPr>
          <w:p>
            <w:pPr>
              <w:spacing w:after="0"/>
              <w:rPr>
                <w:sz w:val="20"/>
                <w:szCs w:val="20"/>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Rationalizations</w:t>
            </w:r>
          </w:p>
        </w:tc>
        <w:tc>
          <w:tcPr>
            <w:tcW w:w="0" w:type="dxa"/>
            <w:vAlign w:val="bottom"/>
          </w:tcPr>
          <w:p>
            <w:pPr>
              <w:spacing w:after="0"/>
              <w:rPr>
                <w:sz w:val="1"/>
                <w:szCs w:val="1"/>
                <w:color w:val="auto"/>
              </w:rPr>
            </w:pPr>
          </w:p>
        </w:tc>
      </w:tr>
      <w:tr>
        <w:trPr>
          <w:trHeight w:val="27"/>
        </w:trPr>
        <w:tc>
          <w:tcPr>
            <w:tcW w:w="4180" w:type="dxa"/>
            <w:vAlign w:val="bottom"/>
            <w:tcBorders>
              <w:bottom w:val="single" w:sz="8" w:color="CFF0FC"/>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180" w:type="dxa"/>
            <w:vAlign w:val="bottom"/>
            <w:shd w:val="clear" w:color="auto" w:fill="CFF0FC"/>
          </w:tcPr>
          <w:p>
            <w:pPr>
              <w:ind w:left="180"/>
              <w:spacing w:after="0" w:line="205" w:lineRule="exact"/>
              <w:rPr>
                <w:sz w:val="20"/>
                <w:szCs w:val="20"/>
                <w:color w:val="auto"/>
              </w:rPr>
            </w:pPr>
            <w:r>
              <w:rPr>
                <w:rFonts w:ascii="Times New Roman" w:cs="Times New Roman" w:eastAsia="Times New Roman" w:hAnsi="Times New Roman"/>
                <w:sz w:val="18"/>
                <w:szCs w:val="18"/>
                <w:color w:val="auto"/>
              </w:rPr>
              <w:t>Unrecognized net actuarial losses and</w:t>
            </w:r>
          </w:p>
        </w:tc>
        <w:tc>
          <w:tcPr>
            <w:tcW w:w="6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1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prior service costs, before tax</w:t>
            </w:r>
          </w:p>
        </w:tc>
        <w:tc>
          <w:tcPr>
            <w:tcW w:w="640" w:type="dxa"/>
            <w:vAlign w:val="bottom"/>
            <w:tcBorders>
              <w:bottom w:val="single" w:sz="8" w:color="CFF0FC"/>
            </w:tcBorders>
            <w:shd w:val="clear" w:color="auto" w:fill="CFF0FC"/>
          </w:tcPr>
          <w:p>
            <w:pPr>
              <w:jc w:val="right"/>
              <w:ind w:right="455"/>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CFF0FC"/>
            </w:tcBorders>
            <w:shd w:val="clear" w:color="auto" w:fill="CFF0FC"/>
          </w:tcPr>
          <w:p>
            <w:pPr>
              <w:jc w:val="right"/>
              <w:ind w:right="492"/>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CFF0FC"/>
            </w:tcBorders>
            <w:shd w:val="clear" w:color="auto" w:fill="CFF0FC"/>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FF0FC"/>
            </w:tcBorders>
            <w:shd w:val="clear" w:color="auto" w:fill="CFF0FC"/>
          </w:tcPr>
          <w:p>
            <w:pPr>
              <w:spacing w:after="0"/>
              <w:rPr>
                <w:sz w:val="20"/>
                <w:szCs w:val="20"/>
                <w:color w:val="auto"/>
              </w:rPr>
            </w:pPr>
          </w:p>
        </w:tc>
        <w:tc>
          <w:tcPr>
            <w:tcW w:w="2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effect</w:t>
            </w:r>
          </w:p>
        </w:tc>
        <w:tc>
          <w:tcPr>
            <w:tcW w:w="640" w:type="dxa"/>
            <w:vAlign w:val="bottom"/>
          </w:tcPr>
          <w:p>
            <w:pPr>
              <w:spacing w:after="0"/>
              <w:rPr>
                <w:sz w:val="21"/>
                <w:szCs w:val="21"/>
                <w:color w:val="auto"/>
              </w:rPr>
            </w:pP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w:t>
            </w:r>
          </w:p>
        </w:tc>
        <w:tc>
          <w:tcPr>
            <w:tcW w:w="100" w:type="dxa"/>
            <w:vAlign w:val="bottom"/>
          </w:tcPr>
          <w:p>
            <w:pPr>
              <w:spacing w:after="0"/>
              <w:rPr>
                <w:sz w:val="21"/>
                <w:szCs w:val="21"/>
                <w:color w:val="auto"/>
              </w:rPr>
            </w:pPr>
          </w:p>
        </w:tc>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and Foreign Taxes</w:t>
            </w:r>
          </w:p>
        </w:tc>
        <w:tc>
          <w:tcPr>
            <w:tcW w:w="0" w:type="dxa"/>
            <w:vAlign w:val="bottom"/>
          </w:tcPr>
          <w:p>
            <w:pPr>
              <w:spacing w:after="0"/>
              <w:rPr>
                <w:sz w:val="1"/>
                <w:szCs w:val="1"/>
                <w:color w:val="auto"/>
              </w:rPr>
            </w:pPr>
          </w:p>
        </w:tc>
      </w:tr>
      <w:tr>
        <w:trPr>
          <w:trHeight w:val="27"/>
        </w:trPr>
        <w:tc>
          <w:tcPr>
            <w:tcW w:w="4180" w:type="dxa"/>
            <w:vAlign w:val="bottom"/>
            <w:tcBorders>
              <w:bottom w:val="single" w:sz="8" w:color="CFF0FC"/>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of tax</w:t>
            </w:r>
          </w:p>
        </w:tc>
        <w:tc>
          <w:tcPr>
            <w:tcW w:w="640" w:type="dxa"/>
            <w:vAlign w:val="bottom"/>
            <w:tcBorders>
              <w:bottom w:val="single" w:sz="8" w:color="CFF0FC"/>
            </w:tcBorders>
            <w:shd w:val="clear" w:color="auto" w:fill="CFF0FC"/>
          </w:tcPr>
          <w:p>
            <w:pPr>
              <w:jc w:val="right"/>
              <w:ind w:right="455"/>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jc w:val="right"/>
              <w:ind w:right="492"/>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FF0FC"/>
            </w:tcBorders>
            <w:shd w:val="clear" w:color="auto" w:fill="CFF0FC"/>
          </w:tcPr>
          <w:p>
            <w:pPr>
              <w:spacing w:after="0"/>
              <w:rPr>
                <w:sz w:val="21"/>
                <w:szCs w:val="21"/>
                <w:color w:val="auto"/>
              </w:rPr>
            </w:pPr>
          </w:p>
        </w:tc>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Goodyear Net Income (Loss)</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derivative (gains) losses, before tax</w:t>
            </w:r>
          </w:p>
        </w:tc>
        <w:tc>
          <w:tcPr>
            <w:tcW w:w="640" w:type="dxa"/>
            <w:vAlign w:val="bottom"/>
            <w:tcBorders>
              <w:bottom w:val="single" w:sz="8" w:color="CFF0FC"/>
            </w:tcBorders>
            <w:shd w:val="clear" w:color="auto" w:fill="CFF0FC"/>
          </w:tcPr>
          <w:p>
            <w:pPr>
              <w:jc w:val="right"/>
              <w:ind w:right="45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FF0FC"/>
            </w:tcBorders>
            <w:shd w:val="clear" w:color="auto" w:fill="CFF0FC"/>
          </w:tcPr>
          <w:p>
            <w:pPr>
              <w:jc w:val="right"/>
              <w:ind w:right="49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FF0FC"/>
            </w:tcBorders>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FF0FC"/>
            </w:tcBorders>
            <w:shd w:val="clear" w:color="auto" w:fill="CFF0FC"/>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21"/>
                <w:szCs w:val="21"/>
                <w:color w:val="auto"/>
              </w:rPr>
            </w:pPr>
          </w:p>
        </w:tc>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0" w:type="dxa"/>
            <w:vAlign w:val="bottom"/>
          </w:tcPr>
          <w:p>
            <w:pPr>
              <w:spacing w:after="0"/>
              <w:rPr>
                <w:sz w:val="1"/>
                <w:szCs w:val="1"/>
                <w:color w:val="auto"/>
              </w:rPr>
            </w:pPr>
          </w:p>
        </w:tc>
      </w:tr>
      <w:tr>
        <w:trPr>
          <w:trHeight w:val="243"/>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effect</w:t>
            </w:r>
          </w:p>
        </w:tc>
        <w:tc>
          <w:tcPr>
            <w:tcW w:w="640" w:type="dxa"/>
            <w:vAlign w:val="bottom"/>
          </w:tcPr>
          <w:p>
            <w:pPr>
              <w:spacing w:after="0"/>
              <w:rPr>
                <w:sz w:val="21"/>
                <w:szCs w:val="21"/>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1"/>
                <w:szCs w:val="21"/>
                <w:color w:val="auto"/>
              </w:rPr>
            </w:pP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1"/>
                <w:szCs w:val="21"/>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and Foreign Taxes</w:t>
            </w:r>
          </w:p>
        </w:tc>
        <w:tc>
          <w:tcPr>
            <w:tcW w:w="0" w:type="dxa"/>
            <w:vAlign w:val="bottom"/>
          </w:tcPr>
          <w:p>
            <w:pPr>
              <w:spacing w:after="0"/>
              <w:rPr>
                <w:sz w:val="1"/>
                <w:szCs w:val="1"/>
                <w:color w:val="auto"/>
              </w:rPr>
            </w:pPr>
          </w:p>
        </w:tc>
      </w:tr>
      <w:tr>
        <w:trPr>
          <w:trHeight w:val="27"/>
        </w:trPr>
        <w:tc>
          <w:tcPr>
            <w:tcW w:w="4180" w:type="dxa"/>
            <w:vAlign w:val="bottom"/>
            <w:tcBorders>
              <w:bottom w:val="single" w:sz="8" w:color="CFF0FC"/>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1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of tax</w:t>
            </w:r>
          </w:p>
        </w:tc>
        <w:tc>
          <w:tcPr>
            <w:tcW w:w="640" w:type="dxa"/>
            <w:vAlign w:val="bottom"/>
            <w:tcBorders>
              <w:bottom w:val="single" w:sz="8" w:color="CFF0FC"/>
            </w:tcBorders>
            <w:shd w:val="clear" w:color="auto" w:fill="CFF0FC"/>
          </w:tcPr>
          <w:p>
            <w:pPr>
              <w:jc w:val="right"/>
              <w:ind w:right="45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FF0FC"/>
            </w:tcBorders>
            <w:shd w:val="clear" w:color="auto" w:fill="CFF0FC"/>
          </w:tcPr>
          <w:p>
            <w:pPr>
              <w:jc w:val="right"/>
              <w:ind w:right="49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FF0FC"/>
            </w:tcBorders>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FF0FC"/>
            </w:tcBorders>
            <w:shd w:val="clear" w:color="auto" w:fill="CFF0FC"/>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22"/>
                <w:szCs w:val="22"/>
                <w:color w:val="auto"/>
              </w:rPr>
            </w:pPr>
          </w:p>
        </w:tc>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Goodyear Net Income (Loss)</w:t>
            </w:r>
          </w:p>
        </w:tc>
        <w:tc>
          <w:tcPr>
            <w:tcW w:w="0" w:type="dxa"/>
            <w:vAlign w:val="bottom"/>
          </w:tcPr>
          <w:p>
            <w:pPr>
              <w:spacing w:after="0"/>
              <w:rPr>
                <w:sz w:val="1"/>
                <w:szCs w:val="1"/>
                <w:color w:val="auto"/>
              </w:rPr>
            </w:pPr>
          </w:p>
        </w:tc>
      </w:tr>
      <w:tr>
        <w:trPr>
          <w:trHeight w:val="264"/>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reclassifications</w:t>
            </w:r>
          </w:p>
        </w:tc>
        <w:tc>
          <w:tcPr>
            <w:tcW w:w="64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20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100" w:type="dxa"/>
            <w:vAlign w:val="bottom"/>
          </w:tcPr>
          <w:p>
            <w:pPr>
              <w:spacing w:after="0"/>
              <w:rPr>
                <w:sz w:val="22"/>
                <w:szCs w:val="22"/>
                <w:color w:val="auto"/>
              </w:rPr>
            </w:pPr>
          </w:p>
        </w:tc>
        <w:tc>
          <w:tcPr>
            <w:tcW w:w="6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100" w:type="dxa"/>
            <w:vAlign w:val="bottom"/>
          </w:tcPr>
          <w:p>
            <w:pPr>
              <w:spacing w:after="0"/>
              <w:rPr>
                <w:sz w:val="22"/>
                <w:szCs w:val="22"/>
                <w:color w:val="auto"/>
              </w:rPr>
            </w:pPr>
          </w:p>
        </w:tc>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Goodyear Net Income (Loss)</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-393700</wp:posOffset>
            </wp:positionV>
            <wp:extent cx="603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-393700</wp:posOffset>
            </wp:positionV>
            <wp:extent cx="5969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-393700</wp:posOffset>
            </wp:positionV>
            <wp:extent cx="603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-393700</wp:posOffset>
            </wp:positionV>
            <wp:extent cx="603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-1087755</wp:posOffset>
            </wp:positionV>
            <wp:extent cx="596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-1087755</wp:posOffset>
            </wp:positionV>
            <wp:extent cx="603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-1567815</wp:posOffset>
            </wp:positionV>
            <wp:extent cx="603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-1567815</wp:posOffset>
            </wp:positionV>
            <wp:extent cx="5969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-1567815</wp:posOffset>
            </wp:positionV>
            <wp:extent cx="603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-1567815</wp:posOffset>
            </wp:positionV>
            <wp:extent cx="603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-2811145</wp:posOffset>
            </wp:positionV>
            <wp:extent cx="596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-2811145</wp:posOffset>
            </wp:positionV>
            <wp:extent cx="603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-2811145</wp:posOffset>
            </wp:positionV>
            <wp:extent cx="603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-3308350</wp:posOffset>
            </wp:positionV>
            <wp:extent cx="60325" cy="1543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-3308350</wp:posOffset>
            </wp:positionV>
            <wp:extent cx="60325" cy="1543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-3522345</wp:posOffset>
            </wp:positionV>
            <wp:extent cx="5969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-3522345</wp:posOffset>
            </wp:positionV>
            <wp:extent cx="6032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details of comprehensive income (loss) attributable to minority shareholders: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4"/>
                <w:szCs w:val="14"/>
                <w:color w:val="auto"/>
              </w:rPr>
            </w:pPr>
          </w:p>
        </w:tc>
        <w:tc>
          <w:tcPr>
            <w:tcW w:w="244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0"/>
        </w:trPr>
        <w:tc>
          <w:tcPr>
            <w:tcW w:w="5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21"/>
                <w:szCs w:val="21"/>
                <w:color w:val="auto"/>
              </w:rPr>
            </w:pPr>
          </w:p>
        </w:tc>
      </w:tr>
      <w:tr>
        <w:trPr>
          <w:trHeight w:val="37"/>
        </w:trPr>
        <w:tc>
          <w:tcPr>
            <w:tcW w:w="5440" w:type="dxa"/>
            <w:vAlign w:val="bottom"/>
            <w:tcBorders>
              <w:bottom w:val="single" w:sz="8" w:color="CFF0FC"/>
            </w:tcBorders>
          </w:tcPr>
          <w:p>
            <w:pPr>
              <w:spacing w:after="0"/>
              <w:rPr>
                <w:sz w:val="3"/>
                <w:szCs w:val="3"/>
                <w:color w:val="auto"/>
              </w:rPr>
            </w:pPr>
          </w:p>
        </w:tc>
        <w:tc>
          <w:tcPr>
            <w:tcW w:w="26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43"/>
        </w:trPr>
        <w:tc>
          <w:tcPr>
            <w:tcW w:w="5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Minority Shareholders</w:t>
            </w:r>
          </w:p>
        </w:tc>
        <w:tc>
          <w:tcPr>
            <w:tcW w:w="560" w:type="dxa"/>
            <w:vAlign w:val="bottom"/>
            <w:tcBorders>
              <w:bottom w:val="single" w:sz="8" w:color="CFF0FC"/>
            </w:tcBorders>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21"/>
                <w:szCs w:val="21"/>
                <w:color w:val="auto"/>
              </w:rPr>
            </w:pP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5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54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6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3"/>
                <w:szCs w:val="23"/>
                <w:color w:val="auto"/>
              </w:rPr>
            </w:pPr>
          </w:p>
        </w:tc>
      </w:tr>
      <w:tr>
        <w:trPr>
          <w:trHeight w:val="237"/>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6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0" w:type="dxa"/>
            <w:vAlign w:val="bottom"/>
          </w:tcPr>
          <w:p>
            <w:pPr>
              <w:spacing w:after="0"/>
              <w:rPr>
                <w:sz w:val="20"/>
                <w:szCs w:val="20"/>
                <w:color w:val="auto"/>
              </w:rPr>
            </w:pPr>
          </w:p>
        </w:tc>
      </w:tr>
      <w:tr>
        <w:trPr>
          <w:trHeight w:val="27"/>
        </w:trPr>
        <w:tc>
          <w:tcPr>
            <w:tcW w:w="5440" w:type="dxa"/>
            <w:vAlign w:val="bottom"/>
            <w:tcBorders>
              <w:bottom w:val="single" w:sz="8" w:color="CFF0FC"/>
            </w:tcBorders>
          </w:tcPr>
          <w:p>
            <w:pPr>
              <w:spacing w:after="0"/>
              <w:rPr>
                <w:sz w:val="2"/>
                <w:szCs w:val="2"/>
                <w:color w:val="auto"/>
              </w:rPr>
            </w:pPr>
          </w:p>
        </w:tc>
        <w:tc>
          <w:tcPr>
            <w:tcW w:w="26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88"/>
        </w:trPr>
        <w:tc>
          <w:tcPr>
            <w:tcW w:w="5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Minority Shareholders</w:t>
            </w:r>
          </w:p>
        </w:tc>
        <w:tc>
          <w:tcPr>
            <w:tcW w:w="560" w:type="dxa"/>
            <w:vAlign w:val="bottom"/>
            <w:tcBorders>
              <w:bottom w:val="single" w:sz="8" w:color="CFF0FC"/>
            </w:tcBorders>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1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10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0" w:type="dxa"/>
            <w:vAlign w:val="bottom"/>
          </w:tcPr>
          <w:p>
            <w:pPr>
              <w:spacing w:after="0"/>
              <w:rPr>
                <w:sz w:val="24"/>
                <w:szCs w:val="24"/>
                <w:color w:val="auto"/>
              </w:rPr>
            </w:pPr>
          </w:p>
        </w:tc>
      </w:tr>
      <w:tr>
        <w:trPr>
          <w:trHeight w:val="20"/>
        </w:trPr>
        <w:tc>
          <w:tcPr>
            <w:tcW w:w="54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03"/>
        </w:trPr>
        <w:tc>
          <w:tcPr>
            <w:tcW w:w="5440" w:type="dxa"/>
            <w:vAlign w:val="bottom"/>
          </w:tcPr>
          <w:p>
            <w:pPr>
              <w:spacing w:after="0"/>
              <w:rPr>
                <w:sz w:val="24"/>
                <w:szCs w:val="24"/>
                <w:color w:val="auto"/>
              </w:rPr>
            </w:pPr>
          </w:p>
        </w:tc>
        <w:tc>
          <w:tcPr>
            <w:tcW w:w="5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32</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4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-582295</wp:posOffset>
            </wp:positionV>
            <wp:extent cx="603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-582295</wp:posOffset>
            </wp:positionV>
            <wp:extent cx="603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-762000</wp:posOffset>
            </wp:positionV>
            <wp:extent cx="603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-1464945</wp:posOffset>
            </wp:positionV>
            <wp:extent cx="603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-1464945</wp:posOffset>
            </wp:positionV>
            <wp:extent cx="603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16. REVISION OF PREVIOUSLY ISSUED FINANCIAL STATEMENTS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discussed in Note 1, in preparing the consolidated financial statements as of and for the three and six months ended June 30, 2025, we identified errors in our previously issued financial statements related to our historical computation of currency remeasurement of our foreign operations in Turkey, which was designated as a highly inflationary economy beginning April 1, 2022. The identified errors impacted our previously issued 2022, 2023 and 2024 annual and interim financial statements. The impact of the errors on the previously issued consolidated statements of operations and comprehensive income for the quarter ended March 31, 2025 were de minimis. There were no impacts on previously reported cash flows from operating, investing and financing activities in any prior periods.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evaluated the errors in accordance with SEC Staff Accounting Bulletin Nos. 99 and 108 and determined that the related impacts were not material in any previously issued annual or interim financial statements. We revised the prior period amounts presented in these financial statements to correct the errors. The applicable notes to the accompanying financial statements have also been corrected to reflect the impact of the revisions of the previously filed consolidated interim financial statements.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79"/>
        <w:spacing w:after="0" w:line="343" w:lineRule="auto"/>
        <w:rPr>
          <w:sz w:val="20"/>
          <w:szCs w:val="20"/>
          <w:color w:val="auto"/>
        </w:rPr>
      </w:pPr>
      <w:r>
        <w:rPr>
          <w:rFonts w:ascii="Times New Roman" w:cs="Times New Roman" w:eastAsia="Times New Roman" w:hAnsi="Times New Roman"/>
          <w:sz w:val="18"/>
          <w:szCs w:val="18"/>
          <w:color w:val="auto"/>
        </w:rPr>
        <w:t xml:space="preserve">The following tables reflect the impact of the revision to the specific line items presented in our previously reported financial information. </w:t>
      </w:r>
      <w:r>
        <w:rPr>
          <w:rFonts w:ascii="Times New Roman" w:cs="Times New Roman" w:eastAsia="Times New Roman" w:hAnsi="Times New Roman"/>
          <w:sz w:val="18"/>
          <w:szCs w:val="18"/>
          <w:i w:val="1"/>
          <w:iCs w:val="1"/>
          <w:u w:val="single" w:color="auto"/>
          <w:color w:val="auto"/>
        </w:rPr>
        <w:t>Impacts to Consolidated Statements of Operations and Comprehensive Income (in millions, except per share data)</w:t>
      </w:r>
    </w:p>
    <w:tbl>
      <w:tblPr>
        <w:tblLayout w:type="fixed"/>
        <w:tblInd w:w="0" w:type="dxa"/>
        <w:tblCellMar>
          <w:top w:w="0" w:type="dxa"/>
          <w:left w:w="0" w:type="dxa"/>
          <w:bottom w:w="0" w:type="dxa"/>
          <w:right w:w="0" w:type="dxa"/>
        </w:tblCellMar>
      </w:tblPr>
      <w:tr>
        <w:trPr>
          <w:trHeight w:val="149"/>
        </w:trPr>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6"/>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100" w:type="dxa"/>
            <w:vAlign w:val="bottom"/>
          </w:tcPr>
          <w:p>
            <w:pPr>
              <w:spacing w:after="0"/>
              <w:rPr>
                <w:sz w:val="12"/>
                <w:szCs w:val="12"/>
                <w:color w:val="auto"/>
              </w:rPr>
            </w:pPr>
          </w:p>
        </w:tc>
        <w:tc>
          <w:tcPr>
            <w:tcW w:w="1660" w:type="dxa"/>
            <w:vAlign w:val="bottom"/>
            <w:gridSpan w:val="6"/>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120" w:type="dxa"/>
            <w:vAlign w:val="bottom"/>
          </w:tcPr>
          <w:p>
            <w:pPr>
              <w:spacing w:after="0"/>
              <w:rPr>
                <w:sz w:val="12"/>
                <w:szCs w:val="12"/>
                <w:color w:val="auto"/>
              </w:rPr>
            </w:pPr>
          </w:p>
        </w:tc>
        <w:tc>
          <w:tcPr>
            <w:tcW w:w="1580" w:type="dxa"/>
            <w:vAlign w:val="bottom"/>
            <w:gridSpan w:val="5"/>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0" w:type="dxa"/>
            <w:vAlign w:val="bottom"/>
          </w:tcPr>
          <w:p>
            <w:pPr>
              <w:spacing w:after="0"/>
              <w:rPr>
                <w:sz w:val="1"/>
                <w:szCs w:val="1"/>
                <w:color w:val="auto"/>
              </w:rPr>
            </w:pPr>
          </w:p>
        </w:tc>
      </w:tr>
      <w:tr>
        <w:trPr>
          <w:trHeight w:val="166"/>
        </w:trPr>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As</w:t>
            </w:r>
          </w:p>
        </w:tc>
        <w:tc>
          <w:tcPr>
            <w:tcW w:w="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Revision</w:t>
            </w:r>
          </w:p>
        </w:tc>
        <w:tc>
          <w:tcPr>
            <w:tcW w:w="120" w:type="dxa"/>
            <w:vAlign w:val="bottom"/>
          </w:tcPr>
          <w:p>
            <w:pPr>
              <w:spacing w:after="0"/>
              <w:rPr>
                <w:sz w:val="16"/>
                <w:szCs w:val="16"/>
                <w:color w:val="auto"/>
              </w:rPr>
            </w:pPr>
          </w:p>
        </w:tc>
        <w:tc>
          <w:tcPr>
            <w:tcW w:w="5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As</w:t>
            </w:r>
          </w:p>
        </w:tc>
        <w:tc>
          <w:tcPr>
            <w:tcW w:w="100" w:type="dxa"/>
            <w:vAlign w:val="bottom"/>
          </w:tcPr>
          <w:p>
            <w:pPr>
              <w:spacing w:after="0"/>
              <w:rPr>
                <w:sz w:val="16"/>
                <w:szCs w:val="16"/>
                <w:color w:val="auto"/>
              </w:rPr>
            </w:pPr>
          </w:p>
        </w:tc>
        <w:tc>
          <w:tcPr>
            <w:tcW w:w="48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As</w:t>
            </w:r>
          </w:p>
        </w:tc>
        <w:tc>
          <w:tcPr>
            <w:tcW w:w="5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Revision</w:t>
            </w:r>
          </w:p>
        </w:tc>
        <w:tc>
          <w:tcPr>
            <w:tcW w:w="120" w:type="dxa"/>
            <w:vAlign w:val="bottom"/>
          </w:tcPr>
          <w:p>
            <w:pPr>
              <w:spacing w:after="0"/>
              <w:rPr>
                <w:sz w:val="16"/>
                <w:szCs w:val="16"/>
                <w:color w:val="auto"/>
              </w:rPr>
            </w:pP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As</w:t>
            </w:r>
          </w:p>
        </w:tc>
        <w:tc>
          <w:tcPr>
            <w:tcW w:w="120" w:type="dxa"/>
            <w:vAlign w:val="bottom"/>
          </w:tcPr>
          <w:p>
            <w:pPr>
              <w:spacing w:after="0"/>
              <w:rPr>
                <w:sz w:val="16"/>
                <w:szCs w:val="16"/>
                <w:color w:val="auto"/>
              </w:rPr>
            </w:pPr>
          </w:p>
        </w:tc>
        <w:tc>
          <w:tcPr>
            <w:tcW w:w="46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As</w:t>
            </w:r>
          </w:p>
        </w:tc>
        <w:tc>
          <w:tcPr>
            <w:tcW w:w="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Revision</w:t>
            </w:r>
          </w:p>
        </w:tc>
        <w:tc>
          <w:tcPr>
            <w:tcW w:w="120" w:type="dxa"/>
            <w:vAlign w:val="bottom"/>
          </w:tcPr>
          <w:p>
            <w:pPr>
              <w:spacing w:after="0"/>
              <w:rPr>
                <w:sz w:val="16"/>
                <w:szCs w:val="16"/>
                <w:color w:val="auto"/>
              </w:rPr>
            </w:pPr>
          </w:p>
        </w:tc>
        <w:tc>
          <w:tcPr>
            <w:tcW w:w="44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As</w:t>
            </w:r>
          </w:p>
        </w:tc>
        <w:tc>
          <w:tcPr>
            <w:tcW w:w="0" w:type="dxa"/>
            <w:vAlign w:val="bottom"/>
          </w:tcPr>
          <w:p>
            <w:pPr>
              <w:spacing w:after="0"/>
              <w:rPr>
                <w:sz w:val="1"/>
                <w:szCs w:val="1"/>
                <w:color w:val="auto"/>
              </w:rPr>
            </w:pPr>
          </w:p>
        </w:tc>
      </w:tr>
      <w:tr>
        <w:trPr>
          <w:trHeight w:val="166"/>
        </w:trPr>
        <w:tc>
          <w:tcPr>
            <w:tcW w:w="266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Reported</w:t>
            </w:r>
          </w:p>
        </w:tc>
        <w:tc>
          <w:tcPr>
            <w:tcW w:w="560" w:type="dxa"/>
            <w:vAlign w:val="bottom"/>
            <w:gridSpan w:val="2"/>
            <w:vMerge w:val="continue"/>
          </w:tcPr>
          <w:p>
            <w:pPr>
              <w:spacing w:after="0"/>
              <w:rPr>
                <w:sz w:val="14"/>
                <w:szCs w:val="14"/>
                <w:color w:val="auto"/>
              </w:rPr>
            </w:pPr>
          </w:p>
        </w:tc>
        <w:tc>
          <w:tcPr>
            <w:tcW w:w="64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Revised</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Reported</w:t>
            </w:r>
          </w:p>
        </w:tc>
        <w:tc>
          <w:tcPr>
            <w:tcW w:w="540" w:type="dxa"/>
            <w:vAlign w:val="bottom"/>
            <w:gridSpan w:val="2"/>
            <w:vMerge w:val="continue"/>
          </w:tcPr>
          <w:p>
            <w:pPr>
              <w:spacing w:after="0"/>
              <w:rPr>
                <w:sz w:val="14"/>
                <w:szCs w:val="14"/>
                <w:color w:val="auto"/>
              </w:rPr>
            </w:pPr>
          </w:p>
        </w:tc>
        <w:tc>
          <w:tcPr>
            <w:tcW w:w="64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Revised</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Reported</w:t>
            </w:r>
          </w:p>
        </w:tc>
        <w:tc>
          <w:tcPr>
            <w:tcW w:w="560" w:type="dxa"/>
            <w:vAlign w:val="bottom"/>
            <w:gridSpan w:val="2"/>
            <w:vMerge w:val="continue"/>
          </w:tcPr>
          <w:p>
            <w:pPr>
              <w:spacing w:after="0"/>
              <w:rPr>
                <w:sz w:val="14"/>
                <w:szCs w:val="14"/>
                <w:color w:val="auto"/>
              </w:rPr>
            </w:pPr>
          </w:p>
        </w:tc>
        <w:tc>
          <w:tcPr>
            <w:tcW w:w="56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Revised</w:t>
            </w:r>
          </w:p>
        </w:tc>
        <w:tc>
          <w:tcPr>
            <w:tcW w:w="0" w:type="dxa"/>
            <w:vAlign w:val="bottom"/>
          </w:tcPr>
          <w:p>
            <w:pPr>
              <w:spacing w:after="0"/>
              <w:rPr>
                <w:sz w:val="1"/>
                <w:szCs w:val="1"/>
                <w:color w:val="auto"/>
              </w:rPr>
            </w:pPr>
          </w:p>
        </w:tc>
      </w:tr>
      <w:tr>
        <w:trPr>
          <w:trHeight w:val="29"/>
        </w:trPr>
        <w:tc>
          <w:tcPr>
            <w:tcW w:w="2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Goods Sold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15,176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15,192</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16,557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16,582</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16,953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16,955</w:t>
            </w:r>
          </w:p>
        </w:tc>
        <w:tc>
          <w:tcPr>
            <w:tcW w:w="0" w:type="dxa"/>
            <w:vAlign w:val="bottom"/>
          </w:tcPr>
          <w:p>
            <w:pPr>
              <w:spacing w:after="0"/>
              <w:rPr>
                <w:sz w:val="1"/>
                <w:szCs w:val="1"/>
                <w:color w:val="auto"/>
              </w:rPr>
            </w:pPr>
          </w:p>
        </w:tc>
      </w:tr>
      <w:tr>
        <w:trPr>
          <w:trHeight w:val="203"/>
        </w:trPr>
        <w:tc>
          <w:tcPr>
            <w:tcW w:w="2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Other Expense </w:t>
            </w:r>
            <w:r>
              <w:rPr>
                <w:rFonts w:ascii="Times New Roman" w:cs="Times New Roman" w:eastAsia="Times New Roman" w:hAnsi="Times New Roman"/>
                <w:sz w:val="16"/>
                <w:szCs w:val="16"/>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w:t>
            </w:r>
          </w:p>
        </w:tc>
        <w:tc>
          <w:tcPr>
            <w:tcW w:w="0" w:type="dxa"/>
            <w:vAlign w:val="bottom"/>
          </w:tcPr>
          <w:p>
            <w:pPr>
              <w:spacing w:after="0"/>
              <w:rPr>
                <w:sz w:val="1"/>
                <w:szCs w:val="1"/>
                <w:color w:val="auto"/>
              </w:rPr>
            </w:pPr>
          </w:p>
        </w:tc>
      </w:tr>
      <w:tr>
        <w:trPr>
          <w:trHeight w:val="183"/>
        </w:trPr>
        <w:tc>
          <w:tcPr>
            <w:tcW w:w="2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Income (Loss)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(731)</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0" w:type="dxa"/>
            <w:vAlign w:val="bottom"/>
          </w:tcPr>
          <w:p>
            <w:pPr>
              <w:spacing w:after="0"/>
              <w:rPr>
                <w:sz w:val="1"/>
                <w:szCs w:val="1"/>
                <w:color w:val="auto"/>
              </w:rPr>
            </w:pPr>
          </w:p>
        </w:tc>
      </w:tr>
      <w:tr>
        <w:trPr>
          <w:trHeight w:val="173"/>
        </w:trPr>
        <w:tc>
          <w:tcPr>
            <w:tcW w:w="2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Minority Shareholders’ Net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29"/>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Goodyear Net Income (Loss)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(729)</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w:t>
            </w:r>
          </w:p>
        </w:tc>
        <w:tc>
          <w:tcPr>
            <w:tcW w:w="0" w:type="dxa"/>
            <w:vAlign w:val="bottom"/>
          </w:tcPr>
          <w:p>
            <w:pPr>
              <w:spacing w:after="0"/>
              <w:rPr>
                <w:sz w:val="1"/>
                <w:szCs w:val="1"/>
                <w:color w:val="auto"/>
              </w:rPr>
            </w:pPr>
          </w:p>
        </w:tc>
      </w:tr>
      <w:tr>
        <w:trPr>
          <w:trHeight w:val="173"/>
        </w:trPr>
        <w:tc>
          <w:tcPr>
            <w:tcW w:w="26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Comprehensive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(643)</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(687)</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w:t>
            </w:r>
          </w:p>
        </w:tc>
        <w:tc>
          <w:tcPr>
            <w:tcW w:w="0" w:type="dxa"/>
            <w:vAlign w:val="bottom"/>
          </w:tcPr>
          <w:p>
            <w:pPr>
              <w:spacing w:after="0"/>
              <w:rPr>
                <w:sz w:val="1"/>
                <w:szCs w:val="1"/>
                <w:color w:val="auto"/>
              </w:rPr>
            </w:pPr>
          </w:p>
        </w:tc>
      </w:tr>
      <w:tr>
        <w:trPr>
          <w:trHeight w:val="29"/>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Comprehensive Income (Loss) Attributable to</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Minority Shareholders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73"/>
        </w:trPr>
        <w:tc>
          <w:tcPr>
            <w:tcW w:w="26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Goodyear Comprehensive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(649)</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(689)</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w:t>
            </w:r>
          </w:p>
        </w:tc>
        <w:tc>
          <w:tcPr>
            <w:tcW w:w="0" w:type="dxa"/>
            <w:vAlign w:val="bottom"/>
          </w:tcPr>
          <w:p>
            <w:pPr>
              <w:spacing w:after="0"/>
              <w:rPr>
                <w:sz w:val="1"/>
                <w:szCs w:val="1"/>
                <w:color w:val="auto"/>
              </w:rPr>
            </w:pPr>
          </w:p>
        </w:tc>
      </w:tr>
      <w:tr>
        <w:trPr>
          <w:trHeight w:val="29"/>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Basic EPS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0.16</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0.67</w:t>
            </w:r>
          </w:p>
        </w:tc>
        <w:tc>
          <w:tcPr>
            <w:tcW w:w="0" w:type="dxa"/>
            <w:vAlign w:val="bottom"/>
          </w:tcPr>
          <w:p>
            <w:pPr>
              <w:spacing w:after="0"/>
              <w:rPr>
                <w:sz w:val="1"/>
                <w:szCs w:val="1"/>
                <w:color w:val="auto"/>
              </w:rPr>
            </w:pPr>
          </w:p>
        </w:tc>
      </w:tr>
      <w:tr>
        <w:trPr>
          <w:trHeight w:val="173"/>
        </w:trPr>
        <w:tc>
          <w:tcPr>
            <w:tcW w:w="2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Diluted EPS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0.24</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(0.08)</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0.16</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(0.14)</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0.71</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(0.04)</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5006340" cy="2228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006340" cy="222885"/>
                    </a:xfrm>
                    <a:prstGeom prst="rect">
                      <a:avLst/>
                    </a:prstGeom>
                    <a:noFill/>
                  </pic:spPr>
                </pic:pic>
              </a:graphicData>
            </a:graphic>
          </wp:anchor>
        </w:drawing>
      </w:r>
    </w:p>
    <w:p>
      <w:pPr>
        <w:spacing w:after="0" w:line="18" w:lineRule="exact"/>
        <w:rPr>
          <w:sz w:val="20"/>
          <w:szCs w:val="20"/>
          <w:color w:val="auto"/>
        </w:rPr>
      </w:pPr>
    </w:p>
    <w:p>
      <w:pPr>
        <w:ind w:left="20" w:right="2579" w:firstLine="6"/>
        <w:spacing w:after="0" w:line="243" w:lineRule="auto"/>
        <w:tabs>
          <w:tab w:leader="none" w:pos="147" w:val="left"/>
        </w:tabs>
        <w:numPr>
          <w:ilvl w:val="0"/>
          <w:numId w:val="10"/>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Other Expense also reflects the reclassification of Net (Gain) Loss on Asset Sales of $(122) million, $(104) million, and $(93) million for the years ended December 31, 2022, 2023 and 2024, respectively, to conform to the current presentation.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6"/>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Nine Months Ended</w:t>
            </w:r>
          </w:p>
        </w:tc>
        <w:tc>
          <w:tcPr>
            <w:tcW w:w="140" w:type="dxa"/>
            <w:vAlign w:val="bottom"/>
          </w:tcPr>
          <w:p>
            <w:pPr>
              <w:spacing w:after="0"/>
              <w:rPr>
                <w:sz w:val="12"/>
                <w:szCs w:val="12"/>
                <w:color w:val="auto"/>
              </w:rPr>
            </w:pPr>
          </w:p>
        </w:tc>
        <w:tc>
          <w:tcPr>
            <w:tcW w:w="1580" w:type="dxa"/>
            <w:vAlign w:val="bottom"/>
            <w:gridSpan w:val="6"/>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Three Months Ended</w:t>
            </w:r>
          </w:p>
        </w:tc>
        <w:tc>
          <w:tcPr>
            <w:tcW w:w="80" w:type="dxa"/>
            <w:vAlign w:val="bottom"/>
          </w:tcPr>
          <w:p>
            <w:pPr>
              <w:spacing w:after="0"/>
              <w:rPr>
                <w:sz w:val="12"/>
                <w:szCs w:val="12"/>
                <w:color w:val="auto"/>
              </w:rPr>
            </w:pPr>
          </w:p>
        </w:tc>
        <w:tc>
          <w:tcPr>
            <w:tcW w:w="1640" w:type="dxa"/>
            <w:vAlign w:val="bottom"/>
            <w:gridSpan w:val="6"/>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Six Months Ended June 30,</w:t>
            </w:r>
          </w:p>
        </w:tc>
        <w:tc>
          <w:tcPr>
            <w:tcW w:w="80" w:type="dxa"/>
            <w:vAlign w:val="bottom"/>
          </w:tcPr>
          <w:p>
            <w:pPr>
              <w:spacing w:after="0"/>
              <w:rPr>
                <w:sz w:val="12"/>
                <w:szCs w:val="12"/>
                <w:color w:val="auto"/>
              </w:rPr>
            </w:pPr>
          </w:p>
        </w:tc>
        <w:tc>
          <w:tcPr>
            <w:tcW w:w="1620" w:type="dxa"/>
            <w:vAlign w:val="bottom"/>
            <w:gridSpan w:val="6"/>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 June</w:t>
            </w:r>
          </w:p>
        </w:tc>
        <w:tc>
          <w:tcPr>
            <w:tcW w:w="1640" w:type="dxa"/>
            <w:vAlign w:val="bottom"/>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Three Months Ended March</w:t>
            </w:r>
          </w:p>
        </w:tc>
        <w:tc>
          <w:tcPr>
            <w:tcW w:w="0" w:type="dxa"/>
            <w:vAlign w:val="bottom"/>
          </w:tcPr>
          <w:p>
            <w:pPr>
              <w:spacing w:after="0"/>
              <w:rPr>
                <w:sz w:val="1"/>
                <w:szCs w:val="1"/>
                <w:color w:val="auto"/>
              </w:rPr>
            </w:pPr>
          </w:p>
        </w:tc>
      </w:tr>
      <w:tr>
        <w:trPr>
          <w:trHeight w:val="166"/>
        </w:trPr>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6"/>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September 30, 2024</w:t>
            </w:r>
          </w:p>
        </w:tc>
        <w:tc>
          <w:tcPr>
            <w:tcW w:w="140" w:type="dxa"/>
            <w:vAlign w:val="bottom"/>
          </w:tcPr>
          <w:p>
            <w:pPr>
              <w:spacing w:after="0"/>
              <w:rPr>
                <w:sz w:val="14"/>
                <w:szCs w:val="14"/>
                <w:color w:val="auto"/>
              </w:rPr>
            </w:pPr>
          </w:p>
        </w:tc>
        <w:tc>
          <w:tcPr>
            <w:tcW w:w="1580" w:type="dxa"/>
            <w:vAlign w:val="bottom"/>
            <w:gridSpan w:val="6"/>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September 30, 2024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30, 2024</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31, 2024</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As</w:t>
            </w:r>
          </w:p>
        </w:tc>
        <w:tc>
          <w:tcPr>
            <w:tcW w:w="5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Revision</w:t>
            </w:r>
          </w:p>
        </w:tc>
        <w:tc>
          <w:tcPr>
            <w:tcW w:w="120" w:type="dxa"/>
            <w:vAlign w:val="bottom"/>
          </w:tcPr>
          <w:p>
            <w:pPr>
              <w:spacing w:after="0"/>
              <w:rPr>
                <w:sz w:val="16"/>
                <w:szCs w:val="16"/>
                <w:color w:val="auto"/>
              </w:rPr>
            </w:pPr>
          </w:p>
        </w:tc>
        <w:tc>
          <w:tcPr>
            <w:tcW w:w="5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As</w:t>
            </w:r>
          </w:p>
        </w:tc>
        <w:tc>
          <w:tcPr>
            <w:tcW w:w="140" w:type="dxa"/>
            <w:vAlign w:val="bottom"/>
          </w:tcPr>
          <w:p>
            <w:pPr>
              <w:spacing w:after="0"/>
              <w:rPr>
                <w:sz w:val="16"/>
                <w:szCs w:val="16"/>
                <w:color w:val="auto"/>
              </w:rPr>
            </w:pPr>
          </w:p>
        </w:tc>
        <w:tc>
          <w:tcPr>
            <w:tcW w:w="42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As</w:t>
            </w:r>
          </w:p>
        </w:tc>
        <w:tc>
          <w:tcPr>
            <w:tcW w:w="5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Revision</w:t>
            </w:r>
          </w:p>
        </w:tc>
        <w:tc>
          <w:tcPr>
            <w:tcW w:w="140" w:type="dxa"/>
            <w:vAlign w:val="bottom"/>
          </w:tcPr>
          <w:p>
            <w:pPr>
              <w:spacing w:after="0"/>
              <w:rPr>
                <w:sz w:val="16"/>
                <w:szCs w:val="16"/>
                <w:color w:val="auto"/>
              </w:rPr>
            </w:pPr>
          </w:p>
        </w:tc>
        <w:tc>
          <w:tcPr>
            <w:tcW w:w="4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As</w:t>
            </w:r>
          </w:p>
        </w:tc>
        <w:tc>
          <w:tcPr>
            <w:tcW w:w="80" w:type="dxa"/>
            <w:vAlign w:val="bottom"/>
          </w:tcPr>
          <w:p>
            <w:pPr>
              <w:spacing w:after="0"/>
              <w:rPr>
                <w:sz w:val="16"/>
                <w:szCs w:val="16"/>
                <w:color w:val="auto"/>
              </w:rPr>
            </w:pPr>
          </w:p>
        </w:tc>
        <w:tc>
          <w:tcPr>
            <w:tcW w:w="46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As</w:t>
            </w:r>
          </w:p>
        </w:tc>
        <w:tc>
          <w:tcPr>
            <w:tcW w:w="5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Revision</w:t>
            </w:r>
          </w:p>
        </w:tc>
        <w:tc>
          <w:tcPr>
            <w:tcW w:w="140" w:type="dxa"/>
            <w:vAlign w:val="bottom"/>
          </w:tcPr>
          <w:p>
            <w:pPr>
              <w:spacing w:after="0"/>
              <w:rPr>
                <w:sz w:val="16"/>
                <w:szCs w:val="16"/>
                <w:color w:val="auto"/>
              </w:rPr>
            </w:pPr>
          </w:p>
        </w:tc>
        <w:tc>
          <w:tcPr>
            <w:tcW w:w="5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As</w:t>
            </w:r>
          </w:p>
        </w:tc>
        <w:tc>
          <w:tcPr>
            <w:tcW w:w="80" w:type="dxa"/>
            <w:vAlign w:val="bottom"/>
          </w:tcPr>
          <w:p>
            <w:pPr>
              <w:spacing w:after="0"/>
              <w:rPr>
                <w:sz w:val="16"/>
                <w:szCs w:val="16"/>
                <w:color w:val="auto"/>
              </w:rPr>
            </w:pPr>
          </w:p>
        </w:tc>
        <w:tc>
          <w:tcPr>
            <w:tcW w:w="46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As</w:t>
            </w: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Revision</w:t>
            </w:r>
          </w:p>
        </w:tc>
        <w:tc>
          <w:tcPr>
            <w:tcW w:w="140" w:type="dxa"/>
            <w:vAlign w:val="bottom"/>
          </w:tcPr>
          <w:p>
            <w:pPr>
              <w:spacing w:after="0"/>
              <w:rPr>
                <w:sz w:val="16"/>
                <w:szCs w:val="16"/>
                <w:color w:val="auto"/>
              </w:rPr>
            </w:pPr>
          </w:p>
        </w:tc>
        <w:tc>
          <w:tcPr>
            <w:tcW w:w="4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As</w:t>
            </w:r>
          </w:p>
        </w:tc>
        <w:tc>
          <w:tcPr>
            <w:tcW w:w="140" w:type="dxa"/>
            <w:vAlign w:val="bottom"/>
          </w:tcPr>
          <w:p>
            <w:pPr>
              <w:spacing w:after="0"/>
              <w:rPr>
                <w:sz w:val="16"/>
                <w:szCs w:val="16"/>
                <w:color w:val="auto"/>
              </w:rPr>
            </w:pPr>
          </w:p>
        </w:tc>
        <w:tc>
          <w:tcPr>
            <w:tcW w:w="42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As</w:t>
            </w: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Revision</w:t>
            </w:r>
          </w:p>
        </w:tc>
        <w:tc>
          <w:tcPr>
            <w:tcW w:w="140" w:type="dxa"/>
            <w:vAlign w:val="bottom"/>
          </w:tcPr>
          <w:p>
            <w:pPr>
              <w:spacing w:after="0"/>
              <w:rPr>
                <w:sz w:val="16"/>
                <w:szCs w:val="16"/>
                <w:color w:val="auto"/>
              </w:rPr>
            </w:pPr>
          </w:p>
        </w:tc>
        <w:tc>
          <w:tcPr>
            <w:tcW w:w="40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As</w:t>
            </w:r>
          </w:p>
        </w:tc>
        <w:tc>
          <w:tcPr>
            <w:tcW w:w="0" w:type="dxa"/>
            <w:vAlign w:val="bottom"/>
          </w:tcPr>
          <w:p>
            <w:pPr>
              <w:spacing w:after="0"/>
              <w:rPr>
                <w:sz w:val="1"/>
                <w:szCs w:val="1"/>
                <w:color w:val="auto"/>
              </w:rPr>
            </w:pPr>
          </w:p>
        </w:tc>
      </w:tr>
      <w:tr>
        <w:trPr>
          <w:trHeight w:val="166"/>
        </w:trPr>
        <w:tc>
          <w:tcPr>
            <w:tcW w:w="2660" w:type="dxa"/>
            <w:vAlign w:val="bottom"/>
          </w:tcPr>
          <w:p>
            <w:pPr>
              <w:spacing w:after="0"/>
              <w:rPr>
                <w:sz w:val="14"/>
                <w:szCs w:val="14"/>
                <w:color w:val="auto"/>
              </w:rPr>
            </w:pP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w w:val="96"/>
              </w:rPr>
              <w:t>Reported</w:t>
            </w:r>
          </w:p>
        </w:tc>
        <w:tc>
          <w:tcPr>
            <w:tcW w:w="540" w:type="dxa"/>
            <w:vAlign w:val="bottom"/>
            <w:gridSpan w:val="2"/>
            <w:vMerge w:val="continue"/>
          </w:tcPr>
          <w:p>
            <w:pPr>
              <w:spacing w:after="0"/>
              <w:rPr>
                <w:sz w:val="14"/>
                <w:szCs w:val="14"/>
                <w:color w:val="auto"/>
              </w:rPr>
            </w:pPr>
          </w:p>
        </w:tc>
        <w:tc>
          <w:tcPr>
            <w:tcW w:w="62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Revised</w:t>
            </w: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9"/>
              </w:rPr>
              <w:t>Reported</w:t>
            </w:r>
          </w:p>
        </w:tc>
        <w:tc>
          <w:tcPr>
            <w:tcW w:w="540" w:type="dxa"/>
            <w:vAlign w:val="bottom"/>
            <w:gridSpan w:val="2"/>
            <w:vMerge w:val="continue"/>
          </w:tcPr>
          <w:p>
            <w:pPr>
              <w:spacing w:after="0"/>
              <w:rPr>
                <w:sz w:val="14"/>
                <w:szCs w:val="14"/>
                <w:color w:val="auto"/>
              </w:rPr>
            </w:pPr>
          </w:p>
        </w:tc>
        <w:tc>
          <w:tcPr>
            <w:tcW w:w="62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Revised</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6"/>
              </w:rPr>
              <w:t>Reported</w:t>
            </w:r>
          </w:p>
        </w:tc>
        <w:tc>
          <w:tcPr>
            <w:tcW w:w="540" w:type="dxa"/>
            <w:vAlign w:val="bottom"/>
            <w:gridSpan w:val="2"/>
            <w:vMerge w:val="continue"/>
          </w:tcPr>
          <w:p>
            <w:pPr>
              <w:spacing w:after="0"/>
              <w:rPr>
                <w:sz w:val="14"/>
                <w:szCs w:val="14"/>
                <w:color w:val="auto"/>
              </w:rPr>
            </w:pPr>
          </w:p>
        </w:tc>
        <w:tc>
          <w:tcPr>
            <w:tcW w:w="64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2"/>
              </w:rPr>
              <w:t>Revised</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6"/>
              </w:rPr>
              <w:t>Reported</w:t>
            </w:r>
          </w:p>
        </w:tc>
        <w:tc>
          <w:tcPr>
            <w:tcW w:w="540" w:type="dxa"/>
            <w:vAlign w:val="bottom"/>
            <w:gridSpan w:val="2"/>
            <w:vMerge w:val="continue"/>
          </w:tcPr>
          <w:p>
            <w:pPr>
              <w:spacing w:after="0"/>
              <w:rPr>
                <w:sz w:val="14"/>
                <w:szCs w:val="14"/>
                <w:color w:val="auto"/>
              </w:rPr>
            </w:pPr>
          </w:p>
        </w:tc>
        <w:tc>
          <w:tcPr>
            <w:tcW w:w="62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Revised</w:t>
            </w: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w w:val="96"/>
              </w:rPr>
              <w:t>Reported</w:t>
            </w:r>
          </w:p>
        </w:tc>
        <w:tc>
          <w:tcPr>
            <w:tcW w:w="540" w:type="dxa"/>
            <w:vAlign w:val="bottom"/>
            <w:gridSpan w:val="2"/>
            <w:vMerge w:val="continue"/>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Revised</w:t>
            </w:r>
          </w:p>
        </w:tc>
        <w:tc>
          <w:tcPr>
            <w:tcW w:w="0" w:type="dxa"/>
            <w:vAlign w:val="bottom"/>
          </w:tcPr>
          <w:p>
            <w:pPr>
              <w:spacing w:after="0"/>
              <w:rPr>
                <w:sz w:val="1"/>
                <w:szCs w:val="1"/>
                <w:color w:val="auto"/>
              </w:rPr>
            </w:pPr>
          </w:p>
        </w:tc>
      </w:tr>
      <w:tr>
        <w:trPr>
          <w:trHeight w:val="29"/>
        </w:trPr>
        <w:tc>
          <w:tcPr>
            <w:tcW w:w="2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Goods Sold</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11,231</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3,882</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7,337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7,349</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3,627</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3,722</w:t>
            </w:r>
          </w:p>
        </w:tc>
        <w:tc>
          <w:tcPr>
            <w:tcW w:w="0" w:type="dxa"/>
            <w:vAlign w:val="bottom"/>
          </w:tcPr>
          <w:p>
            <w:pPr>
              <w:spacing w:after="0"/>
              <w:rPr>
                <w:sz w:val="1"/>
                <w:szCs w:val="1"/>
                <w:color w:val="auto"/>
              </w:rPr>
            </w:pPr>
          </w:p>
        </w:tc>
      </w:tr>
      <w:tr>
        <w:trPr>
          <w:trHeight w:val="203"/>
        </w:trPr>
        <w:tc>
          <w:tcPr>
            <w:tcW w:w="2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Other Expense </w:t>
            </w:r>
            <w:r>
              <w:rPr>
                <w:rFonts w:ascii="Times New Roman" w:cs="Times New Roman" w:eastAsia="Times New Roman" w:hAnsi="Times New Roman"/>
                <w:sz w:val="16"/>
                <w:szCs w:val="16"/>
                <w:color w:val="auto"/>
                <w:vertAlign w:val="superscript"/>
              </w:rPr>
              <w:t>(1)</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8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tcPr>
          <w:p>
            <w:pPr>
              <w:spacing w:after="0"/>
              <w:rPr>
                <w:sz w:val="17"/>
                <w:szCs w:val="17"/>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00" w:type="dxa"/>
            <w:vAlign w:val="bottom"/>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183"/>
        </w:trPr>
        <w:tc>
          <w:tcPr>
            <w:tcW w:w="2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Income (Loss)</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0" w:type="dxa"/>
            <w:vAlign w:val="bottom"/>
          </w:tcPr>
          <w:p>
            <w:pPr>
              <w:spacing w:after="0"/>
              <w:rPr>
                <w:sz w:val="1"/>
                <w:szCs w:val="1"/>
                <w:color w:val="auto"/>
              </w:rPr>
            </w:pPr>
          </w:p>
        </w:tc>
      </w:tr>
      <w:tr>
        <w:trPr>
          <w:trHeight w:val="173"/>
        </w:trPr>
        <w:tc>
          <w:tcPr>
            <w:tcW w:w="2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Minority Shareholders’ Net Income (Loss)</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5"/>
                <w:szCs w:val="15"/>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5"/>
                <w:szCs w:val="15"/>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5"/>
                <w:szCs w:val="1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5"/>
                <w:szCs w:val="15"/>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9"/>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Goodyear Net Income (Loss)</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0" w:type="dxa"/>
            <w:vAlign w:val="bottom"/>
          </w:tcPr>
          <w:p>
            <w:pPr>
              <w:spacing w:after="0"/>
              <w:rPr>
                <w:sz w:val="1"/>
                <w:szCs w:val="1"/>
                <w:color w:val="auto"/>
              </w:rPr>
            </w:pPr>
          </w:p>
        </w:tc>
      </w:tr>
      <w:tr>
        <w:trPr>
          <w:trHeight w:val="173"/>
        </w:trPr>
        <w:tc>
          <w:tcPr>
            <w:tcW w:w="26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Comprehensive Income (Loss)</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tcPr>
          <w:p>
            <w:pPr>
              <w:spacing w:after="0"/>
              <w:rPr>
                <w:sz w:val="15"/>
                <w:szCs w:val="15"/>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80" w:type="dxa"/>
            <w:vAlign w:val="bottom"/>
          </w:tcPr>
          <w:p>
            <w:pPr>
              <w:spacing w:after="0"/>
              <w:rPr>
                <w:sz w:val="15"/>
                <w:szCs w:val="15"/>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5"/>
                <w:szCs w:val="1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80" w:type="dxa"/>
            <w:vAlign w:val="bottom"/>
          </w:tcPr>
          <w:p>
            <w:pPr>
              <w:spacing w:after="0"/>
              <w:rPr>
                <w:sz w:val="15"/>
                <w:szCs w:val="15"/>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0" w:type="dxa"/>
            <w:vAlign w:val="bottom"/>
          </w:tcPr>
          <w:p>
            <w:pPr>
              <w:spacing w:after="0"/>
              <w:rPr>
                <w:sz w:val="1"/>
                <w:szCs w:val="1"/>
                <w:color w:val="auto"/>
              </w:rPr>
            </w:pPr>
          </w:p>
        </w:tc>
      </w:tr>
      <w:tr>
        <w:trPr>
          <w:trHeight w:val="29"/>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Comprehensive Income (Loss) Attributable to</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Minority Shareholders</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73"/>
        </w:trPr>
        <w:tc>
          <w:tcPr>
            <w:tcW w:w="26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Goodyear Comprehensive Income (Loss)</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tcPr>
          <w:p>
            <w:pPr>
              <w:spacing w:after="0"/>
              <w:rPr>
                <w:sz w:val="15"/>
                <w:szCs w:val="15"/>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tcPr>
          <w:p>
            <w:pPr>
              <w:spacing w:after="0"/>
              <w:rPr>
                <w:sz w:val="15"/>
                <w:szCs w:val="15"/>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5"/>
                <w:szCs w:val="1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80" w:type="dxa"/>
            <w:vAlign w:val="bottom"/>
          </w:tcPr>
          <w:p>
            <w:pPr>
              <w:spacing w:after="0"/>
              <w:rPr>
                <w:sz w:val="15"/>
                <w:szCs w:val="15"/>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0" w:type="dxa"/>
            <w:vAlign w:val="bottom"/>
          </w:tcPr>
          <w:p>
            <w:pPr>
              <w:spacing w:after="0"/>
              <w:rPr>
                <w:sz w:val="1"/>
                <w:szCs w:val="1"/>
                <w:color w:val="auto"/>
              </w:rPr>
            </w:pPr>
          </w:p>
        </w:tc>
      </w:tr>
      <w:tr>
        <w:trPr>
          <w:trHeight w:val="29"/>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Basic EPS</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(0.09)</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(0.13)</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0.04</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0.28</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(0.24)</w:t>
            </w:r>
          </w:p>
        </w:tc>
        <w:tc>
          <w:tcPr>
            <w:tcW w:w="0" w:type="dxa"/>
            <w:vAlign w:val="bottom"/>
          </w:tcPr>
          <w:p>
            <w:pPr>
              <w:spacing w:after="0"/>
              <w:rPr>
                <w:sz w:val="1"/>
                <w:szCs w:val="1"/>
                <w:color w:val="auto"/>
              </w:rPr>
            </w:pPr>
          </w:p>
        </w:tc>
      </w:tr>
      <w:tr>
        <w:trPr>
          <w:trHeight w:val="173"/>
        </w:trPr>
        <w:tc>
          <w:tcPr>
            <w:tcW w:w="2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Diluted EPS</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(0.02)</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(0.07)</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(0.09)</w:t>
            </w:r>
          </w:p>
        </w:tc>
        <w:tc>
          <w:tcPr>
            <w:tcW w:w="80" w:type="dxa"/>
            <w:vAlign w:val="bottom"/>
          </w:tcPr>
          <w:p>
            <w:pPr>
              <w:spacing w:after="0"/>
              <w:rPr>
                <w:sz w:val="15"/>
                <w:szCs w:val="15"/>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(0.12)</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(0.13)</w:t>
            </w:r>
          </w:p>
        </w:tc>
        <w:tc>
          <w:tcPr>
            <w:tcW w:w="80" w:type="dxa"/>
            <w:vAlign w:val="bottom"/>
          </w:tcPr>
          <w:p>
            <w:pPr>
              <w:spacing w:after="0"/>
              <w:rPr>
                <w:sz w:val="15"/>
                <w:szCs w:val="15"/>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0.10</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(0.06)</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0.04</w:t>
            </w:r>
          </w:p>
        </w:tc>
        <w:tc>
          <w:tcPr>
            <w:tcW w:w="100" w:type="dxa"/>
            <w:vAlign w:val="bottom"/>
          </w:tcPr>
          <w:p>
            <w:pPr>
              <w:spacing w:after="0"/>
              <w:rPr>
                <w:sz w:val="15"/>
                <w:szCs w:val="1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0.30</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(0.02)</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0.28</w:t>
            </w:r>
          </w:p>
        </w:tc>
        <w:tc>
          <w:tcPr>
            <w:tcW w:w="80" w:type="dxa"/>
            <w:vAlign w:val="bottom"/>
          </w:tcPr>
          <w:p>
            <w:pPr>
              <w:spacing w:after="0"/>
              <w:rPr>
                <w:sz w:val="15"/>
                <w:szCs w:val="15"/>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(0.20)</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(0.04)</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080885" cy="2228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080885" cy="222885"/>
                    </a:xfrm>
                    <a:prstGeom prst="rect">
                      <a:avLst/>
                    </a:prstGeom>
                    <a:noFill/>
                  </pic:spPr>
                </pic:pic>
              </a:graphicData>
            </a:graphic>
          </wp:anchor>
        </w:drawing>
      </w:r>
    </w:p>
    <w:p>
      <w:pPr>
        <w:spacing w:after="0" w:line="18" w:lineRule="exact"/>
        <w:rPr>
          <w:sz w:val="20"/>
          <w:szCs w:val="20"/>
          <w:color w:val="auto"/>
        </w:rPr>
      </w:pPr>
    </w:p>
    <w:p>
      <w:pPr>
        <w:ind w:left="20" w:right="340" w:firstLine="6"/>
        <w:spacing w:after="0" w:line="243" w:lineRule="auto"/>
        <w:tabs>
          <w:tab w:leader="none" w:pos="147" w:val="left"/>
        </w:tabs>
        <w:numPr>
          <w:ilvl w:val="0"/>
          <w:numId w:val="11"/>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Other Expense also reflects the reclassification of Net (Gain) Loss on Asset Sales of $2 million, $(96) million and $(1) million for the three months ended March 31, 2024, June 30, 2024, and September 30, 2024, respectively, $(94) million for the six months ended June 30, 2024, and $(95) million for the nine months ended September 30, 2024, to conform to the current presentation.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Impacts to Consolidated Balance Sheets and Statements of Shareholders' Equity (in millions)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w w:val="97"/>
              </w:rPr>
              <w:t>December 31, 2024</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w w:val="97"/>
              </w:rPr>
              <w:t>December 31, 2023</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9"/>
        </w:trPr>
        <w:tc>
          <w:tcPr>
            <w:tcW w:w="1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03"/>
        </w:trPr>
        <w:tc>
          <w:tcPr>
            <w:tcW w:w="17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As Reported</w:t>
            </w:r>
          </w:p>
        </w:tc>
        <w:tc>
          <w:tcPr>
            <w:tcW w:w="22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shd w:val="clear" w:color="auto" w:fill="CFF0FC"/>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Revision</w:t>
            </w:r>
          </w:p>
        </w:tc>
        <w:tc>
          <w:tcPr>
            <w:tcW w:w="16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CFF0FC"/>
            </w:tcBorders>
            <w:gridSpan w:val="2"/>
            <w:shd w:val="clear" w:color="auto" w:fill="CFF0FC"/>
          </w:tcPr>
          <w:p>
            <w:pPr>
              <w:ind w:left="60"/>
              <w:spacing w:after="0"/>
              <w:rPr>
                <w:sz w:val="20"/>
                <w:szCs w:val="20"/>
                <w:color w:val="auto"/>
              </w:rPr>
            </w:pPr>
            <w:r>
              <w:rPr>
                <w:rFonts w:ascii="Times New Roman" w:cs="Times New Roman" w:eastAsia="Times New Roman" w:hAnsi="Times New Roman"/>
                <w:sz w:val="13"/>
                <w:szCs w:val="13"/>
                <w:b w:val="1"/>
                <w:bCs w:val="1"/>
                <w:color w:val="auto"/>
              </w:rPr>
              <w:t>As Revised</w:t>
            </w:r>
          </w:p>
        </w:tc>
        <w:tc>
          <w:tcPr>
            <w:tcW w:w="14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As Reported</w:t>
            </w:r>
          </w:p>
        </w:tc>
        <w:tc>
          <w:tcPr>
            <w:tcW w:w="20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shd w:val="clear" w:color="auto" w:fill="CFF0FC"/>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Revision</w:t>
            </w:r>
          </w:p>
        </w:tc>
        <w:tc>
          <w:tcPr>
            <w:tcW w:w="16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As Revised</w:t>
            </w:r>
          </w:p>
        </w:tc>
      </w:tr>
      <w:tr>
        <w:trPr>
          <w:trHeight w:val="167"/>
        </w:trPr>
        <w:tc>
          <w:tcPr>
            <w:tcW w:w="17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Inventories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3,597</w:t>
            </w:r>
          </w:p>
        </w:tc>
        <w:tc>
          <w:tcPr>
            <w:tcW w:w="2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6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3,554</w:t>
            </w:r>
          </w:p>
        </w:tc>
        <w:tc>
          <w:tcPr>
            <w:tcW w:w="8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3,698</w:t>
            </w:r>
          </w:p>
        </w:tc>
        <w:tc>
          <w:tcPr>
            <w:tcW w:w="2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6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3,671</w:t>
            </w:r>
          </w:p>
        </w:tc>
      </w:tr>
      <w:tr>
        <w:trPr>
          <w:trHeight w:val="29"/>
        </w:trPr>
        <w:tc>
          <w:tcPr>
            <w:tcW w:w="1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83"/>
        </w:trPr>
        <w:tc>
          <w:tcPr>
            <w:tcW w:w="17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Total Current Assets</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7,632</w:t>
            </w:r>
          </w:p>
        </w:tc>
        <w:tc>
          <w:tcPr>
            <w:tcW w:w="2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6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7,589</w:t>
            </w:r>
          </w:p>
        </w:tc>
        <w:tc>
          <w:tcPr>
            <w:tcW w:w="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7,650</w:t>
            </w:r>
          </w:p>
        </w:tc>
        <w:tc>
          <w:tcPr>
            <w:tcW w:w="2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6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7,623</w:t>
            </w:r>
          </w:p>
        </w:tc>
      </w:tr>
      <w:tr>
        <w:trPr>
          <w:trHeight w:val="173"/>
        </w:trPr>
        <w:tc>
          <w:tcPr>
            <w:tcW w:w="1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20,964</w:t>
            </w:r>
          </w:p>
        </w:tc>
        <w:tc>
          <w:tcPr>
            <w:tcW w:w="2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20,921</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21,582</w:t>
            </w:r>
          </w:p>
        </w:tc>
        <w:tc>
          <w:tcPr>
            <w:tcW w:w="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21,555</w:t>
            </w:r>
          </w:p>
        </w:tc>
      </w:tr>
      <w:tr>
        <w:trPr>
          <w:trHeight w:val="29"/>
        </w:trPr>
        <w:tc>
          <w:tcPr>
            <w:tcW w:w="1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83"/>
        </w:trPr>
        <w:tc>
          <w:tcPr>
            <w:tcW w:w="17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Accounts Payable — Trade</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4,052</w:t>
            </w:r>
          </w:p>
        </w:tc>
        <w:tc>
          <w:tcPr>
            <w:tcW w:w="2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6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4,092</w:t>
            </w:r>
          </w:p>
        </w:tc>
        <w:tc>
          <w:tcPr>
            <w:tcW w:w="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4,326</w:t>
            </w:r>
          </w:p>
        </w:tc>
        <w:tc>
          <w:tcPr>
            <w:tcW w:w="2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6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4,357</w:t>
            </w:r>
          </w:p>
        </w:tc>
      </w:tr>
      <w:tr>
        <w:trPr>
          <w:trHeight w:val="173"/>
        </w:trPr>
        <w:tc>
          <w:tcPr>
            <w:tcW w:w="1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7,337</w:t>
            </w:r>
          </w:p>
        </w:tc>
        <w:tc>
          <w:tcPr>
            <w:tcW w:w="2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7,377</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7,147</w:t>
            </w:r>
          </w:p>
        </w:tc>
        <w:tc>
          <w:tcPr>
            <w:tcW w:w="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7,178</w:t>
            </w:r>
          </w:p>
        </w:tc>
      </w:tr>
      <w:tr>
        <w:trPr>
          <w:trHeight w:val="29"/>
        </w:trPr>
        <w:tc>
          <w:tcPr>
            <w:tcW w:w="1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83"/>
        </w:trPr>
        <w:tc>
          <w:tcPr>
            <w:tcW w:w="17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Total Liabilities</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16,058</w:t>
            </w:r>
          </w:p>
        </w:tc>
        <w:tc>
          <w:tcPr>
            <w:tcW w:w="2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6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16,098</w:t>
            </w:r>
          </w:p>
        </w:tc>
        <w:tc>
          <w:tcPr>
            <w:tcW w:w="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16,745</w:t>
            </w:r>
          </w:p>
        </w:tc>
        <w:tc>
          <w:tcPr>
            <w:tcW w:w="2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6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16,776</w:t>
            </w:r>
          </w:p>
        </w:tc>
      </w:tr>
      <w:tr>
        <w:trPr>
          <w:trHeight w:val="173"/>
        </w:trPr>
        <w:tc>
          <w:tcPr>
            <w:tcW w:w="17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Retained Earnings</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5,156</w:t>
            </w:r>
          </w:p>
        </w:tc>
        <w:tc>
          <w:tcPr>
            <w:tcW w:w="2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5,081</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5,086</w:t>
            </w:r>
          </w:p>
        </w:tc>
        <w:tc>
          <w:tcPr>
            <w:tcW w:w="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5,035</w:t>
            </w:r>
          </w:p>
        </w:tc>
      </w:tr>
      <w:tr>
        <w:trPr>
          <w:trHeight w:val="29"/>
        </w:trPr>
        <w:tc>
          <w:tcPr>
            <w:tcW w:w="192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83"/>
        </w:trPr>
        <w:tc>
          <w:tcPr>
            <w:tcW w:w="192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w w:val="99"/>
              </w:rPr>
              <w:t>Goodyear Shareholders' Equity $</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4,756</w:t>
            </w:r>
          </w:p>
        </w:tc>
        <w:tc>
          <w:tcPr>
            <w:tcW w:w="2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6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4,681</w:t>
            </w:r>
          </w:p>
        </w:tc>
        <w:tc>
          <w:tcPr>
            <w:tcW w:w="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4,668</w:t>
            </w:r>
          </w:p>
        </w:tc>
        <w:tc>
          <w:tcPr>
            <w:tcW w:w="2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6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4,617</w:t>
            </w:r>
          </w:p>
        </w:tc>
      </w:tr>
      <w:tr>
        <w:trPr>
          <w:trHeight w:val="173"/>
        </w:trPr>
        <w:tc>
          <w:tcPr>
            <w:tcW w:w="17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Minority Shareholders' Equity</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2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w:t>
            </w:r>
          </w:p>
        </w:tc>
      </w:tr>
      <w:tr>
        <w:trPr>
          <w:trHeight w:val="30"/>
        </w:trPr>
        <w:tc>
          <w:tcPr>
            <w:tcW w:w="1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83"/>
        </w:trPr>
        <w:tc>
          <w:tcPr>
            <w:tcW w:w="17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Total Shareholders' Equity</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4,906</w:t>
            </w:r>
          </w:p>
        </w:tc>
        <w:tc>
          <w:tcPr>
            <w:tcW w:w="2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16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4,823</w:t>
            </w:r>
          </w:p>
        </w:tc>
        <w:tc>
          <w:tcPr>
            <w:tcW w:w="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4,837</w:t>
            </w:r>
          </w:p>
        </w:tc>
        <w:tc>
          <w:tcPr>
            <w:tcW w:w="2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16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4,779</w:t>
            </w:r>
          </w:p>
        </w:tc>
      </w:tr>
      <w:tr>
        <w:trPr>
          <w:trHeight w:val="157"/>
        </w:trPr>
        <w:tc>
          <w:tcPr>
            <w:tcW w:w="1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Liabilities and</w:t>
            </w: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4"/>
        </w:trPr>
        <w:tc>
          <w:tcPr>
            <w:tcW w:w="1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Shareholders' Equity</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20,964</w:t>
            </w:r>
          </w:p>
        </w:tc>
        <w:tc>
          <w:tcPr>
            <w:tcW w:w="2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20,921</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21,582</w:t>
            </w:r>
          </w:p>
        </w:tc>
        <w:tc>
          <w:tcPr>
            <w:tcW w:w="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right="1180"/>
        <w:spacing w:after="0" w:line="445" w:lineRule="auto"/>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OF FINANCIAL CONDITION AND RESULTS OF OPERATIONS. </w:t>
      </w:r>
      <w:r>
        <w:rPr>
          <w:rFonts w:ascii="Times New Roman" w:cs="Times New Roman" w:eastAsia="Times New Roman" w:hAnsi="Times New Roman"/>
          <w:sz w:val="18"/>
          <w:szCs w:val="18"/>
          <w:color w:val="auto"/>
        </w:rPr>
        <w:t xml:space="preserve">All per share amounts are diluted and refer to Goodyear net income (loss). </w:t>
      </w:r>
      <w:r>
        <w:rPr>
          <w:rFonts w:ascii="Times New Roman" w:cs="Times New Roman" w:eastAsia="Times New Roman" w:hAnsi="Times New Roman"/>
          <w:sz w:val="18"/>
          <w:szCs w:val="18"/>
          <w:b w:val="1"/>
          <w:bCs w:val="1"/>
          <w:u w:val="single" w:color="auto"/>
          <w:color w:val="auto"/>
        </w:rPr>
        <w:t>OVERVIEW</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Goodyear Tire &amp; Rubber Company (the "Company," "Goodyear," "we," "us" or "our") is one of the world’s leading manufacturers of tires, with one of the most recognizable brand names in the world and operations in most regions of the world. We have a broad global footprint with 53 manufacturing facilities in 20 countries, including the United States. We operate our business through three operating segments representing our regional tire businesses: Americas; Europe, Middle East and Africa (“EMEA”); and Asia Pacific.</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Results of Operations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15, 2023, we announced a transformation plan, Goodyear Forward, that is intended to optimize our portfolio of products, deliver segment operating margin expansion and reduce our leverage in order to drive sustainable, long-term shareholder value creation. Optimization of our portfolio consisted of a strategic review of three major asset groups: our chemical operations which produces synthetic rubber and other chemical products in our Americas segment, the Dunlop brand for which we own rights in certain markets throughout the world, but is primarily used in our EMEA segment, and our global off-the-road ("OTR") tire business. Our plans for margin expansion include brand optimization and tiering to capitalize on premium tire pricing and volume and a reduction of our overall exposure related to lower-tiered products either through margin expansion or product line rationalization, resulting in an expected annual run-rate benefit of approximately $200 million by the end of 2025. Our plans for margin expansion also include a reduction of our cost structure by approximately $1.3 billion by the end of 2025, including actions related to our manufacturing footprint, plant optimization, further improvement of our purchasing leverage, reduction of Selling, Administrative and General expenses (“SAG”) and improvements in our supply chain planning and logistics. During the six months ended June 30, 2025, the Goodyear Forward plan provided $395 million in benefits to segment operating income.</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3, 2025, we completed the sale of our OTR tire business to The Yokohama Rubber Company, Limited (“Yokohama”) pursuant to the terms of the Share and Asset Purchase Agreement, dated as of July 22, 2024 (the “OTR Purchase Agreement”). Yokohama acquired our OTR tire business for a purchase price of $905 million in cash, subject to certain adjustments set forth in the OTR Purchase Agreement. In conjunction with the sale of the OTR tire business, we entered into several ancillary agreements, including a trademark license agreement, whereby we license certain trademarks to Yokohama for an initial period of ten years from the date of the sale, and a product supply agreement, pursuant to which we will supply to Yokohama certain OTR tires for an initial period of up to five years, subject to the terms and conditions set forth therein, including an exit and asset relocation plan to be mutually agreed upon by the parties pursuant to which, beginning no earlier than the second anniversary of closing of the transaction, the production of those OTR tires will transition to Yokohama’s facilities. The cash received of $905 million included $185 million for deferred amounts related to the trademark license and product supply agreements that are presented in operating activities and $720 million for proceeds that are presented in investing activities on our Consolidated Statements of Cash Flows.</w:t>
      </w:r>
    </w:p>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7, 2025, we completed the sale of our rights to the Dunlop brand in Europe, North America and Oceania for consumer, commercial and other specialty tires, together with certain associated intellectual property and other intangible assets, for a purchase price of $526 million to Sumitomo Rubber Industries, Ltd. ("SRI") pursuant to the terms of the Purchase Agreement, dated as of January 7, 2025 (as amended, the "Dunlop Purchase Agreement"). SRI also paid us an up-front transition support fee of $105 million for our support in transitioning the Dunlop brand, related intellectual property and Dunlop customers to SRI. SRI also acquired our existing Dunlop tire inventory for approximately $104 million. We also entered into a number of ancillary agreements, including (a) a transition license agreement, pursuant to which we will continue to manufacture, sell and distribute Dunlop-branded consumer tires in Europe from the closing of the transaction until December 31, 2025, and during which we will pay SRI a royalty on such Dunlop sales; (b) a transition offtake agreement, pursuant to which we will sell to SRI certain Dunlop-branded consumer tire products for a period of up to five years, commencing after termination or expiration of the transition license agreement; and (c) we will license back the Dunlop brand from SRI for commercial tires in Europe on a long-term basis, subject to a royalty on sales.</w:t>
      </w:r>
    </w:p>
    <w:p>
      <w:pPr>
        <w:spacing w:after="0" w:line="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the transaction, we received gross proceeds of $735 million at closing for the Dunlop brand, related intellectual property and other intangible assets, the transition support fee and the tire inventory. We allocated $105 million of those proceeds related to the up-front transition support fee to deferred income, which will be recognized over the combined lives of the transition license and transition offtake agreements. We also allocated $86 million of those proceeds to deferred income for tire inventory in Europe that will not transfer ownership until the termination of the transition license agreement. We recognized an estimated pre-tax gain of $385 million based on the net assets sold of $133 million during the second quarter of 2025, net of transaction costs of $26 million. The deferred amounts related to the transition agreements and inventory are presented in operating activities and the $526 million purchase price is presented in investing activities on our Consolidated Statements of Cash Flows.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22, 2025, we entered into an Asset Purchase Agreement (the “Chemical Purchase Agreement”) with G-3 Chickadee Purchaser, LLC, a Delaware limited liability company (the “Purchaser”). Pursuant to the Chemical Purchase Agreement and upon the terms and subject to the conditions set forth therein, we have agreed to sell to the Purchaser, and the Purchaser has agreed to acquire from us, the polymer chemicals business of the Company (the “Chemical Business”) for a purchase price of approximately $650 million in cash, subject to certain adjustments. The assets to be acquired, and the liabilities to be assumed, by the Purchaser are generally those primarily related to the Chemical Business, including our chemical plants in Houston, Texas and Beaumont, Texas and a research and development facility in Akron, Ohio. The closing of the transaction is subject to the satisfaction of customary closing conditions.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first quarter of 2025, we reached an agreement with the United Steelworkers and approved a rationalization plan to eliminate our production of commercial tires in our Danville, Virginia tire manufacturing facility ("Danville") in order to reduce our production cost per tire in Americas. The plan includes approximately 850 job reductions, including associates and contracted positions. Danville will continue to produce aviation tires and conduct mixing operations. We expect to substantially complete this rationalization plan by the end of 2025.</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second quarter of 2025, we approved a proposed plan to close our manufacturing facility in Kariega, South Africa in the EMEA business unit ("Kariega"). The plan includes approximately 900 job reductions, including associates and contracted positions, and is expected to be substantially complete by the end of 2025. The rationalization plan remains subject to consultation with employee representative bodies.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results for the second quarter of 2025 include a 5.3% decrease in tire unit shipments compared to 2024 due to lower global tire volume. In the second quarter of 2025, we experienced approximately $55 million of inflationary cost pressures.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sales in the second quarter of 2025 were $4,465 million, compared to $4,570 million in the second quarter of 2024. Net sales decreased in 2025 primarily due to lower global tire volume and the impacts of our divestitures, primarily from the sale of the OTR tire business. These decreases were partially offset by global increases in price and product mix, higher sales in other tire-related businesses, primarily due to growth in Fleet Solutions in EMEA, higher retread sales in EMEA and Americas and higher global aviation sales, and benefits from the Goodyear Forward plan.</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second quarter of 2025, Goodyear net income was $254 million, or $0.88 per share, compared to Goodyear net income of $79 million, or $0.28 per share, in the second quarter of 2024. The change in Goodyear net income was primarily due a gain on the sale of the Dunlop brand and lower interest expense, partially offset by lower segment operating income and higher rationalization charges.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Total segment operating income for the second quarter of 2025 was $159 million, compared to $334 million in the second quarter of 2024. The $175 million decrease was primarily due to higher raw material costs of $174 million, increased conversion costs of $90 million, driven by the effect of lower tire production on fixed cost absorption and inflation, a net benefit from insurance recoveries in 2024 of $63 million, higher SAG of $54 million when excluding Goodyear Forward savings, lower tire volume of $37 million, and the impact of the sale of the OTR tire business of $23 million. These decreases were partially offset by benefits from the Goodyear Forward plan of $195 million and benefits from price and product mix of $91 million. Refer to "Results of Operations — Segment Information" for additional information.</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sales in the first six months of 2025 were $8,718 million, compared to $9,107 million in the first six months of 2024. Net sales decreased in 2025 primarily due to lower global tire volume, the impacts of our divestitures, primarily from the sale of the OTR tire business, and the negative impact of changes in foreign exchange rates globally. These decreases were partially offset by favorable price and product mix, higher sales in other tire-related businesses, primarily due to growth in Fleet Solutions in EMEA and higher retread sales in EMEA and Americas, and benefits from the Goodyear Forward plan.</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first six months of 2025, Goodyear net income was $369 million, or $1.28 per share, compared to Goodyear net income of $10 million, or $0.04 per share, in the first six months of 2024. The change in Goodyear net income was primarily due to gains on the sales of the OTR tire business and the Dunlop brand and lower interest expense, partially offset by higher rationalization charges and lower segment operating income.</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Total segment operating income for the first six months of 2025 was $354 million, compared to $574 million in the first six months of 2024. The $220 million decrease was primarily due to higher raw material costs of $352 million, increased conversion costs of $105 million, driven by the effect of lower tire production on fixed cost absorption, higher SAG of $97 million when excluding Goodyear Forward savings, lower tire volume of $70 million, higher transportation costs of $48 million, the impact of the sale of the OTR tire business of $35 million, $32 million related to net insurance recoveries received in 2024 related to the Debica fire, a benefit of $20 million in 2024 from insurance proceeds for business interruptions resulting from storm damage events in prior years, and the negative impact of changes in foreign exchange rates globally of $17 million. These decreases were partially offset by benefits from the Goodyear Forward plan of $395 million and global improvements in price and product mix of $159 million. Refer to "Results of Operations —Segment Information" for additional information.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Liquidity</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May 19, 2025, we amended and restated our first lien revolving credit facility. The principal change to the facility was the extension of its maturity from 2026 to 2030.</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3, 2025, we issued $500 million in aggregate principal amount of 6.625% senior notes due 2030.</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30, 2025, we redeemed $400 million and, on July 3, 2025, we redeemed the remaining $500 million of our 5% senior notes due 2026 at redemption prices equal to 100% of the principal amount redeemed plus accrued and unpaid interest, using the net proceeds from the 6.625% senior notes due 2030, together with cash and cash equivalents.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June 30, 2025, we had $785 million of cash and cash equivalents as well as $3,158 million of unused availability under our various credit agreements, compared to $810 million and $3,555 million, respectively, at December 31, 2024. The decrease in cash and cash equivalents of $25 million was primarily due to cash used for operating activities of $718 million, capital expenditures of $466 million and net debt repayments of $112 million, partially offset by cash provided by the sales of the OTR tire business and the Dunlop brand, as well as other asset dispositions, of $1,328 million. Net cash used for operating activities reflects cash used for working capital of $1,069 million, rationalization payments of $204 million, and pension contributions and direct payments of $53 million, partially offset by deferred income related to divestitures of $376 million, as well as the Company's net income for the period of $399 million, which includes non-cash gains on asset sales of $701 million and non-cash charges for depreciation and amortization of $544 million. Refer to "Liquidity and Capital Resources" for additional information.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Outlook</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the third quarter of 2025, we expect our global tire unit volume to decline approximately 5% compared to the third quarter of 2024 driven by global OE volume reductions and lower consumer replacement volume. We also expect unabsorbed overhead to be approximately $50 million higher in the third quarter of 2025 compared to the third quarter of 2024 due to lower production in the second quarter of 2025.</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continue progress on our Goodyear Forward transformation plan in 2025, with third quarter of 2025 benefits from the program of approximately $180 million and full year benefits of approximately $750 million in segment operating income. The expected impact of the sale of the OTR tire business on our segment operating income is approximately $10 million in the third quarter of 2025.</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expect our raw material costs to increase approximately $50 million in the third quarter of 2025 compared to the third quarter of 2024, driven by natural rubber. These raw material cost increases are expected to be offset by approximately $100 million of price and product mix improvements, driven by previously implemented pricing actions and customer contracts indexed to changes in raw materials. Natural and synthetic rubber prices and other commodity prices historically have been volatile, and our raw materials costs could change based on future cost fluctuations and changes in foreign exchange rates. We continue to focus on price and product mix, to substitute lower cost materials where possible, to identify additional substitution opportunities, to reduce the amount of material required in each tire, and to pursue alternative raw materials to minimize the impact of higher raw material costs.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non-raw material inflation and other costs to be approximately $180 million higher in the third quarter of 2025 compared to the third quarter of 2024. These costs include the impact of inflation, tariffs, increased transportation costs and other manufacturing costs including costs associated with announced rationalization plans. We continue to focus on actions to offset costs other than raw materials through cost savings initiatives, including initiatives related to the Goodyear Forward plan, rationalization actions and improvements in price and product mix.</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full year of 2025, we expect working capital to be neither a source nor use of cash. We anticipate our capital expenditures to be approximately $900 million. We anticipate our cash flows will include rationalization payments of approximately $400 million, as we continue to implement elements of our Goodyear Forward plan to improve our cost structure.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Refer to "Item 1A. Risk Factors" in the 2024 Form 10-K for a discussion of the factors that may impact our business, results of operations, financial condition or liquidity and "Forward-Looking Information — Safe Harbor Statement" in this Quarterly Report on Form 10-Q for a discussion of our use of forward-looking statements.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2025 and 2024</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in the second quarter of 2025 were $4,465 million, decreasing $105 million, or 2.3%, from $4,570 million in the second quarter of 2024. Goodyear net income was $254 million, or $0.87 per share, in the second quarter of 2025, compared to Goodyear net income of $79 million, or $0.28 per share, in the second quarter of 2024.</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sales decreased in the second quarter of 2025 primarily due to lower global tire volume of $157 million and the impacts of the sale of the OTR tire business of $149 million, excluding product supply agreement revenue of $82 million, and the sale of the Dunlop brand of $16 million. These decreases were partially offset by global improvements in price and product mix of $93 million, higher sales in other tire-related businesses of $35 million, primarily due to growth in Fleet Solutions in EMEA, higher retread sales in EMEA and Americas and higher global aviation sales, and benefits from the Goodyear Forward plan of $16 million.</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Worldwide tire unit sales in the second quarter of 2025 were 37.9 million units, decreasing 2.2 million units, or 5.3%, from 40.1 million units in the second quarter of 2024. Replacement tire volume decreased globally by 1.8 million units, or 6.1%. OE tire volume decreased by 0.4 million units, or 3.5%, driven by Asia Pacific.</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Cost of Goods Sold ("CGS") in the second quarter of 2025 was $3,705 million, increasing $78 million, or 2.2%, from $3,627 million in the second quarter of 2024. CGS increased primarily due to higher raw material costs of $174 million, higher conversion costs of $90 million, higher costs in other tire-related businesses of $40 million, primarily related to Fleet Solutions in EMEA, $12 million of other costs, primarily related to transportation, and an increase in accelerated depreciation and asset write-offs of $7 million ($11 million after-tax and minority). These increases were partially offset by savings related to the Goodyear Forward plan of $147 million, lower tire volume of $120 million, and benefits related to divestitures, primarily the sale of the OTR tire business, of $47 million. CGS in the second quarter of 2024 included a net benefit from insurance recoveries related to the Debica fire of $43 million ($30 million after-tax and minority), a benefit of $20 million ($15 million after-tax and minority) from insurance proceeds for property damage and business interruptions resulting from storm damage events in prior years and a $3 million ($3 million after-tax and minority) charge related to a flood in South Africa.</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CGS in the second quarter of 2025 and 2024 included pension expense of $4 million for each period. CGS in the second quarter of 2025 included $5 million of incremental savings from rationalization plans. CGS was 83.0% of sales in the second quarter of 2025, compared to 79.4% in the second quarter of 2024.</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SAG in the second quarter of 2025 was $692 million, decreasing $39 million, or 5.3%, from $731 million in the second quarter of 2024. SAG decreased primarily due to savings related to the Goodyear Forward plan of $31 million, benefits related to divestitures, primarily the sale of the OTR tire business, of $17 million, and a decrease in accelerated lease costs and asset write-offs of $9 million ($8 million after-tax and minority). These decreases were partially offset by an increase in other costs of $54 million, primarily related to advertising costs, inflation and non-recurring insurance. SAG in the second quarter of 2025 also included costs related to the Goodyear Forward plan of $3 million ($2 million after-tax and minority), compared to $40 million ($30 million after-tax and minority) in the second quarter of 2024, primarily related to third-party advisory, legal and consulting fees and costs associated with planned asset sales.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SAG in the second quarter of 2025 and 2024 included pension expense of $2 million for each period. SAG in the second quarter of 2025 included $10 million of incremental savings from rationalization plans. SAG was 15.5% of sales in the second quarter of 2025, compared to 16.0% in the second quarter of 2024.</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recorded net rationalization charges of $59 million ($55 million after-tax and minority) in the second quarter of 2025 and $19 million ($15 million after-tax and minority) in the second quarter of 2024. Net rationalization charges in the second quarter of 2025 primarily related to the proposed plan to close our manufacturing facility in Kariega, the elimination of commercial tire production at Danville, the closures of our Fulda, Germany tire manufacturing facility (“Fulda”) and our Fürstenwalde, Germany tire manufacturing facility (“Fürstenwalde”), and the plan to reduce SAG headcount in Americas and Corporate. Net rationalization charges in the second quarter of 2024 primarily related to the plan to open a new shared services center in Costa Rica, and the closures of Fulda, Fürstenwalde and Cooper Tire's Melksham, United Kingdom tire manufacturing facility ("Melksham"), partially offset by reversals related our rationalization and workforce reorganization plan in EMEA due to voluntary attrition. For further information, refer to Note to the Consolidated Financial Statements No. 4, Costs Associated with Rationalization Programs.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CGS and SAG in the second quarter of 2025 included $41 million ($37 million after-tax and minority) of asset write-offs, accelerated depreciation and accelerated lease charges, primarily related to the closures of Fulda and Fürstenwalde and the elimination of commercial tire production at Danville. CGS and SAG in the second quarter of 2024 included $43 million ($34 million after-tax and minority) of asset write-offs, accelerated depreciation and accelerated lease charges, primarily related to plant closures in Asia Pacific and EMEA and the exit of our retail operations in Australia and New Zealand.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Interest expense in the second quarter of 2025 was $112 million, decreasing $18 million, or 13.8%, from $130 million in the second quarter of 2024. The average interest rate was 5.65% in the second quarter of 2025 compared to 6.21% in the second quarter of 2024. The average debt balance was $7,936 million in the second quarter of 2025 compared to $8,371 million in the second quarter of 2024.</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second quarter of 2025 includes net gains on asset sales of $439 million ($393 million after-tax and minority), primarily due to an estimated gain of $385 million ($367 million after-tax and minority) on the sale of Dunlop brand and other asset sales of $54 million ($26 million after-tax and minority), compared to net gains of $96 million ($68 million after-tax and minority) in the second quarter of 2024, primarily due to the sale of distribution centers in EMEA and Americas.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(Income) Expense in the second quarter of 2025 was $31 million of expense, compared to $26 million of expense in the second quarter of 2024. The change in Other (Income) Expense was primarily due to an increase in net foreign currency exchange losses of $12 million and a decrease in interest income of $4 million, partially offset by an increase in royalty and other income of $9 million and a decrease in non-service related pension and other postretirement benefits cost of $4 million. The second quarter of 2025 includes transaction costs of $2 million ($1 million after-tax and minority), primarily related to the anticipated sale of the Chemical Business.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second quarter of 2025, we recorded income tax expense of $24 million on income before income taxes of $305 million. Income tax expense for the three months ended June 30, 2025 includes a net discrete tax benefit of $4 million ($4 million after minority interest). In the second quarter of 2024, we recorded income tax expense of $60 million on income before income taxes of $133 million.</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 taxes based on overall estimated annual effective tax rates. The difference between our effective tax rate and the U.S. statutory rate of 21% for the three months ended June 30, 2025 is favorably impacted by gains recognized as a result of the sale of the Dunlop brand, which included certain associated intellectual property and other intangible assets, in jurisdictions where no taxes are recorded, net of losses in foreign jurisdictions in which no tax benefits are recorded, and the discrete items noted above. The difference between our effective tax rate and the U.S. statutory rate of 21% for the three months ended June 30, 2024 primarily relates to losses in foreign jurisdictions in which no tax benefits are recorded.</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information regarding income taxes and the realizability of our deferred tax assets, including our foreign tax credits, refer to Note to the Consolidated Financial Statements No. 6, Income Taxes.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$27 million of minority shareholders’ net income in the second quarter of 2025, primarily related to the sale of property in Asia Pacific, compared to a $6 million loss in the second quarter of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2025 and 2024</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in the first six months of 2025 were $8,718 million, decreasing $389 million, or 4.3%, from $9,107 million in the first six months of 2024. Goodyear net income was $369 million, or $1.27 per share, in the first six months of 2025, compared to Goodyear net income of $10 million, or $0.04 per share, in the first six months of 2024.</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sales decreased in the first six months of 2025 primarily due to lower tire volume of $313 million, the impact of the sale of the OTR tire business of $255 million, excluding product supply agreement revenue of $137 million, the negative impact of changes in foreign exchange rates globally of $149 million, and the impact of the sale of the Dunlop brand of $38 million. These decreases were partially offset by favorable price and product mix of $146 million, higher sales in other tire-related businesses of $54 million, primarily due to growth in Fleet Solutions in EMEA and higher retread sales in EMEA and Americas, and benefits from the Goodyear Forward plan of $29 million.</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Worldwide tire unit sales in the first six months of 2025 were 76.4 million units, decreasing 4.1 million units, or 5.0%, from 80.5 million units in the first six months of 2024. Replacement tire volume decreased globally by 3.6 million units, or 6.2%. OE tire volume decreased by 0.5 million units, or 2.3%, driven by Asia Pacific.</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CGS in the first six months of 2025 was $7,218 million, decreasing $131 million, or 1.8%, from $7,349 million in the first six months of 2024. CGS decreased primarily due to savings related to the Goodyear Forward plan of $299 million, lower tire volume of $243 million, foreign currency translation of $114 million, benefits related to divestitures, primarily the sale of the OTR tire business, of $98 million, and lower global product mix of $13 million. These decreases were partially offset by higher raw material costs of $351 million, higher conversion costs of $105 million, other cost of $63 million, primarily due to higher transportation costs in 2025 and a benefit received in 2024 related to a reduction in U.S. duty rates on various commercial tires from China, higher costs in other tire-related businesses of $51 million, primarily related Fleet Solutions and retread in EMEA, and an increase in accelerated depreciation and asset write-offs of $7 million, primarily related to the closures of Fulda and Fürstenwalde and the elimination of commercial tire production at Danville. CGS in the first six months of 2024 included a net benefit from insurance recoveries related to the Debica fire of $29 million ($19 million after-tax and minority), a benefit of $20 million ($15 million after-tax and minority) from insurance proceeds for property damages and business interruptions resulting from storm damage events in prior years, a favorable $8 million ($6 million after-tax and minority) tax item in Brazil and a $3 million ($3 million after-tax and minority) charge related to a flood in South Africa.</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CGS in the first six months of 2025 and 2024 included pension expense of $6 million and $7 million, respectively. CGS in the first six months of 2025 included $8 million of incremental savings from rationalization plans. CGS was 82.8% of sales in the first six months of 2025, compared to 80.7% in the first six months of 2024.</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SAG in the first six months of 2025 was $1,342 million, decreasing $85 million, or 6.0%, from $1,427 million in the first six months of 2024. SAG decreased primarily due to savings related to the Goodyear Forward plan of $67 million and benefits related to divestitures, primarily the sale of the OTR tire business, of $30 million. These decreases were partially offset by an increase in other costs of $81 million, primarily related to inflation and non-recurring insurance. SAG in the first six months of 2025 also included costs related to the Goodyear Forward plan of $5 million ($4 million after-tax and minority) compared to $67 million ($51 million after-tax and minority) in the first six months of 2024, primarily related to third-party advisory, legal and consulting fees and costs associated with planned asset sales.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SAG in the first six months of 2025 and 2024 included pension expense of $5 million and $6 million, respectively. SAG in the first six months of 2025 included $19 million of incremental savings from rationalization plans. SAG was 15.4% of sales in the first six months of 2025, compared to 15.7% in the first six months of 2024.</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recorded net rationalization charges of $140 million ($119 million after-tax and minority) in the first six months of 2025 and $41 million ($31 million after-tax and minority) in the first six months of 2024. Net rationalization charges in the first six months of 2025 primarily related to the proposed plan to close our manufacturing facility in Kariega, South Africa in EMEA, the elimination of commercial tire production at Danville, the closures of Fulda and Fürstenwalde, and the plan to reduce SAG headcount in Americas and Corporate. Net rationalization charges in the first six months of 2024 primarily related to the closure of our tire manufacturing facility in Malaysia, the plan to open a new shared services center in Costa Rica, and the closures of Fulda, Fürstenwalde and Melksham, partially offset by reversals related to our rationalization and workforce reorganization plan in EMEA due to voluntary attrition. For further information, refer to Note to the Consolidated Financial Statements No. 4, Costs Associated with Rationalization Programs.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CGS and SAG in the first six months of 2025 included $87 million ($77 million after-tax and minority) of asset write-offs, accelerated depreciation and accelerated lease charges, primarily related to the closures of Fulda and Fürstenwalde and the elimination of commercial tire production at Danville. CGS and SAG in the first six months of 2024 included $94 million ($76 million after-tax and minority) of asset write offs, accelerated depreciation and accelerated lease charges, primarily related to plant closures in Asia Pacific and EMEA, closure of a development center in the U.S. and the exit of our retail operations in Australia and New Zealand.</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in the first six months of 2025 was $227 million, decreasing $29 million, or 11.3%, from $256 million in the first six months of 2024. The average interest rate was 5.73% in the first six months of 2025 compared to 6.28% in the first six months of 2024. The average debt balance was $7,923 million in the first six months of 2025 compared to $8,158 million in the first six months of 2024.</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first six months of 2025 include net gains on asset sales of $701 million ($630 million after-tax and minority), primarily due to an estimated gain of $385 million ($367 million after-tax and minority) on the sale of the Dunlop brand, an estimated gain of $260 million on the sale of the OTR tire business ($236 million after-tax and minority), and other asset sales of $56 million ($27 million after-tax and minority), compared to net gains of $94 million ($66 million after-tax and minority) in the first six months of 2024, primarily due to the sale of distribution centers in EMEA and Americas.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Other (Income) Expense in the first six months of 2025 was $56 million of expense, compared to $59 million of expense in the first six months of 2024. The change in Other (Income) Expense was primarily due to a pension settlement charge of $4 million ($3 million after-tax and minority) in the first six months of 2025 compared to a pension settlement credit of $5 million ($4 million after-tax and minority) in the first six months of 2024, a decrease in interest income of $9 million, and an increase in net foreign currency exchange losses of $2 million, partially offset by an increase in royalty and other income of $15 million. The first six months of 2025 include transaction costs of $6 million ($4 million after-tax and minority), primarily related to the anticipated sale of the Chemical Business. The first six months of 2024 included an $8 million ($6 million after-tax and minority) loss related to the sale of receivables in Argentina and a favorable $2 million ($1 million after-tax and minority) tax item in Brazil.</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first six months of 2025, we recorded income tax expense of $37 million on income before income taxes of $436 million. Income tax expense for the six months ended June 30, 2025 includes a net discrete tax benefit of $5 million ($5 million after minority interest).</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first six months of 2024, we recorded income tax expense of $66 million on income before income taxes of $69 million. Income tax expense for the six months ended June 30, 2024 includes a net discrete tax benefit of $1 million ($1 million after minority interest).</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 taxes based on overall estimated annual effective tax rates. The difference between our effective tax rate and the U.S. statutory rate of 21% for the six months ended June 30, 2025 is favorably impacted by gains recognized as a result of the sales of the OTR tire business and the Dunlop brand, which included certain associated intellectual property and other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intangible assets, in foreign jurisdictions where no taxes are recorded, net of losses in foreign jurisdictions in which no tax benefits are recorded, and the discrete items noted above. The difference between our effective tax rate and the U.S. statutory rate of 21% for the six months ended June 30, 2024 primarily relates to losses in foreign jurisdictions in which no tax benefits are recorded and the discrete items noted above.</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tax treatment for certain business provisions. We do not expect a material impact from OBBBA on our 2025 operating tax rates. We will continue to assess the impact on us as regulations develop in the future.</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Organisation for Economic Co-operation and Development ("OECD") has published the Pillar Two model rules which adopt a global corporate minimum tax of 15% for multinational enterprises with average revenue in excess of €750 million. Certain jurisdictions in which we operate enacted legislation consistent with one or more of the OECD Pillar Two model rules effective in 2024. The model rules include minimum domestic top-up taxes, income inclusion rules, and undertaxed profit rules all aimed to ensure that multinational corporations pay a minimum effective corporate tax rate of 15% in each jurisdiction in which they operate. We do not expect the Pillar Two model rules to materially impact our annual effective tax rate in 2025. However, we are continuing to evaluate the Pillar Two model rules and related legislation and their potential impact on future periods.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June 30, 2025 and December 31, 2024, we had approximately $1.4 billion and $1.3 billion, respectively, of U.S. federal, state and local net deferred tax assets, inclusive of valuation allowances totaling $36 million and $26 million, respectively, primarily for state tax loss carryforwards with limited lives. As of June 30, 2025, approximately $1.2 billion of these U.S. net deferred tax assets had unlimited lives and approximately $200 million had limited lives, and the majority do not start to expire until 2030. As of December 31, 2024, approximately $1.1 billion of these U.S. net deferred tax assets had unlimited lives and approximately $200 million had limited lives, including $24 million of foreign tax credits, and the majority do not start to expire until 2030. In the U.S., we have a cumulative loss for the three-year period ended June 30, 2025 primarily driven by non-recurring items such as rationalization charges, pension curtailments and settlements, one-time costs associated with the Goodyear Forward plan, and intangible asset impairments.</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assessing our ability to utilize our net deferred tax assets, we primarily considered objectively verifiable information, including the reduction in interest expense from debt repayment as a result of the sales of the OTR tire business and the Dunlop brand, which included certain associated intellectual property and other intangible assets, and future royalty income from foreign subsidiaries. In addition, we considered our current forecasts of future profitability in assessing our ability to realize our deferred tax assets as well as the impact of tax planning strategies. These forecasts include the impact of recent trends and various macroeconomic factors such as the impact of raw material, transportation, tariff, labor and energy costs on our profitability. Our tax planning strategies include accelerating income on cross border transactions, including sales of inventory or raw materials to our subsidiaries, reducing U.S. interest expense by, for example, repaying U.S. third-party debt and reducing intercompany loans through repatriating current year earnings of foreign subsidiaries, repatriation of certain foreign royalty income, and other financing transactions, all of which would increase our domestic profitability.</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our forecasts of future profitability, including a reduction in interest expense from debt repayment as a result of the sales of the OTR tire business and the Dunlop brand, which included certain associated intellectual property and other intangible assets, provide us sufficient positive evidence to conclude that it is more likely than not that, at June 30, 2025, our U.S. net deferred tax assets will be fully utilized. However, macroeconomic factors such as raw material, transportation, tariff, labor and energy costs possess a high degree of volatility and can significantly impact our profitability. Our U.S. operating results for the quarter ended June 30, 2025 declined relative to prior periods. If our U.S. operating results continue to decline in the future, we may need to record a valuation allowance which could adversely impact our operating results. As such, we will closely monitor our U.S. operations and any tax law changes to assess the realizability of our U.S. deferred tax assets.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June 30, 2025 and December 31, 2024, we also had approximately $1.5 billion of foreign net deferred tax assets and related valuation allowances of approximately $1.3 billion and $1.2 billion, respectively. Our losses in various foreign taxing jurisdictions in recent periods represented sufficient negative evidence to require us to maintain a full valuation allowance against certain of these net foreign deferred tax assets. Most notably, in Luxembourg, we maintain a valuation allowance of approximately $1.0 billion on all of our net deferred tax assets. Each reporting period, we assess available positive and negative evidence and estimate if sufficient future taxable income will be generated to utilize these existing deferred tax assets. We do not believe that sufficient positive evidence required to release valuation allowances on our foreign deferred tax assets having a significant impact on our financial position or results of operations will exist within the next twelve months.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information regarding income taxes and the realizability of our deferred tax assets, including our foreign tax credits, refer to Note to the Consolidated Financial Statements No. 6, Income Taxes.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Minority shareholders’ net income in the first six months of 2025 was $30 million, primarily related to the sale of property in Asia Pacific, compared to a net loss of $7 million in the first six months of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 INFORMATION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Segment information reflects our strategic business units (“SBUs”), which are organized to meet customer requirements and global competition and are segmented on a regional basis.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Results of operations are measured based on net sales to unaffiliated customers and segment operating income. Each segment exports tires to other segments. The financial results of each segment exclude sales of tires exported to other segments, but include operating income derived from such transactions. Segment operating income is computed as follows: Net Sales less CGS (excluding asset write-off and accelerated depreciation charges) and SAG (including certain allocated corporate administrative expenses). Segment operating income also includes certain royalties and equity in earnings of most affiliates. Segment operating income does not include net rationalization charges, asset sales, goodwill and other impairment charges, and certain other items.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segment operating income for the second quarter of 2025 was $159 million, a decrease of $175 million, or 52.4%, from $334 million in the second quarter of 2024. Total segment operating margin in the second quarter of 2025 was 3.6%, compared to 7.3% in the second quarter of 2024. Total segment operating income for the first six months of 2025 was $354 million, a decrease of $220 million, or 38.3%, from $574 million in the first six months of 2024. Total segment operating margin in the first six months of 2025 was 4.1%, compared to 6.3% in the first six months of 2024.</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believes that total segment operating income is useful because it represents the aggregate value of income created by our SBUs and excludes items not directly related to the SBUs for performance evaluation purposes. Total segment operating income is the sum of the individual SBUs’ segment operating income. Refer to Note to the Consolidated Financial Statements No. 8, Business Segments, for further information and for a reconciliation of total segment operating income to Income (Loss) before Income Taxes.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Americas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120" w:type="dxa"/>
            <w:vAlign w:val="bottom"/>
          </w:tcPr>
          <w:p>
            <w:pPr>
              <w:spacing w:after="0"/>
              <w:rPr>
                <w:sz w:val="16"/>
                <w:szCs w:val="16"/>
                <w:color w:val="auto"/>
              </w:rPr>
            </w:pPr>
          </w:p>
        </w:tc>
      </w:tr>
      <w:tr>
        <w:trPr>
          <w:trHeight w:val="37"/>
        </w:trPr>
        <w:tc>
          <w:tcPr>
            <w:tcW w:w="20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71"/>
        </w:trPr>
        <w:tc>
          <w:tcPr>
            <w:tcW w:w="2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9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16"/>
                <w:szCs w:val="16"/>
                <w:color w:val="auto"/>
              </w:rPr>
            </w:pPr>
          </w:p>
        </w:tc>
        <w:tc>
          <w:tcPr>
            <w:tcW w:w="86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6"/>
                <w:szCs w:val="16"/>
                <w:color w:val="auto"/>
              </w:rPr>
            </w:pPr>
          </w:p>
        </w:tc>
        <w:tc>
          <w:tcPr>
            <w:tcW w:w="82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2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37"/>
        </w:trPr>
        <w:tc>
          <w:tcPr>
            <w:tcW w:w="208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4"/>
        </w:trPr>
        <w:tc>
          <w:tcPr>
            <w:tcW w:w="2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Tire Units</w:t>
            </w:r>
          </w:p>
        </w:tc>
        <w:tc>
          <w:tcPr>
            <w:tcW w:w="2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4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2,662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2,697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5,164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5,285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2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4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6348730</wp:posOffset>
            </wp:positionH>
            <wp:positionV relativeFrom="paragraph">
              <wp:posOffset>-676910</wp:posOffset>
            </wp:positionV>
            <wp:extent cx="5969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-676910</wp:posOffset>
            </wp:positionV>
            <wp:extent cx="6032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-676910</wp:posOffset>
            </wp:positionV>
            <wp:extent cx="5969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-676910</wp:posOffset>
            </wp:positionV>
            <wp:extent cx="6032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-676910</wp:posOffset>
            </wp:positionV>
            <wp:extent cx="6032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-676910</wp:posOffset>
            </wp:positionV>
            <wp:extent cx="6032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-676910</wp:posOffset>
            </wp:positionV>
            <wp:extent cx="5969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2025 and 2024</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Americas unit sales in the second quarter of 2025 decreased 0.5 million units, or 2.6%, to 19.1 million units. Replacement tire volume decreased 0.3 million units, or 2.0%, primarily in our consumer business. OE tire volume decreased 0.2 million units, or 5.0%, primarily due to weakness in the OE industry in North America.</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sales in the second quarter of 2025 were $2,662 million, decreasing $35 million, or 1.3%, from $2,697 million in the second quarter of 2024. The decrease in net sales was primarily due to lower tire volume of $55 million, the impact of the sale of the OTR tire business of $45 million, excluding product supply agreement revenue of $42 million, and the negative impact of changes in foreign exchange rates of $34 million, primarily related to the weakening of the Brazilian real and Mexican peso. These decreases were partially offset by favorable price and product mix of $33 million, a $16 million benefit related to the Goodyear Forward plan, and increased sales in other tire-related businesses of $8 million, primarily due to increased retail sales.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Operating income in the second quarter of 2025 was $141 million, decreasing $100 million, or 41.5%, from $241 million in the second quarter of 2024. The decrease in operating income was due to higher raw material costs of $108 million, higher conversion costs of $82 million, driven by the effect of lower tire production on fixed cost absorption and inflation, higher SAG of $45 million, higher transportation and imported tire costs of $21 million, a $20 million benefit received in 2024 related to insurance proceeds for property damage and business interruptions resulting from storm damage events in prior years and lower tire volume of $13 million. These decreases were partially offset by a $149 million benefit related to the Goodyear Forward plan and favorable price and product mix of $43 million. Operating income for the second quarter of 2025 includes incremental savings from rationalization plans of $7 million.</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income in the second quarter of 2025 excluded asset write-offs, accelerated depreciation and accelerated lease costs of $14 million and net rationalization charges of $10 million. Operating income in the second quarter of 2024 excluded net gains on asset sales of $14 million, net rationalization charges of $11 million, and asset write-offs, accelerated depreciation and accelerated lease costs of $2 million.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2025 and 2024</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Americas unit sales in the first six months of 2025 decreased 1.1 million units, or 2.9%, to 37.5 million units. Replacement tire volume decreased 0.8 million units, or 2.5%, primarily due to a decrease in our consumer business, driven by increased competitiveness in the U.S. from the lower tier market. OE tire volume decreased 0.3 million units, or 4.2%, primarily due to weakness in the OE industry in North America.</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sales in the first six months of 2025 were $5,164 million, decreasing $121 million, or 2.3%, from $5,285 million in the first six months of 2024. The decrease in net sales was primarily due to lower tire volume of $120 million, the negative impact of changes in foreign exchange rates of $94 million, primarily related to the weakening of the Brazilian real and Mexican peso, and the impact of the sale of the OTR tire business of $77 million, excluding product supply agreement revenue of $74 million. These decreases were partially offset by increased sales in other tire-related businesses of $38 million, primarily due to increased third-party chemical and retail sales, a $29 million benefit related to the Goodyear Forward plan, and favorable price and product mix of $29 million.</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Operating income in the first six months of 2025 was $296 million, decreasing $124 million, or 29.5%, from $420 million in the first six months of 2024. The decrease in operating income was due to higher raw material costs of $214 million, higher conversion costs of $90 million, driven by the effect of lower tire production on fixed cost absorption and inflation, higher SAG of $64 million, higher transportation and imported tire costs of $37 million, lower tire volume of $28 million, a $20 million benefit received in 2024 related to insurance proceeds for property damage and business interruptions resulting from storm damage events in prior years, a $14 million benefit received in 2024 related to a reduction in U.S. duty rates on various commercial tires from China, and the negative impact of changes in foreign exchange rates of $12 million, primarily related to the weakening of the Brazilian real and Mexican peso. These decreases were partially offset by a $287 million benefit related to the Goodyear Forward plan, favorable price and product mix of $51 million, and increased earnings in other tire-related businesses of $18 million, primarily due to higher retail earnings. Operating income for 2025 includes incremental savings from rationalization plans of $15 million.</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income in the first six months of 2025 excluded net rationalization charges of $72 million, asset write-offs, accelerated depreciation and accelerated lease costs of $42 million, and net gains on asset sales of $1 million. Operating income in the first six months of 2024 excluded net rationalization charges of $15 million, net gains on asset sales of $14 million, and asset write-offs, accelerated depreciation and accelerated lease costs of $10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Europe, Middle East and Africa</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120" w:type="dxa"/>
            <w:vAlign w:val="bottom"/>
          </w:tcPr>
          <w:p>
            <w:pPr>
              <w:spacing w:after="0"/>
              <w:rPr>
                <w:sz w:val="16"/>
                <w:szCs w:val="16"/>
                <w:color w:val="auto"/>
              </w:rPr>
            </w:pPr>
          </w:p>
        </w:tc>
      </w:tr>
      <w:tr>
        <w:trPr>
          <w:trHeight w:val="37"/>
        </w:trPr>
        <w:tc>
          <w:tcPr>
            <w:tcW w:w="19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71"/>
        </w:trPr>
        <w:tc>
          <w:tcPr>
            <w:tcW w:w="1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90"/>
        </w:trPr>
        <w:tc>
          <w:tcPr>
            <w:tcW w:w="19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16"/>
                <w:szCs w:val="16"/>
                <w:color w:val="auto"/>
              </w:rPr>
            </w:pPr>
          </w:p>
        </w:tc>
        <w:tc>
          <w:tcPr>
            <w:tcW w:w="90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0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2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37"/>
        </w:trPr>
        <w:tc>
          <w:tcPr>
            <w:tcW w:w="196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3"/>
        </w:trPr>
        <w:tc>
          <w:tcPr>
            <w:tcW w:w="1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Tire Units</w:t>
            </w:r>
          </w:p>
        </w:tc>
        <w:tc>
          <w:tcPr>
            <w:tcW w:w="26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3"/>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1,344</w:t>
            </w:r>
          </w:p>
        </w:tc>
        <w:tc>
          <w:tcPr>
            <w:tcW w:w="10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1,279</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c>
          <w:tcPr>
            <w:tcW w:w="15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5.1 %  $</w:t>
            </w: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2,621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2,626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1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1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6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(196.8)%</w:t>
            </w:r>
          </w:p>
        </w:tc>
      </w:tr>
      <w:tr>
        <w:trPr>
          <w:trHeight w:val="243"/>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6348730</wp:posOffset>
            </wp:positionH>
            <wp:positionV relativeFrom="paragraph">
              <wp:posOffset>-676910</wp:posOffset>
            </wp:positionV>
            <wp:extent cx="5969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-676910</wp:posOffset>
            </wp:positionV>
            <wp:extent cx="6032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-676910</wp:posOffset>
            </wp:positionV>
            <wp:extent cx="5969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-676910</wp:posOffset>
            </wp:positionV>
            <wp:extent cx="6032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-676910</wp:posOffset>
            </wp:positionV>
            <wp:extent cx="6032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-676910</wp:posOffset>
            </wp:positionV>
            <wp:extent cx="5969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1985010</wp:posOffset>
            </wp:positionH>
            <wp:positionV relativeFrom="paragraph">
              <wp:posOffset>-676910</wp:posOffset>
            </wp:positionV>
            <wp:extent cx="6032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2025 and 2024</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EMEA unit sales in the second quarter of 2025 decreased 0.3 million units, or 2.0%, to 11.3 million units. Replacement tire volume decreased 0.6 million units, or 7.3%, mainly driven by our consumer business, reflecting market softness and increased competition from the lower tier market. OE tire volume increased 0.3 million units, or 10.9%, primarily in our consumer business, reflecting share gains driven by new fitments.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sales in the second quarter of 2025 were $1,344 million, increasing $65 million, or 5.1%, from $1,279 million in the second quarter of 2024. The increase in net sales was primarily driven by improvements in price and product mix of $42 million, higher sales in other tire-related businesses of $35 million, primarily due to growth in Fleet Solutions, and the positive impact of changes in foreign exchange rates of $25 million, driven by a stronger euro and British pound, partially offset by a weaker Turkish lira. These increases were partially offset by lower tire volume of $23 million and the impact of the sale of the OTR tire business of $54 million, excluding product supply agreement revenue of $40 million.</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Operating loss in the second quarter of 2025 was $25 million, decreasing $55 million, or 183.3%, from operating income of $30 million in the second quarter of 2024. The change in operating income (loss) was primarily due to higher raw material costs of $48 million, a net benefit from insurance recoveries last year related to the Debica fire of $43 million, higher SAG of $9 million, higher conversion costs of $6 million, primarily driven by inflation, lower earnings in other tire-related businesses of $6 million, primarily due to motorcycle, and lower tire volume of $5 million. These decreases were partially offset by favorable price and product mix of $35 million and benefits related to the Goodyear Forward plan of $29 million. Operating loss for second quarter of 2025 includes incremental savings from rationalization plans of $8 million.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loss in the second quarter of 2025 excluded net rationalization charges of $43 million, asset write-offs, accelerated depreciation and accelerated lease costs of $26 million and a $1 million net loss on asset sales. Operating income in the second quarter of 2024 excluded an $82 million net gain on asset sales, asset write-offs, accelerated depreciation and accelerated lease costs of $17 million, and net rationalization charges of $3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2025 and 2024</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EMEA unit sales in the first six months of 2025 decreased 0.5 million units, or 2.0%, to 23.6 million units. Replacement tire volume decreased 0.9 million units, or 5.5%, mainly driven by our consumer business, reflecting market softness and increased competition from the lower tier market. OE tire volume increased 0.4 million units, or 6.8%, primarily in our consumer business, reflecting share gains driven by new fitments.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sales in the first six months of 2025 were $2,621 million, decreasing $5 million, or 0.2%, from $2,626 million in the first six months of 2024. The decrease in net sales was primarily driven by the impact of the sale of the OTR tire business of $90 million, excluding product supply agreement revenue of $63 million, the negative impact of changes in foreign exchange rates of $47 million, driven by a weaker Turkish lira and euro in the first quarter, and lower tire volume of $46 million. These decreases were partially offset by favorable price and product mix of $85 million and higher sales in other-tire-related businesses of $30 million, primarily due to growth in Fleet Solutions.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Operating loss in the first six months of 2025 was $30 million, decreasing $61 million, from operating income of $31 million in the first six months of 2024. The change in operating income (loss) was primarily due to higher raw material costs of $98 million, a net benefit from insurance recoveries last year related to the Debica fire of $32 million, higher SAG of $32 million, lower earnings in other-tire-related businesses of $13 million, higher conversion costs of $12 million, higher transportation costs of $8 million, and lower tire volume of $8 million. These decreases were partially offset by a favorable price and product mix of $73 million and benefits related to the Goodyear Forward plan of $72 million. Operating loss for the first six months of 2025 includes incremental savings from rationalization plans of $12 million.</w:t>
      </w:r>
    </w:p>
    <w:p>
      <w:pPr>
        <w:spacing w:after="0" w:line="7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Operating loss in the second quarter of 2025 excluded net rationalization charges of $55 million and asset write-offs, accelerated depreciation and accelerated lease costs of $42 million. Operating income in the first six months of 2024 excluded an $80 million net gain on asset sales, asset write-offs, accelerated depreciation and accelerated lease costs of $33 million, and net rationalization charges of $10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Asia Pacific</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160" w:type="dxa"/>
            <w:vAlign w:val="bottom"/>
          </w:tcPr>
          <w:p>
            <w:pPr>
              <w:spacing w:after="0"/>
              <w:rPr>
                <w:sz w:val="16"/>
                <w:szCs w:val="16"/>
                <w:color w:val="auto"/>
              </w:rPr>
            </w:pPr>
          </w:p>
        </w:tc>
      </w:tr>
      <w:tr>
        <w:trPr>
          <w:trHeight w:val="37"/>
        </w:trPr>
        <w:tc>
          <w:tcPr>
            <w:tcW w:w="21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71"/>
        </w:trPr>
        <w:tc>
          <w:tcPr>
            <w:tcW w:w="2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90"/>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Pr>
          <w:p>
            <w:pPr>
              <w:spacing w:after="0"/>
              <w:rPr>
                <w:sz w:val="16"/>
                <w:szCs w:val="16"/>
                <w:color w:val="auto"/>
              </w:rPr>
            </w:pPr>
          </w:p>
        </w:tc>
        <w:tc>
          <w:tcPr>
            <w:tcW w:w="78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6"/>
                <w:szCs w:val="16"/>
                <w:color w:val="auto"/>
              </w:rPr>
            </w:pPr>
          </w:p>
        </w:tc>
        <w:tc>
          <w:tcPr>
            <w:tcW w:w="76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6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37"/>
        </w:trPr>
        <w:tc>
          <w:tcPr>
            <w:tcW w:w="216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43"/>
        </w:trPr>
        <w:tc>
          <w:tcPr>
            <w:tcW w:w="2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Tire Units</w:t>
            </w:r>
          </w:p>
        </w:tc>
        <w:tc>
          <w:tcPr>
            <w:tcW w:w="2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43"/>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459</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594</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1,196</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7"/>
        </w:trPr>
        <w:tc>
          <w:tcPr>
            <w:tcW w:w="2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43"/>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220" w:type="dxa"/>
            <w:vAlign w:val="bottom"/>
          </w:tcPr>
          <w:p>
            <w:pPr>
              <w:spacing w:after="0"/>
              <w:rPr>
                <w:sz w:val="21"/>
                <w:szCs w:val="21"/>
                <w:color w:val="auto"/>
              </w:rPr>
            </w:pP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-676275</wp:posOffset>
            </wp:positionV>
            <wp:extent cx="596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-676275</wp:posOffset>
            </wp:positionV>
            <wp:extent cx="5969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-676275</wp:posOffset>
            </wp:positionV>
            <wp:extent cx="596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-676275</wp:posOffset>
            </wp:positionV>
            <wp:extent cx="6032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-676275</wp:posOffset>
            </wp:positionV>
            <wp:extent cx="5969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-676275</wp:posOffset>
            </wp:positionV>
            <wp:extent cx="596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2025 and 2024</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Asia Pacific unit sales in the second quarter of 2025 decreased 1.4 million units, or 15.6%, to 7.5 million units. Replacement tire volume decreased 0.9 million units, or 18.2%, driven by actions taken to reduce lower margin business, softness in consumer replacement and weak demand in China. OE tire volume decreased 0.5 million units, or 13.0%, primarily in China.</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sales in the second quarter of 2025 were $459 million, decreasing $135 million, or 22.7%, from $594 million in the second quarter of 2024. The decrease in net sales was primarily due to lower tire volume of $79 million, the loss of sales from divestitures, primarily related to the sale of the OTR tire business, of $66 million, and lower sales in other tire-related businesses of $8 million. These decreases were partially offset by favorable price and product mix of $18 million.</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income in the second quarter of 2025 was $43 million, decreasing $20 million, or 31.7%, from $63 million in the second quarter of 2024. The decrease in operating income was primarily due to decreased earnings of $21 million due to the sales of the OTR tire business and the Dunlop brand, lower tire volume of $19 million, higher raw material costs of $18 million, and higher conversion costs of $2 million. These decreases were partially offset by benefits related to the Goodyear Forward plan of $17 million, favorable price and product mix of $13 million and other savings of $11 million.</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income in the second quarter of 2025 excluded net gains on asset sales of $55 million and asset write-offs, accelerated depreciation and accelerated lease costs of $1 million. Operating income in the second quarter of 2024 excluded asset write-offs, accelerated depreciation and accelerated lease costs of $24 million and net rationalization charges of $2 million.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2025 and 2024</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Asia Pacific unit sales in the first six months of 2025 decreased 2.5 million units, or 14.0%, to 15.3 million units. Replacement tire volume decreased 1.9 million units, or 19.8%, driven by actions taken to reduce lower margin business and softness in consumer replacement. OE tire volume decreased 0.6 million units, or 7.9%, primarily in China.</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sales in the first six months of 2025 were $933 million, decreasing $263 million, or 22.0%, from $1,196 million in the first six months of 2024. The decrease in net sales was primarily due to lower tire volume of $147 million, the loss of sales from divestitures, primarily related to the sale of the OTR tire business, of $126 million, and lower sales from other-tire related businesses of $14 million. These decreases were partially offset by favorable price and product mix of $32 million.</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income in the first six months of 2025 was $88 million, decreasing $35 million, or 28.5%, from $123 million in the first six months of 2024. The decrease in operating income was primarily due to higher raw material costs of $40 million, decreased earnings of $37 million due to the sales of the OTR tire business and the Dunlop brand, and lower tire volume of $34 million. These decreases were partially offset by benefits related to the Goodyear Forward plan of $36 million, favorable price and product mix of $35 million and other cost savings of $6 million.</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income in the first six months of 2025 excluded net gains on asset sales of $55 million, asset write-offs, accelerated depreciation and accelerated lease costs of $3 million and net rationalization charges of $1 million. Operating income in the first six months of 2024 excluded asset write-offs, accelerated depreciation and accelerated lease costs of $31 million and net rationalization charges of $13 million.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sources of liquidity are cash generated from our operating and financing activities. Our cash flows from operating activities are driven primarily by our operating results and changes in our working capital requirements and our cash flows from financing activities are dependent upon our ability to access credit or other capital.</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June 30, 2025, we had $785 million in cash and cash equivalents, compared to $810 million at December 31, 2024. For the six months ended June 30, 2025, net cash used for operating activities was $718 million, reflecting cash used for working capital of $1,069 million, rationalization payments of $204 million and pension contributions and direct payments of $53 million, partially offset by deferred income related to divestitures of $376 million, as well as the Company's net income for the period of $399 million, which included non-cash charges for depreciation and amortization of $544 million and a non-cash gain on asset sales of $701 million. Net cash provided by investing activities was $837 million, primarily representing proceeds from the sales of the OTR tire business and the Dunlop brand, as well as other asset dispositions, of $1,328 million, partially offset by capital expenditures of $466 million. Net cash used for financing activities was $107 million, primarily due to net debt repayments of $112 million.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2025, we had $3,158 million of unused availability under our various credit agreements, compared to $3,555 million at December 31,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unused availability under our credit facilities at those dates: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5"/>
                <w:szCs w:val="15"/>
                <w:color w:val="auto"/>
              </w:rPr>
            </w:pPr>
          </w:p>
        </w:tc>
        <w:tc>
          <w:tcPr>
            <w:tcW w:w="11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16"/>
                <w:szCs w:val="16"/>
                <w:color w:val="auto"/>
              </w:rPr>
            </w:pPr>
          </w:p>
        </w:tc>
        <w:tc>
          <w:tcPr>
            <w:tcW w:w="10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48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4"/>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First lien revolving credit facility</w:t>
            </w:r>
          </w:p>
        </w:tc>
        <w:tc>
          <w:tcPr>
            <w:tcW w:w="26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2,049</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European revolving credit facility</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Chinese credit facilities</w:t>
            </w:r>
          </w:p>
        </w:tc>
        <w:tc>
          <w:tcPr>
            <w:tcW w:w="26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Mexican credit facility</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foreign and domestic debt</w:t>
            </w:r>
          </w:p>
        </w:tc>
        <w:tc>
          <w:tcPr>
            <w:tcW w:w="26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37"/>
        </w:trPr>
        <w:tc>
          <w:tcPr>
            <w:tcW w:w="84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3,158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3,555</w:t>
            </w:r>
          </w:p>
        </w:tc>
      </w:tr>
      <w:tr>
        <w:trPr>
          <w:trHeight w:val="27"/>
        </w:trPr>
        <w:tc>
          <w:tcPr>
            <w:tcW w:w="8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8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deposited our cash and cash equivalents and entered into various credit agreements and derivative contracts with financial institutions that we considered to be substantial and creditworthy at the time of such transactions. We seek to control our exposure to these financial institutions by diversifying our deposits, credit agreements and derivative contracts across multiple financial institutions, by setting deposit and counterparty credit limits based on long term credit ratings and other indicators of credit risk such as credit default swap spreads and default probabilities, and by monitoring the financial strength of these financial institutions on a regular basis. We also enter into master netting agreements with counterparties when possible. By controlling and monitoring exposure to financial institutions in this manner, we believe that we effectively manage the risk of loss due to nonperformance by a financial institution. However, we cannot provide assurance that we will not experience losses or delays in accessing our deposits or lines of credit due to the nonperformance of a financial institution. Our inability to access our cash deposits or make draws on our lines of credit, or the inability of a counterparty to fulfill its contractual obligations to us, could have a material adverse effect on our liquidity, financial condition or results of operations in the period in which it occurs.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our 2025 full-year cash flow needs to include capital expenditures of approximately $900 million. We also expect interest expense to be approximately $450 million; rationalization payments to be approximately $400 million; income tax payments to be approximately $200 million, excluding one-time items; and contributions to our funded pension plans to be $25 million to $50 million. We expect working capital to be neither a source nor use of cash in 2025.</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continuing to actively monitor our liquidity and intend to operate our business in a way that allows us to address our cash flow needs with our existing cash and available credit if they cannot be funded by cash generated from operating or other financing activities. We believe that our liquidity position is adequate to fund our operating and investing needs and debt maturities for the next twelve months and to provide us with the ability to respond to further changes in the business environment.</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ability to service debt and operational requirements is also dependent, in part, on the ability of our subsidiaries to make distributions of cash to various other entities in our consolidated group, whether in the form of dividends, loans or otherwise. In certain countries where we operate, such as China, South Africa, Serbia and Argentina, transfers of funds into or out of such countries by way of dividends, loans, advances or payments to third-party or affiliated suppliers are generally or periodically subject to certain requirements, such as obtaining approval from the foreign government and/or currency exchange board before net assets can be transferred out of the country. In addition, certain of our credit agreements and other debt instruments limit the ability of foreign subsidiaries to make distributions of cash. Thus, we would have to repay and/or amend these credit agreements and other debt instruments in order to use this cash to service our consolidated debt. Because of the inherent uncertainty of satisfactorily meeting these requirements or limitations, we do not consider the net assets of our subsidiaries, including our Chinese, South African, Serbian and Argentinian subsidiaries, which are subject to such requirements or limitations to be integral to our liquidity or our ability to service our debt and operational requirements. At June 30, 2025, approximately $888 million of net assets, including approximately $173 million of cash and cash equivalents, were subject to such requirements. The requirements we must comply with to transfer funds out of China, South Africa, Serbia and Argentina have not adversely impacted our ability to make transfers out of those countries.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Activities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for operating activities was $718 million in the first six months of 2025, compared to net cash used for operating activities of $518 million in the first six months of 2024. The $200 million increase in net cash used for operating activities was primarily due to an increase in cash used for working capital of $300 million, lower earnings in our SBUs of $220 million and increased rationalization payments of $99 million, partially offset by deferred income related to divestitures of $376 million.</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cash used for working capital reflects an increase in cash used for Accounts Receivable of $144 million, Inventory of $115 million and Accounts Payable — Trade of $41 million. These changes were driven by lower sales volume and the timing of accounts receivable collections in the first six months of 2025 compared to the first six months of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Investing Activities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provided by investing activities was $837 million in the first six months of 2025, compared to net cash used for investing activities of $488 million in the first six months of 2024. The $1,325 million increase in net cash provided by investing activities was primarily due to net cash provided by the sales of the OTR tire business and the Dunlop brand, as well as other asset dispositions, of $1,328 million in the first six months of 2025, compared to $108 million in the first six months of 2024. Capital expenditures were $466 million in the first six months of 2025, compared to $634 million in the first six months of 2024.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Financing Activities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for financing activities was $107 million in the first six months of 2025, compared to net cash provided by financing activities of $896 million in the first six months of 2024. The $1,003 million increase in cash used for financing activities was primarily related to net debt repayments of $112 million in the first six months of 2025, which included the redemption of the remaining $500 million 9.5% senior notes due 2025 and the redemption of $400 million of our 5% senior notes due 2026, compared to net borrowings of $919 million in the first six months of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Credit Sources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aggregate, we had total credit arrangements of $10,920 million available at June 30, 2025, of which $3,158 million were unused, compared to $11,223 million available at December 31, 2024, of which $3,555 million were unused. At June 30, 2025, we had long term credit arrangements totaling $10,139 million, of which $2,908 million were unused, compared to $10,352 million and $3,263 million, respectively, at December 31, 2024. At June 30, 2025, we had short term committed and uncommitted credit arrangements totaling $781 million, of which $250 million were unused, compared to $871 million and $292 million, respectively, at December 31, 2024. The continued availability of the short term uncommitted arrangements is at the discretion of the relevant lenders and may be terminated at any time.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Outstanding Notes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2025, we had $4,892 million of outstanding notes, compared to $5,240 million at December 31, 2024.</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3, 2025, we issued $500 million in aggregate principal amount of 6.625% senior notes due 2030. These notes were sold at 100% of the principal amount and will mature on July 15, 2030.</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30, 2025, we redeemed $400 million of our 5% senior notes due 2026 at a redemption price equal to 100% of the principal amount redeemed plus accrued and unpaid interest. On July 3, 2025, we redeemed the remaining $500 million of our 5% senior notes due 2026 at a redemption price equal to 100% of the principal amount redeemed plus accrued and unpaid interest. We used the net proceeds from the 6.625% senior notes, together with cash and cash equivalents, to redeem these notes.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$2.75 billion Amended and Restated First Lien Revolving Credit Facility due 2030</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May 19, 2025, we amended and restated our U.S. first lien revolving credit facility. The principal change to the facility was the extension of its maturity from June 8, 2026 to May 19, 2030. The interest rate for loans under the facility remained at SOFR plus 125 basis points.</w:t>
      </w:r>
    </w:p>
    <w:p>
      <w:pPr>
        <w:spacing w:after="0" w:line="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amended and restated first lien revolving credit facility is available in the form of loans or letters of credit. Up to $800 million in letters of credit and $50 million of swingline loans are available for issuance under the facility. Subject to the consent of the lenders whose commitments are to be increased, we may request that the facility be increased by up to $250 million.</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obligations under the facility are guaranteed by most of our wholly-owned U.S. and Canadian subsidiaries. Our obligations under the facility and our subsidiaries' obligations under the related guarantees are secured by first priority security interests in a variety of collateral. Based on our current liquidity, amounts drawn under this facility bear interest at SOFR plus 125 basis points. Undrawn amounts under the facility are subject to an annual commitment fee of 25 basis points.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Availability under the facility is subject to a borrowing base, which is based on (i) eligible accounts receivable and inventory of The Goodyear Tire &amp; Rubber Company and certain of its U.S. and Canadian subsidiaries, (ii) the greater of 50% of the appraised value, if any, of our principal trademarks or $400 million, (iii) the value of eligible machinery and equipment, and (iv) certain cash in an amount not to exceed $275 million. To the extent that our eligible accounts receivable, inventory and other components of the borrowing base decline in value, our borrowing base will decrease and the availability under the facility may decrease below $2.75 billion. As of June 30, 2025, our borrowing base, and therefore our availability, under this facility was $69 million below the facility's stated amount of $2.75 billion. In addition, if the amount of outstanding borrowings and letters of credit under the facility exceeds the borrowing base, we would be required to prepay borrowings and/or cash collateralize letters of credit sufficient to eliminate the excess.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June 30, 2025, we had $1,210 million of borrowings and $1 million of letters of credit issued under the revolving credit facility. At December 31, 2024, we had $700 million of borrowings and $1 million of letters of credit issued under the revolving credit facility.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€800 million Amended and Restated Senior Secured European Revolving Credit Facility due 2028</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European revolving credit facility matures on January 14, 2028 and consists of (i) a €180 million German tranche that is available only to Goodyear Germany GmbH and (ii) a €620 million all-borrower tranche that is available to Goodyear Europe B.V. ("GEBV"), Goodyear Germany and Goodyear Operations S.A. Up to €175 million of swingline loans and €75 million in letters of credit are available for issuance under the all-borrower tranche. Subject to the consent of the lenders whose commitments are to be increased, we may request that the facility be increased by up to €200 million. Amounts drawn under this facility will bear interest at SOFR plus 150 basis points for loans denominated in U.S. dollars, EURIBOR plus 150 basis points for loans denominated in euros, and SONIA plus 150 basis points for loans denominated in pounds sterling. Undrawn amounts under the facility are subject to an annual commitment fee of 25 basis points.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June 30, 2025, there were $140 million (€120 million) of borrowings outstanding under the all-borrower tranche, no borrowings outstanding under the German tranche, and no letters of credit outstanding under the European revolving credit facility. At December 31, 2024, we had no borrowings and no letters of credit outstanding under the European revolving credit facility.</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Both our first lien revolving credit facility and our European revolving credit facility have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2024 under the first lien facility and December 31, 2021 under the European facility.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Securitization Facilities (On-Balance Sheet)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GEBV and certain other of our European subsidiaries are parties to a pan-European accounts receivable securitization facility that expires in 2027. The terms of the facility provide the flexibility to designate annually the maximum amount of funding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available under the facility in an amount of not less than €30 million and not more than €450 million. For the period from October 19, 2023 through October 16, 2024, the designated maximum amount of the facility was €300 million. For the period from October 17, 2024 through October 16, 2025, the designated maximum amount of the facility will remain €300 million.</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facility involves an ongoing daily sale of substantially all of the trade accounts receivable of certain GEBV subsidiaries. These subsidiaries retain servicing responsibilities. Utilization under this facility is based on eligible receivable balances.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funding commitments under the facility will expire upon the earliest to occur of: (a) October 19, 2027, (b) the non-renewal and expiration (without substitution) of all of the back-up liquidity commitments, (c) the early termination of the facility according to its terms (generally upon an Early Amortisation Event (as defined in the facility), which includes, among other things, events similar to the events of default under our first lien revolving credit facility; certain tax law changes; or certain changes to law, regulation or accounting standards), or (d) our request for early termination of the facility. The facility’s current back-up liquidity commitments will expire on October 16, 2025.</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June 30, 2025, the amounts available and utilized under this program totaled $200 million (€170 million). At December 31, 2024, the amounts available and utilized under this program totaled $227 million (€218 million). The program does not qualify for sale accounting, and accordingly, these amounts are included in Long Term Debt and Finance Leases.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Factoring Facilities (Off-Balance Sheet)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sold certain of our trade receivables under off-balance sheet programs. For these programs, we have concluded that there is generally no risk of loss to us from non-payment of the sold receivables. At June 30, 2025, the gross amount of receivables sold was $771 million, compared to $773 million at December 31, 2024.</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Letters of Credit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June 30, 2025, we had $229 million in letters of credit issued under bilateral letter of credit agreements and other foreign credit facilities. The majority of these letter of credit agreements are in lieu of security deposits.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Supplier Financing</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entered into supplier finance programs with several financial institutions. Under these programs, the financial institutions act as our paying agents with respect to accounts payable due to our suppliers. We agree to pay the financial institutions the stated amount of the confirmed invoices from the designated suppliers on the original due dates of the invoices. Invoice payment terms can be up to 120 days based on industry norms for the specific item purchased. We do not pay any fees to the financial institutions and we do not pledge any assets as security or provide other forms of guarantees for these programs. These programs allow our suppliers to sell their receivables to the financial institutions at the sole discretion of the suppliers and the financial institutions on terms that are negotiated among them. We are not always notified when our suppliers sell receivables under these programs. Our obligations to our suppliers, including the amounts due and scheduled payment dates, are not impacted by our suppliers’ decisions to sell their receivables under these programs. The amounts available under these programs were $875 million and $775 million at June 30, 2025 and December 31, 2024, respectively. The amounts confirmed to the financial institutions were $692 million and $604 million at June 30, 2025 and December 31, 2024, respectively, and are included in Accounts Payable — Trade in our Consolidated Balance Sheets. All activity related to these obligations is presented within operating activities on the Consolidated Statements of Cash Flows.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Further Information</w:t>
      </w:r>
    </w:p>
    <w:p>
      <w:pPr>
        <w:spacing w:after="0" w:line="119"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For a further description of the terms of our outstanding notes, first lien revolving credit facility, European revolving credit facility and pan-European accounts receivable securitization facility, refer to Note to the Consolidated Financial Statements No. 16, Financing Arrangements and Derivative Financial Instruments, in our 2024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Note to the Consolidated Financial Statements No. 9, Financing Arrangements and Derivative Financial Instruments, in this Form 10-Q.</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Covenant Compliance</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first lien revolving credit facility contains certain covenants that, among other things, limit our ability to incur additional debt or issue redeemable preferred stock, pay dividends, repurchase shares or make certain other restricted payments or investments, incur liens, sell assets, incur restrictions on the ability of our subsidiaries to pay dividends or to make other payments to us, enter into affiliate transactions, engage in sale and leaseback transactions, and consolidate, merge, sell or otherwise dispose of all or substantially all of our assets. The indentures governing our notes also contain certain covenants that, among other things, limit our ability to incur liens, engage in sale and leaseback transactions, and consolidate, merge, sell or otherwise dispose of all or substantially all of our assets. These covenants are subject to significant exceptions and qualifications. Our first lien revolving credit facility and the indentures governing our notes also have customary defaults, including cross-defaults to material indebtedness of Goodyear and its subsidiaries.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an additional financial covenant in our first lien revolving credit facility that is currently not applicable. We become subject to that financial covenant when the aggregate amount of our Parent Company (The Goodyear Tire &amp; Rubber Company) and guarantor subsidiaries cash and cash equivalents (“Available Cash”) plus our availability under our first lien revolving</w:t>
      </w:r>
    </w:p>
    <w:p>
      <w:pPr>
        <w:sectPr>
          <w:pgSz w:w="11900" w:h="16838" w:orient="portrait"/>
          <w:cols w:equalWidth="0" w:num="1">
            <w:col w:w="11240"/>
          </w:cols>
          <w:pgMar w:left="320" w:top="337"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credit facility is less than $275 million. If this were to occur, our ratio of EBITDA to Consolidated Interest Expense may not be less than 2.0 to 1.0 for the most recent period of four consecutive fiscal quarters. As of June 30, 2025, our unused availability under this facility of $1,470, plus our Available Cash of $134 million, totaled $1,604 million, which is in excess of $275 million.</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our European revolving credit facility contains non-financial covenants similar to the non-financial covenants in our first lien revolving credit facility that are described above, similar non-financial covenants specifically applicable to GEBV and its subsidiaries, and a financial covenant applicable only to GEBV and its subsidiaries. This financial covenant provides that we are not permitted to allow GEBV’s ratio of Consolidated Net GEBV Indebtedness to Consolidated GEBV EBITDA for a period of four consecutive fiscal quarters to be greater than 3.0 to 1.0 at the end of any fiscal quarter. Consolidated Net GEBV Indebtedness is determined net of the sum of cash and cash equivalents in excess of $100 million held by GEBV and its subsidiaries, cash and cash equivalents in excess of $150 million held by the Parent Company and its U.S. subsidiaries, and availability under our first lien revolving credit facility if the ratio of EBITDA to Consolidated Interest Expense described above is not applicable and the conditions to borrowing under the first lien revolving credit facility are met. Consolidated Net GEBV Indebtedness also excludes loans from other consolidated Goodyear entities. This financial covenant is also included in our pan-European accounts receivable securitization facility. At June 30, 2025, we were in compliance with this financial covenant.</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credit facilities also state that we may only incur additional debt or make restricted payments that are not otherwise expressly permitted if, after giving effect to the debt incurrence or the restricted payment, our ratio of EBITDA to Consolidated Interest Expense for the prior four fiscal quarters would exceed 2.0 to 1.0. Our credit facilities also permit the incurrence of additional debt through other provisions in those agreements without regard to our ability to satisfy the ratio-based incurrence test described above. We believe that these other provisions provide us with sufficient flexibility to incur additional debt necessary to meet our operating, investing and financing needs without regard to our ability to satisfy the ratio-based incurrence test.</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Covenants could change based upon a refinancing or amendment of an existing facility, or additional covenants may be added in connection with the incurrence of new debt.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2025, we were in compliance with the currently applicable material covenants imposed by our principal credit facilities and indentures.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terms “Available Cash,” “EBITDA,” “Consolidated Interest Expense,” “Consolidated Net GEBV Indebtedness” and “Consolidated GEBV EBITDA” have the meanings given them in the respective credit facilities.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Potential Future Financings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financing activities described above, we may seek to undertake additional financing actions which could include restructuring bank debt or capital markets transactions, possibly including the issuance of additional debt or equity. Given the inherent uncertainty of market conditions, access to the capital markets cannot be assured.</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future liquidity requirements may make it necessary for us to incur additional debt. However, a substantial portion of our assets are already subject to liens securing our indebtedness. As a result, we are limited in our ability to pledge our remaining assets as security for additional secured indebtedness. In addition, no assurance can be given as to our ability to raise additional unsecured debt.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Dividends and Common Stock Repurchases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our primary credit facilities, we are permitted to pay dividends on and repurchase our capital stock (which constitute restricted payments) as long as no default will have occurred and be continuing, additional indebtedness can be incurred under the credit facilities following the payment, and certain financial tests are satisfied.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currently pay a quarterly dividend on our common stock.</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repurchase shares delivered to us by employees as payment for the exercise price of stock options and the withholding taxes due upon the exercise of stock options or the vesting or payment of stock awards. During the first six months of 2025, we did not repurchase any shares from employees.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restrictions imposed by our credit facilities are not expected to significantly affect our ability to pay dividends or repurchase our capital stock in the future.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Asset Dispositions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Historically, the restrictions on asset sales and sale and leaseback transactions imposed by our material indebtedness have not affected our ability to divest non-core businesses or assets. We may undertake additional asset sales and sale and leaseback transactions in the future. The restrictions imposed by our material indebtedness may require us to seek waivers or amendments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covenants or alternative sources of financing to proceed with future transactions. We cannot assure you that such waivers, amendments or alternative financing could be obtained, or if obtained, would be on terms acceptable to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Guarantor Financial Information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of our subsidiaries, which are listed on Exhibit 22.1 to this Quarterly Report on Form 10-Q and are generally holding or operating companies, have guaranteed our obligations under the $500 million outstanding principal amount of 5% senior notes due 2026, the $700 million outstanding principal amount of 4.875% senior notes due 2027, the $850 million outstanding principal amount of 5% senior notes due 2029, the $500 million outstanding principal amount of 6.625% senior notes due 2030, the $550 million outstanding principal amount of 5.25% senior notes due April 2031, the $600 million outstanding principal amount of 5.25% senior notes due July 2031 and the $450 million outstanding principal amount of 5.625% senior notes due 2033 (collectively, the “Notes”).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Notes have been issued by The Goodyear Tire &amp; Rubber Company (the “Parent Company”) and are its senior unsecured obligations. The Notes rank equally in right of payment with all of our existing and future senior unsecured obligations and senior to any of our future subordinated indebtedness. The Notes are effectively subordinated to our existing and future secured indebtedness to the extent of the assets securing that indebtedness. The Notes are fully and unconditionally guaranteed on a joint and several basis by each of our wholly-owned U.S. and Canadian subsidiaries that also guarantee our obligations under our first lien revolving credit facility (such guarantees, the “Guarantees”; and, such guaranteeing subsidiaries, the “Subsidiary Guarantors”). The Guarantees are senior unsecured obligations of the Subsidiary Guarantors and rank equally in right of payment with all existing and future senior unsecured obligations of our Subsidiary Guarantors. The Guarantees are effectively subordinated to existing and future secured indebtedness of the Subsidiary Guarantors to the extent of the assets securing that indebtedness.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Notes are structurally subordinated to all of the existing and future debt and other liabilities, including trade payables, of our subsidiaries that do not guarantee the Notes (the “Non-Guarantor Subsidiaries”). The Non-Guarantor Subsidiaries will have no obligation, contingent or otherwise, to pay amounts due under the Notes or to make funds available to pay those amounts. Certain Non-Guarantor Subsidiaries are limited in their ability to remit funds to us by means of dividends, advances or loans due to required foreign government and/or currency exchange board approvals or limitations in credit agreements or other debt instruments of those subsidiaries.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Subsidiary Guarantors, as primary obligors and not merely as sureties, jointly and severally irrevocably and unconditionally guarantee on a senior unsecured basis the performance and full and punctual payment when due of all obligations of the Parent Company under the Notes and the related indentures, whether for payment of principal of or interest on the Notes, expenses, indemnification or otherwise. The Guarantees of the Subsidiary Guarantors are subject to release in limited circumstances only upon the occurrence of certain customary conditions.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the Guarantees provide the holders of Notes with a direct unsecured claim against the assets of the Subsidiary Guarantors, under U.S. federal bankruptcy law and comparable provisions of U.S. state fraudulent transfer laws, in certain circumstances a court could cancel a Guarantee and order the return of any payments made thereunder to the Subsidiary Guarantor or to a fund for the benefit of its creditors.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court might take these actions if it found, among other things, that when the Subsidiary Guarantors incurred the debt evidenced by their Guarantee (i) they received less than reasonably equivalent value or fair consideration for the incurrence of the debt and (ii) any one of the following conditions was satisfied:</w:t>
      </w:r>
    </w:p>
    <w:p>
      <w:pPr>
        <w:spacing w:after="0" w:line="68" w:lineRule="exact"/>
        <w:rPr>
          <w:sz w:val="20"/>
          <w:szCs w:val="20"/>
          <w:color w:val="auto"/>
        </w:rPr>
      </w:pPr>
    </w:p>
    <w:p>
      <w:pPr>
        <w:ind w:left="1700" w:hanging="801"/>
        <w:spacing w:after="0"/>
        <w:tabs>
          <w:tab w:leader="none" w:pos="1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Guarantor was insolvent or rendered insolvent by reason of the incurrence;</w:t>
      </w:r>
    </w:p>
    <w:p>
      <w:pPr>
        <w:spacing w:after="0" w:line="117" w:lineRule="exact"/>
        <w:rPr>
          <w:rFonts w:ascii="Times New Roman" w:cs="Times New Roman" w:eastAsia="Times New Roman" w:hAnsi="Times New Roman"/>
          <w:sz w:val="18"/>
          <w:szCs w:val="18"/>
          <w:color w:val="auto"/>
        </w:rPr>
      </w:pPr>
    </w:p>
    <w:p>
      <w:pPr>
        <w:ind w:left="1700" w:right="20" w:hanging="801"/>
        <w:spacing w:after="0" w:line="282" w:lineRule="auto"/>
        <w:tabs>
          <w:tab w:leader="none" w:pos="16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Guarantor was engaged in a business or transaction for which its remaining assets constituted unreasonably small capital; or</w:t>
      </w:r>
    </w:p>
    <w:p>
      <w:pPr>
        <w:spacing w:after="0" w:line="53" w:lineRule="exact"/>
        <w:rPr>
          <w:rFonts w:ascii="Times New Roman" w:cs="Times New Roman" w:eastAsia="Times New Roman" w:hAnsi="Times New Roman"/>
          <w:sz w:val="18"/>
          <w:szCs w:val="18"/>
          <w:color w:val="auto"/>
        </w:rPr>
      </w:pPr>
    </w:p>
    <w:p>
      <w:pPr>
        <w:ind w:left="1700" w:hanging="801"/>
        <w:spacing w:after="0" w:line="282" w:lineRule="auto"/>
        <w:tabs>
          <w:tab w:leader="none" w:pos="16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Guarantor intended to incur, or believed (or reasonably should have believed) that it would incur, debts beyond its ability to pay as those debts matured.</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applying the above factors, a court would likely find that a Subsidiary Guarantor did not receive fair consideration or reasonably equivalent value for its Guarantee, except to the extent that it benefited directly or indirectly from the issuance of the Notes. The determination of whether a guarantor was or was not rendered “insolvent” when it entered into its guarantee will vary depending on the law of the jurisdiction being applied. Generally, an entity would be considered insolvent if the sum of its debts (including contingent or unliquidated debts) is greater than all of its assets at a fair valuation or if the present fair salable value of its assets is less than the amount that will be required to pay its probable liability on its existing debts, including contingent or unliquidated debts, as they mature.</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Canadian federal bankruptcy and insolvency laws and comparable provincial laws on preferences, fraudulent conveyances or other challengeable or voidable transactions, the Guarantees could be challenged as a preference, fraudulent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conveyance, transfer at undervalue or other challengeable or voidable transaction. The test to be applied varies among the different pieces of legislation, but as a general matter these types of challenges may arise in circumstances where:</w:t>
      </w:r>
    </w:p>
    <w:p>
      <w:pPr>
        <w:spacing w:after="0" w:line="54" w:lineRule="exact"/>
        <w:rPr>
          <w:sz w:val="20"/>
          <w:szCs w:val="20"/>
          <w:color w:val="auto"/>
        </w:rPr>
      </w:pPr>
    </w:p>
    <w:p>
      <w:pPr>
        <w:ind w:left="1700" w:hanging="801"/>
        <w:spacing w:after="0"/>
        <w:tabs>
          <w:tab w:leader="none" w:pos="1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action was intended to defeat, hinder, delay, defraud or prejudice creditors or others;</w:t>
      </w:r>
    </w:p>
    <w:p>
      <w:pPr>
        <w:spacing w:after="0" w:line="117" w:lineRule="exact"/>
        <w:rPr>
          <w:rFonts w:ascii="Times New Roman" w:cs="Times New Roman" w:eastAsia="Times New Roman" w:hAnsi="Times New Roman"/>
          <w:sz w:val="18"/>
          <w:szCs w:val="18"/>
          <w:color w:val="auto"/>
        </w:rPr>
      </w:pPr>
    </w:p>
    <w:p>
      <w:pPr>
        <w:jc w:val="both"/>
        <w:ind w:left="1700" w:hanging="801"/>
        <w:spacing w:after="0" w:line="261" w:lineRule="auto"/>
        <w:tabs>
          <w:tab w:leader="none" w:pos="16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action was taken within a specified period of time prior to the commencement of proceedings under Canadian bankruptcy, insolvency or restructuring legislation in respect of a Subsidiary Guarantor, the consideration received by the Subsidiary Guarantor was conspicuously less than the fair market value of the consideration given, and the Subsidiary Guarantor was insolvent or rendered insolvent by such action and (in some circumstances, or) such action was intended to defraud, defeat or delay a creditor;</w:t>
      </w:r>
    </w:p>
    <w:p>
      <w:pPr>
        <w:spacing w:after="0" w:line="71" w:lineRule="exact"/>
        <w:rPr>
          <w:rFonts w:ascii="Times New Roman" w:cs="Times New Roman" w:eastAsia="Times New Roman" w:hAnsi="Times New Roman"/>
          <w:sz w:val="18"/>
          <w:szCs w:val="18"/>
          <w:color w:val="auto"/>
        </w:rPr>
      </w:pPr>
    </w:p>
    <w:p>
      <w:pPr>
        <w:jc w:val="both"/>
        <w:ind w:left="1700" w:hanging="801"/>
        <w:spacing w:after="0" w:line="261" w:lineRule="auto"/>
        <w:tabs>
          <w:tab w:leader="none" w:pos="16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action was taken within a specified period of time prior to the commencement of proceedings under Canadian bankruptcy, insolvency or restructuring legislation in respect of a Subsidiary Guarantor and such action was taken, or is deemed to have been taken, with a view to giving a creditor a preference over other creditors or, in some circumstances, had the effect of giving a creditor a preference over other creditors; or</w:t>
      </w:r>
    </w:p>
    <w:p>
      <w:pPr>
        <w:spacing w:after="0" w:line="71" w:lineRule="exact"/>
        <w:rPr>
          <w:rFonts w:ascii="Times New Roman" w:cs="Times New Roman" w:eastAsia="Times New Roman" w:hAnsi="Times New Roman"/>
          <w:sz w:val="18"/>
          <w:szCs w:val="18"/>
          <w:color w:val="auto"/>
        </w:rPr>
      </w:pPr>
    </w:p>
    <w:p>
      <w:pPr>
        <w:ind w:left="1700" w:hanging="801"/>
        <w:spacing w:after="0" w:line="282" w:lineRule="auto"/>
        <w:tabs>
          <w:tab w:leader="none" w:pos="16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Subsidiary Guarantor is found to have acted in a manner that was oppressive, unfairly prejudicial to or unfairly disregarded the interests of any shareholder, creditor, director, officer or other interested party.</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in certain insolvency proceedings a Canadian court may subordinate claims in respect of the Guarantees to other claims against a Subsidiary Guarantor under the principle of equitable subordination if the court determines that (1) the holder of Notes engaged in some type of inequitable or improper conduct, (2) the inequitable or improper conduct resulted in injury to other creditors or conferred an unfair advantage upon the holder of Notes and (3) equitable subordination is not inconsistent with the provisions of the relevant solvency statute.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 court canceled a Guarantee, the holders of Notes would no longer have a claim against that Subsidiary Guarantor or its assets.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Guarantee is limited, by its terms, to an amount not to exceed the maximum amount that can be guaranteed by the applicable Subsidiary Guarantor without rendering the Guarantee, as it relates to that Subsidiary Guarantor, voidable under applicable law relating to fraudulent conveyance or fraudulent transfer or similar laws affecting the rights of creditors generally.</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Subsidiary Guarantor is a consolidated subsidiary of the Parent Company at the date of each balance sheet presented. The following tables present summarized financial information for the Parent Company and the Subsidiary Guarantors on a combined basis after elimination of (i) intercompany transactions and balances among the Parent Company and the Subsidiary Guarantors and (ii) equity in earnings from and investments in any Non-Guarantor Subsidiary.</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Summarized Balance Sheets</w:t>
            </w:r>
          </w:p>
        </w:tc>
        <w:tc>
          <w:tcPr>
            <w:tcW w:w="480" w:type="dxa"/>
            <w:vAlign w:val="bottom"/>
          </w:tcPr>
          <w:p>
            <w:pPr>
              <w:spacing w:after="0"/>
              <w:rPr>
                <w:sz w:val="16"/>
                <w:szCs w:val="16"/>
                <w:color w:val="auto"/>
              </w:rPr>
            </w:pPr>
          </w:p>
        </w:tc>
      </w:tr>
      <w:tr>
        <w:trPr>
          <w:trHeight w:val="37"/>
        </w:trPr>
        <w:tc>
          <w:tcPr>
            <w:tcW w:w="84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171"/>
        </w:trPr>
        <w:tc>
          <w:tcPr>
            <w:tcW w:w="8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90"/>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16"/>
                <w:szCs w:val="16"/>
                <w:color w:val="auto"/>
              </w:rPr>
            </w:pPr>
          </w:p>
        </w:tc>
        <w:tc>
          <w:tcPr>
            <w:tcW w:w="106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7"/>
        </w:trPr>
        <w:tc>
          <w:tcPr>
            <w:tcW w:w="848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264"/>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r>
              <w:rPr>
                <w:rFonts w:ascii="Times New Roman" w:cs="Times New Roman" w:eastAsia="Times New Roman" w:hAnsi="Times New Roman"/>
                <w:sz w:val="23"/>
                <w:szCs w:val="23"/>
                <w:color w:val="auto"/>
                <w:vertAlign w:val="superscript"/>
              </w:rPr>
              <w:t>(1)</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6,017</w:t>
            </w:r>
          </w:p>
        </w:tc>
        <w:tc>
          <w:tcPr>
            <w:tcW w:w="100" w:type="dxa"/>
            <w:vAlign w:val="bottom"/>
            <w:shd w:val="clear" w:color="auto" w:fill="CFF0FC"/>
          </w:tcPr>
          <w:p>
            <w:pPr>
              <w:spacing w:after="0"/>
              <w:rPr>
                <w:sz w:val="22"/>
                <w:szCs w:val="22"/>
                <w:color w:val="auto"/>
              </w:rPr>
            </w:pPr>
          </w:p>
        </w:tc>
        <w:tc>
          <w:tcPr>
            <w:tcW w:w="840" w:type="dxa"/>
            <w:vAlign w:val="bottom"/>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5,621</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Non-Current Assets</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8,487</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8,606</w:t>
            </w: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848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106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840" w:type="dxa"/>
            <w:vAlign w:val="bottom"/>
            <w:shd w:val="clear" w:color="auto" w:fill="CFF0FC"/>
          </w:tcPr>
          <w:p>
            <w:pPr>
              <w:spacing w:after="0"/>
              <w:rPr>
                <w:sz w:val="23"/>
                <w:szCs w:val="23"/>
                <w:color w:val="auto"/>
              </w:rPr>
            </w:pPr>
          </w:p>
        </w:tc>
        <w:tc>
          <w:tcPr>
            <w:tcW w:w="480" w:type="dxa"/>
            <w:vAlign w:val="bottom"/>
            <w:shd w:val="clear" w:color="auto" w:fill="CFF0FC"/>
          </w:tcPr>
          <w:p>
            <w:pPr>
              <w:spacing w:after="0"/>
              <w:rPr>
                <w:sz w:val="23"/>
                <w:szCs w:val="23"/>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100" w:type="dxa"/>
            <w:vAlign w:val="bottom"/>
          </w:tcPr>
          <w:p>
            <w:pPr>
              <w:spacing w:after="0"/>
              <w:rPr>
                <w:sz w:val="21"/>
                <w:szCs w:val="21"/>
                <w:color w:val="auto"/>
              </w:rPr>
            </w:pPr>
          </w:p>
        </w:tc>
        <w:tc>
          <w:tcPr>
            <w:tcW w:w="84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3,420</w:t>
            </w: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43"/>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7,867</w:t>
            </w:r>
          </w:p>
        </w:tc>
        <w:tc>
          <w:tcPr>
            <w:tcW w:w="1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7,932</w:t>
            </w:r>
          </w:p>
        </w:tc>
      </w:tr>
      <w:tr>
        <w:trPr>
          <w:trHeight w:val="27"/>
        </w:trPr>
        <w:tc>
          <w:tcPr>
            <w:tcW w:w="848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84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-864870</wp:posOffset>
            </wp:positionV>
            <wp:extent cx="6032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ind w:left="360" w:right="40" w:hanging="334"/>
        <w:spacing w:after="0" w:line="229" w:lineRule="auto"/>
        <w:tabs>
          <w:tab w:leader="none" w:pos="347"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receivables due from Non-Guarantor Subsidiaries of $1,487 million and $1,824 million as of June 30, 2025 and December 31, 2024, respectively.</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80" w:type="dxa"/>
            <w:vAlign w:val="bottom"/>
            <w:gridSpan w:val="4"/>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Summarized Statements of Operations</w:t>
            </w:r>
          </w:p>
        </w:tc>
      </w:tr>
      <w:tr>
        <w:trPr>
          <w:trHeight w:val="37"/>
        </w:trPr>
        <w:tc>
          <w:tcPr>
            <w:tcW w:w="8480" w:type="dxa"/>
            <w:vAlign w:val="bottom"/>
          </w:tcPr>
          <w:p>
            <w:pPr>
              <w:spacing w:after="0"/>
              <w:rPr>
                <w:sz w:val="3"/>
                <w:szCs w:val="3"/>
                <w:color w:val="auto"/>
              </w:rPr>
            </w:pPr>
          </w:p>
        </w:tc>
        <w:tc>
          <w:tcPr>
            <w:tcW w:w="1420" w:type="dxa"/>
            <w:vAlign w:val="bottom"/>
            <w:tcBorders>
              <w:bottom w:val="single" w:sz="8" w:color="auto"/>
            </w:tcBorders>
            <w:gridSpan w:val="3"/>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71"/>
        </w:trPr>
        <w:tc>
          <w:tcPr>
            <w:tcW w:w="8480" w:type="dxa"/>
            <w:vAlign w:val="bottom"/>
          </w:tcPr>
          <w:p>
            <w:pPr>
              <w:spacing w:after="0"/>
              <w:rPr>
                <w:sz w:val="14"/>
                <w:szCs w:val="14"/>
                <w:color w:val="auto"/>
              </w:rPr>
            </w:pP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0" w:type="dxa"/>
            <w:vAlign w:val="bottom"/>
          </w:tcPr>
          <w:p>
            <w:pPr>
              <w:spacing w:after="0"/>
              <w:rPr>
                <w:sz w:val="14"/>
                <w:szCs w:val="14"/>
                <w:color w:val="auto"/>
              </w:rPr>
            </w:pPr>
          </w:p>
        </w:tc>
        <w:tc>
          <w:tcPr>
            <w:tcW w:w="112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90"/>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7"/>
        </w:trPr>
        <w:tc>
          <w:tcPr>
            <w:tcW w:w="848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3"/>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4,964</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10,402</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8,427</w:t>
            </w:r>
          </w:p>
        </w:tc>
      </w:tr>
      <w:tr>
        <w:trPr>
          <w:trHeight w:val="27"/>
        </w:trPr>
        <w:tc>
          <w:tcPr>
            <w:tcW w:w="8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Administrative and General Expense</w:t>
            </w:r>
          </w:p>
        </w:tc>
        <w:tc>
          <w:tcPr>
            <w:tcW w:w="1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1,495</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Impairment</w:t>
            </w:r>
          </w:p>
        </w:tc>
        <w:tc>
          <w:tcPr>
            <w:tcW w:w="16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7"/>
        </w:trPr>
        <w:tc>
          <w:tcPr>
            <w:tcW w:w="8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Rationalizations</w:t>
            </w:r>
          </w:p>
        </w:tc>
        <w:tc>
          <w:tcPr>
            <w:tcW w:w="1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r>
      <w:tr>
        <w:trPr>
          <w:trHeight w:val="27"/>
        </w:trPr>
        <w:tc>
          <w:tcPr>
            <w:tcW w:w="8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(Gains) on Asset Sales</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84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8"/>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84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r>
      <w:tr>
        <w:trPr>
          <w:trHeight w:val="217"/>
        </w:trPr>
        <w:tc>
          <w:tcPr>
            <w:tcW w:w="8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0"/>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Goodyear Net Income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bl>
    <w:p>
      <w:pPr>
        <w:spacing w:after="0" w:line="36" w:lineRule="exact"/>
        <w:rPr>
          <w:sz w:val="20"/>
          <w:szCs w:val="20"/>
          <w:color w:val="auto"/>
        </w:rPr>
      </w:pPr>
    </w:p>
    <w:p>
      <w:pPr>
        <w:jc w:val="both"/>
        <w:ind w:left="360" w:right="20" w:hanging="334"/>
        <w:spacing w:after="0" w:line="235" w:lineRule="auto"/>
        <w:tabs>
          <w:tab w:leader="none" w:pos="347"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income from intercompany transactions with Non-Guarantor Subsidiaries of $241 million for the six months ended June 30, 2025, primarily from royalties, intercompany product sales, dividends and interest, and $659 million for the year ended December 31, 2024, primarily from royalties, dividends, interest and intercompany product sales.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INFORMATION — SAFE HARBOR STATEMENT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information in this Form 10-Q (other than historical data and information) may constitute forward-looking statements regarding events and trends that may affect our future operating results and financial position. The words “estimate,” “expect,” “intend” and “project,” as well as other words or expressions of similar meaning, are intended to identify forward-looking statements. You are cautioned not to place undue reliance on forward-looking statements, which speak only as of the date of this Quarterly Report on Form 10-Q. Such statements are based on current expectations and assumptions, are inherently uncertain, are subject to risks and should be viewed with caution. Actual results and experience may differ materially from the forward-looking statements as a result of many factors, including:</w:t>
      </w:r>
    </w:p>
    <w:p>
      <w:pPr>
        <w:spacing w:after="0" w:line="187" w:lineRule="exact"/>
        <w:rPr>
          <w:sz w:val="20"/>
          <w:szCs w:val="20"/>
          <w:color w:val="auto"/>
        </w:rPr>
      </w:pPr>
    </w:p>
    <w:p>
      <w:pPr>
        <w:ind w:left="1700" w:hanging="801"/>
        <w:spacing w:after="0" w:line="282" w:lineRule="auto"/>
        <w:tabs>
          <w:tab w:leader="none" w:pos="16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successfully implement the Goodyear Forward plan and our other strategic initiatives, including the sale of our Chemical Business, our operating results, financial condition and liquidity may be materially adversely affected;</w:t>
      </w:r>
    </w:p>
    <w:p>
      <w:pPr>
        <w:spacing w:after="0" w:line="53" w:lineRule="exact"/>
        <w:rPr>
          <w:rFonts w:ascii="Times New Roman" w:cs="Times New Roman" w:eastAsia="Times New Roman" w:hAnsi="Times New Roman"/>
          <w:sz w:val="18"/>
          <w:szCs w:val="18"/>
          <w:color w:val="auto"/>
        </w:rPr>
      </w:pPr>
    </w:p>
    <w:p>
      <w:pPr>
        <w:ind w:left="1700" w:hanging="801"/>
        <w:spacing w:after="0" w:line="282" w:lineRule="auto"/>
        <w:tabs>
          <w:tab w:leader="none" w:pos="16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consummate the sale of our Chemical Business on a timely basis or at all, including failure to obtain the required regulatory approvals or to satisfy other conditions to closing;</w:t>
      </w:r>
    </w:p>
    <w:p>
      <w:pPr>
        <w:spacing w:after="0" w:line="5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global competition and our market share could decline;</w:t>
      </w:r>
    </w:p>
    <w:p>
      <w:pPr>
        <w:spacing w:after="0" w:line="117"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raw material cost increases may materially adversely affect our operating results and financial condition;</w:t>
      </w:r>
    </w:p>
    <w:p>
      <w:pPr>
        <w:spacing w:after="0" w:line="117" w:lineRule="exact"/>
        <w:rPr>
          <w:rFonts w:ascii="Times New Roman" w:cs="Times New Roman" w:eastAsia="Times New Roman" w:hAnsi="Times New Roman"/>
          <w:sz w:val="18"/>
          <w:szCs w:val="18"/>
          <w:color w:val="auto"/>
        </w:rPr>
      </w:pPr>
    </w:p>
    <w:p>
      <w:pPr>
        <w:ind w:left="1700" w:right="20" w:hanging="801"/>
        <w:spacing w:after="0" w:line="282" w:lineRule="auto"/>
        <w:tabs>
          <w:tab w:leader="none" w:pos="16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inflationary cost pressures, including with respect to wages, benefits and energy costs, that may materially adversely affect our operating results and financial condition;</w:t>
      </w:r>
    </w:p>
    <w:p>
      <w:pPr>
        <w:spacing w:after="0" w:line="53" w:lineRule="exact"/>
        <w:rPr>
          <w:rFonts w:ascii="Times New Roman" w:cs="Times New Roman" w:eastAsia="Times New Roman" w:hAnsi="Times New Roman"/>
          <w:sz w:val="18"/>
          <w:szCs w:val="18"/>
          <w:color w:val="auto"/>
        </w:rPr>
      </w:pPr>
    </w:p>
    <w:p>
      <w:pPr>
        <w:ind w:left="1700" w:hanging="801"/>
        <w:spacing w:after="0" w:line="282" w:lineRule="auto"/>
        <w:tabs>
          <w:tab w:leader="none" w:pos="16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our supply chain or in the provision of services, including utilities, to us could result in increased costs or disruptions in our operations;</w:t>
      </w:r>
    </w:p>
    <w:p>
      <w:pPr>
        <w:spacing w:after="0" w:line="5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prolonged economic downturn or economic uncertainty could adversely affect our business and results of operations;</w:t>
      </w:r>
    </w:p>
    <w:p>
      <w:pPr>
        <w:spacing w:after="0" w:line="117" w:lineRule="exact"/>
        <w:rPr>
          <w:rFonts w:ascii="Times New Roman" w:cs="Times New Roman" w:eastAsia="Times New Roman" w:hAnsi="Times New Roman"/>
          <w:sz w:val="18"/>
          <w:szCs w:val="18"/>
          <w:color w:val="auto"/>
        </w:rPr>
      </w:pPr>
    </w:p>
    <w:p>
      <w:pPr>
        <w:ind w:left="1700" w:hanging="801"/>
        <w:spacing w:after="0" w:line="282" w:lineRule="auto"/>
        <w:tabs>
          <w:tab w:leader="none" w:pos="16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deteriorating economic conditions in any of our major markets, or an inability to access capital markets or third-party financing when necessary, may materially adversely affect our operating results, financial condition and liquidity;</w:t>
      </w:r>
    </w:p>
    <w:p>
      <w:pPr>
        <w:spacing w:after="0" w:line="53" w:lineRule="exact"/>
        <w:rPr>
          <w:rFonts w:ascii="Times New Roman" w:cs="Times New Roman" w:eastAsia="Times New Roman" w:hAnsi="Times New Roman"/>
          <w:sz w:val="18"/>
          <w:szCs w:val="18"/>
          <w:color w:val="auto"/>
        </w:rPr>
      </w:pPr>
    </w:p>
    <w:p>
      <w:pPr>
        <w:ind w:left="1700" w:hanging="801"/>
        <w:spacing w:after="0" w:line="282" w:lineRule="auto"/>
        <w:tabs>
          <w:tab w:leader="none" w:pos="16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a labor strike, work stoppage, labor shortage or other similar event at the Company or its joint ventures, our business, results of operations, financial condition and liquidity could be materially adversely affected;</w:t>
      </w:r>
    </w:p>
    <w:p>
      <w:pPr>
        <w:spacing w:after="0" w:line="53" w:lineRule="exact"/>
        <w:rPr>
          <w:rFonts w:ascii="Times New Roman" w:cs="Times New Roman" w:eastAsia="Times New Roman" w:hAnsi="Times New Roman"/>
          <w:sz w:val="18"/>
          <w:szCs w:val="18"/>
          <w:color w:val="auto"/>
        </w:rPr>
      </w:pPr>
    </w:p>
    <w:p>
      <w:pPr>
        <w:ind w:left="1700" w:right="20" w:hanging="801"/>
        <w:spacing w:after="0" w:line="282" w:lineRule="auto"/>
        <w:tabs>
          <w:tab w:leader="none" w:pos="16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difficulties, work stoppages, labor shortages, supply disruptions or economic conditions affecting our major OE customers, dealers or suppliers could harm our business;</w:t>
      </w:r>
    </w:p>
    <w:p>
      <w:pPr>
        <w:spacing w:after="0" w:line="53" w:lineRule="exact"/>
        <w:rPr>
          <w:rFonts w:ascii="Times New Roman" w:cs="Times New Roman" w:eastAsia="Times New Roman" w:hAnsi="Times New Roman"/>
          <w:sz w:val="18"/>
          <w:szCs w:val="18"/>
          <w:color w:val="auto"/>
        </w:rPr>
      </w:pPr>
    </w:p>
    <w:p>
      <w:pPr>
        <w:ind w:left="1700" w:hanging="801"/>
        <w:spacing w:after="0" w:line="282" w:lineRule="auto"/>
        <w:tabs>
          <w:tab w:leader="none" w:pos="16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expenditures may not be adequate to maintain our competitive position and may not be implemented in a timely or cost-effective manner;</w:t>
      </w:r>
    </w:p>
    <w:p>
      <w:pPr>
        <w:spacing w:after="0" w:line="5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tariffs, trade agreements or trade restrictions may materially adversely affect our operating results;</w:t>
      </w:r>
    </w:p>
    <w:p>
      <w:pPr>
        <w:spacing w:after="0" w:line="117" w:lineRule="exact"/>
        <w:rPr>
          <w:rFonts w:ascii="Times New Roman" w:cs="Times New Roman" w:eastAsia="Times New Roman" w:hAnsi="Times New Roman"/>
          <w:sz w:val="18"/>
          <w:szCs w:val="18"/>
          <w:color w:val="auto"/>
        </w:rPr>
      </w:pPr>
    </w:p>
    <w:p>
      <w:pPr>
        <w:ind w:left="1700" w:hanging="801"/>
        <w:spacing w:after="0" w:line="282" w:lineRule="auto"/>
        <w:tabs>
          <w:tab w:leader="none" w:pos="16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have certain risks that may materially adversely affect our operating results, financial condition and liquidity;</w:t>
      </w:r>
    </w:p>
    <w:p>
      <w:pPr>
        <w:spacing w:after="0" w:line="53" w:lineRule="exact"/>
        <w:rPr>
          <w:rFonts w:ascii="Times New Roman" w:cs="Times New Roman" w:eastAsia="Times New Roman" w:hAnsi="Times New Roman"/>
          <w:sz w:val="18"/>
          <w:szCs w:val="18"/>
          <w:color w:val="auto"/>
        </w:rPr>
      </w:pPr>
    </w:p>
    <w:p>
      <w:pPr>
        <w:ind w:left="1700" w:hanging="801"/>
        <w:spacing w:after="0" w:line="282" w:lineRule="auto"/>
        <w:tabs>
          <w:tab w:leader="none" w:pos="16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foreign currency translation and transaction risks that may materially adversely affect our operating results, financial condition and liquidity;</w:t>
      </w:r>
    </w:p>
    <w:p>
      <w:pPr>
        <w:spacing w:after="0" w:line="53" w:lineRule="exact"/>
        <w:rPr>
          <w:rFonts w:ascii="Times New Roman" w:cs="Times New Roman" w:eastAsia="Times New Roman" w:hAnsi="Times New Roman"/>
          <w:sz w:val="18"/>
          <w:szCs w:val="18"/>
          <w:color w:val="auto"/>
        </w:rPr>
      </w:pPr>
    </w:p>
    <w:p>
      <w:pPr>
        <w:ind w:left="1700" w:right="20" w:hanging="801"/>
        <w:spacing w:after="0" w:line="282" w:lineRule="auto"/>
        <w:tabs>
          <w:tab w:leader="none" w:pos="16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ability to meet our obligations, to repay maturing indebtedness or to implement strategic initiatives may be dependent on our ability to access capital markets in the future and to improve our operating results;</w:t>
      </w:r>
    </w:p>
    <w:p>
      <w:pPr>
        <w:spacing w:after="0" w:line="53" w:lineRule="exact"/>
        <w:rPr>
          <w:rFonts w:ascii="Times New Roman" w:cs="Times New Roman" w:eastAsia="Times New Roman" w:hAnsi="Times New Roman"/>
          <w:sz w:val="18"/>
          <w:szCs w:val="18"/>
          <w:color w:val="auto"/>
        </w:rPr>
      </w:pPr>
    </w:p>
    <w:p>
      <w:pPr>
        <w:ind w:left="1700" w:hanging="801"/>
        <w:spacing w:after="0" w:line="282" w:lineRule="auto"/>
        <w:tabs>
          <w:tab w:leader="none" w:pos="16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substantial amount of debt, which could restrict our growth, place us at a competitive disadvantage or otherwise materially adversely affect our financial health;</w:t>
      </w:r>
    </w:p>
    <w:p>
      <w:pPr>
        <w:spacing w:after="0" w:line="53" w:lineRule="exact"/>
        <w:rPr>
          <w:rFonts w:ascii="Times New Roman" w:cs="Times New Roman" w:eastAsia="Times New Roman" w:hAnsi="Times New Roman"/>
          <w:sz w:val="18"/>
          <w:szCs w:val="18"/>
          <w:color w:val="auto"/>
        </w:rPr>
      </w:pPr>
    </w:p>
    <w:p>
      <w:pPr>
        <w:ind w:left="1700" w:hanging="801"/>
        <w:spacing w:after="0" w:line="282" w:lineRule="auto"/>
        <w:tabs>
          <w:tab w:leader="none" w:pos="16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be in compliance with any material provision or covenant of our debt instruments, or a material reduction in the borrowing base under our first lien revolving credit facility, could have a material adverse effect on our liquidity and operations;</w:t>
      </w:r>
    </w:p>
    <w:p>
      <w:pPr>
        <w:spacing w:after="0" w:line="53" w:lineRule="exact"/>
        <w:rPr>
          <w:rFonts w:ascii="Times New Roman" w:cs="Times New Roman" w:eastAsia="Times New Roman" w:hAnsi="Times New Roman"/>
          <w:sz w:val="18"/>
          <w:szCs w:val="18"/>
          <w:color w:val="auto"/>
        </w:rPr>
      </w:pPr>
    </w:p>
    <w:p>
      <w:pPr>
        <w:ind w:left="1700" w:hanging="801"/>
        <w:spacing w:after="0" w:line="282" w:lineRule="auto"/>
        <w:tabs>
          <w:tab w:leader="none" w:pos="16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variable rate indebtedness subjects us to interest rate risk, which could cause our debt service obligations to increase significantly;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1700" w:hanging="801"/>
        <w:spacing w:after="0"/>
        <w:tabs>
          <w:tab w:leader="none" w:pos="1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substantial fixed costs and, as a result, our operating income fluctuates disproportionately with changes in our net sales;</w:t>
      </w:r>
    </w:p>
    <w:p>
      <w:pPr>
        <w:spacing w:after="0" w:line="117"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significant costs in connection with our contingent liabilities and tax matters;</w:t>
      </w:r>
    </w:p>
    <w:p>
      <w:pPr>
        <w:spacing w:after="0" w:line="117" w:lineRule="exact"/>
        <w:rPr>
          <w:rFonts w:ascii="Times New Roman" w:cs="Times New Roman" w:eastAsia="Times New Roman" w:hAnsi="Times New Roman"/>
          <w:sz w:val="18"/>
          <w:szCs w:val="18"/>
          <w:color w:val="auto"/>
        </w:rPr>
      </w:pPr>
    </w:p>
    <w:p>
      <w:pPr>
        <w:ind w:left="1700" w:right="20" w:hanging="801"/>
        <w:spacing w:after="0" w:line="282" w:lineRule="auto"/>
        <w:tabs>
          <w:tab w:leader="none" w:pos="16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reserves for contingent liabilities and our recorded insurance assets are subject to various uncertainties, the outcome of which may result in our actual costs being significantly higher than the amounts recorded;</w:t>
      </w:r>
    </w:p>
    <w:p>
      <w:pPr>
        <w:spacing w:after="0" w:line="53" w:lineRule="exact"/>
        <w:rPr>
          <w:rFonts w:ascii="Times New Roman" w:cs="Times New Roman" w:eastAsia="Times New Roman" w:hAnsi="Times New Roman"/>
          <w:sz w:val="18"/>
          <w:szCs w:val="18"/>
          <w:color w:val="auto"/>
        </w:rPr>
      </w:pPr>
    </w:p>
    <w:p>
      <w:pPr>
        <w:ind w:left="1700" w:hanging="801"/>
        <w:spacing w:after="0" w:line="282" w:lineRule="auto"/>
        <w:tabs>
          <w:tab w:leader="none" w:pos="16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issues, including climate change, or legal, regulatory or market measures to address environmental issues, may negatively affect our business and operations and cause us to incur significant costs;</w:t>
      </w:r>
    </w:p>
    <w:p>
      <w:pPr>
        <w:spacing w:after="0" w:line="5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extensive government regulations that may materially adversely affect our operating results;</w:t>
      </w:r>
    </w:p>
    <w:p>
      <w:pPr>
        <w:spacing w:after="0" w:line="117" w:lineRule="exact"/>
        <w:rPr>
          <w:rFonts w:ascii="Times New Roman" w:cs="Times New Roman" w:eastAsia="Times New Roman" w:hAnsi="Times New Roman"/>
          <w:sz w:val="18"/>
          <w:szCs w:val="18"/>
          <w:color w:val="auto"/>
        </w:rPr>
      </w:pPr>
    </w:p>
    <w:p>
      <w:pPr>
        <w:ind w:left="1700" w:hanging="801"/>
        <w:spacing w:after="0" w:line="282" w:lineRule="auto"/>
        <w:tabs>
          <w:tab w:leader="none" w:pos="16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adversely affected by any disruption in, or failure of, our information technology systems due to computer viruses, unauthorized access, cyber-attack, natural disasters or other similar disruptions;</w:t>
      </w:r>
    </w:p>
    <w:p>
      <w:pPr>
        <w:spacing w:after="0" w:line="5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our intellectual property rights adequately;</w:t>
      </w:r>
    </w:p>
    <w:p>
      <w:pPr>
        <w:spacing w:after="0" w:line="117"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and retain key personnel, our business could be materially adversely affected; and</w:t>
      </w:r>
    </w:p>
    <w:p>
      <w:pPr>
        <w:spacing w:after="0" w:line="117" w:lineRule="exact"/>
        <w:rPr>
          <w:rFonts w:ascii="Times New Roman" w:cs="Times New Roman" w:eastAsia="Times New Roman" w:hAnsi="Times New Roman"/>
          <w:sz w:val="18"/>
          <w:szCs w:val="18"/>
          <w:color w:val="auto"/>
        </w:rPr>
      </w:pPr>
    </w:p>
    <w:p>
      <w:pPr>
        <w:jc w:val="both"/>
        <w:ind w:left="1700" w:hanging="801"/>
        <w:spacing w:after="0" w:line="266" w:lineRule="auto"/>
        <w:tabs>
          <w:tab w:leader="none" w:pos="16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impacted by economic and supply disruptions associated with events beyond our control, such as war, including the current conflicts between Russia and Ukraine and in the Middle East, acts of terror, political unrest, public health concerns, labor disputes or natural disasters.</w:t>
      </w:r>
    </w:p>
    <w:p>
      <w:pPr>
        <w:spacing w:after="0" w:line="6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It is not possible to foresee or identify all such factors. We will not revise or update any forward-looking statement or disclose any facts, events or circumstances that occur after the date hereof that may affect the accuracy of any forward-looking statement.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derivative financial instrument contracts and nonderivative instruments to manage interest rate, foreign exchange and commodity price risks. We have established a control environment that includes policies and procedures for risk assessment and the approval, reporting and monitoring of derivative financial instrument activities. We do not hold or issue derivative financial instruments for trading purposes.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Commodity Price Risk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raw material costs to which our operations are principally exposed include the cost of natural rubber, synthetic rubber, carbon black, fabrics, steel cord and other petrochemical-based commodities. Approximately two-thirds of our raw materials are petroleum-based, the cost of which may be affected by fluctuations in the price of oil. We currently do not hedge commodity prices. We do, however, use various strategies to partially offset cost increases for raw materials, including centralizing purchases of raw materials through our global procurement organization in an effort to leverage our purchasing power, expanding our capabilities to substitute lower cost raw materials, and reducing the amount of material required in each tire.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Rate Risk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continuously monitor our fixed and floating rate debt mix. Within defined limitations, we manage the mix using refinancing. At June 30, 2025, approximately 30% of our debt was at variable interest rates averaging 6.42%.</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long term fixed rate debt, excluding finance leases, at June 30, 2025:</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Carrying amount — liability</w:t>
            </w:r>
          </w:p>
        </w:tc>
        <w:tc>
          <w:tcPr>
            <w:tcW w:w="42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5,027</w:t>
            </w:r>
          </w:p>
        </w:tc>
      </w:tr>
      <w:tr>
        <w:trPr>
          <w:trHeight w:val="243"/>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 liability</w:t>
            </w:r>
          </w:p>
        </w:tc>
        <w:tc>
          <w:tcPr>
            <w:tcW w:w="4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4,933</w:t>
            </w:r>
          </w:p>
        </w:tc>
      </w:tr>
      <w:tr>
        <w:trPr>
          <w:trHeight w:val="27"/>
        </w:trPr>
        <w:tc>
          <w:tcPr>
            <w:tcW w:w="61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3"/>
        </w:trPr>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 forma fair value — liability</w:t>
            </w:r>
          </w:p>
        </w:tc>
        <w:tc>
          <w:tcPr>
            <w:tcW w:w="42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5,098</w:t>
            </w:r>
          </w:p>
        </w:tc>
      </w:tr>
      <w:tr>
        <w:trPr>
          <w:trHeight w:val="27"/>
        </w:trPr>
        <w:tc>
          <w:tcPr>
            <w:tcW w:w="6120" w:type="dxa"/>
            <w:vAlign w:val="bottom"/>
            <w:shd w:val="clear" w:color="auto" w:fill="CFF0FC"/>
          </w:tcPr>
          <w:p>
            <w:pPr>
              <w:spacing w:after="0"/>
              <w:rPr>
                <w:sz w:val="2"/>
                <w:szCs w:val="2"/>
                <w:color w:val="auto"/>
              </w:rPr>
            </w:pPr>
          </w:p>
        </w:tc>
        <w:tc>
          <w:tcPr>
            <w:tcW w:w="4260" w:type="dxa"/>
            <w:vAlign w:val="bottom"/>
            <w:shd w:val="clear" w:color="auto" w:fill="CFF0FC"/>
          </w:tcPr>
          <w:p>
            <w:pPr>
              <w:spacing w:after="0"/>
              <w:rPr>
                <w:sz w:val="2"/>
                <w:szCs w:val="2"/>
                <w:color w:val="auto"/>
              </w:rPr>
            </w:pPr>
          </w:p>
        </w:tc>
        <w:tc>
          <w:tcPr>
            <w:tcW w:w="840" w:type="dxa"/>
            <w:vAlign w:val="bottom"/>
            <w:shd w:val="clear" w:color="auto" w:fill="CFF0FC"/>
          </w:tcPr>
          <w:p>
            <w:pPr>
              <w:spacing w:after="0"/>
              <w:rPr>
                <w:sz w:val="2"/>
                <w:szCs w:val="2"/>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 forma information assumes a 100 basis point decrease in market interest rates at June 30, 2025, and reflects the estimated fair value of fixed rate debt outstanding at that date under that assumption. The sensitivity of our fixed rate debt to changes in interest rates was determined using current market pricing models.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Foreign Currency Exchange Risk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enter into foreign currency contracts in order to reduce the impact of changes in foreign exchange rates on our consolidated results of operations and future foreign currency-denominated cash flows. These contracts reduce exposure to currency movements affecting existing foreign currency-denominated assets, liabilities, firm commitments and forecasted transactions resulting primarily from trade purchases and sales, equipment acquisitions, intercompany loans and royalty agreements. Contracts hedging short term trade receivables and payables normally have no hedging designation.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net foreign currency contract information at June 30, 2025:</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 asset (liability)</w:t>
            </w:r>
          </w:p>
        </w:tc>
        <w:tc>
          <w:tcPr>
            <w:tcW w:w="41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43"/>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 forma decrease in fair value</w:t>
            </w:r>
          </w:p>
        </w:tc>
        <w:tc>
          <w:tcPr>
            <w:tcW w:w="4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7"/>
        </w:trPr>
        <w:tc>
          <w:tcPr>
            <w:tcW w:w="61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maturities</w:t>
            </w:r>
          </w:p>
        </w:tc>
        <w:tc>
          <w:tcPr>
            <w:tcW w:w="41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7/25-5/26</w:t>
            </w:r>
          </w:p>
        </w:tc>
      </w:tr>
      <w:tr>
        <w:trPr>
          <w:trHeight w:val="27"/>
        </w:trPr>
        <w:tc>
          <w:tcPr>
            <w:tcW w:w="6120" w:type="dxa"/>
            <w:vAlign w:val="bottom"/>
            <w:shd w:val="clear" w:color="auto" w:fill="CFF0FC"/>
          </w:tcPr>
          <w:p>
            <w:pPr>
              <w:spacing w:after="0"/>
              <w:rPr>
                <w:sz w:val="2"/>
                <w:szCs w:val="2"/>
                <w:color w:val="auto"/>
              </w:rPr>
            </w:pPr>
          </w:p>
        </w:tc>
        <w:tc>
          <w:tcPr>
            <w:tcW w:w="414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 forma decrease in fair value assumes a 10% adverse change in underlying foreign exchange rates at June 30, 2025, and reflects the estimated change in the fair value of contracts outstanding at that date under that assumption. The sensitivity of our foreign currency positions to changes in exchange rates was determined using current market pricing models.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values are recognized on the Consolidated Balance Sheet at June 30, 2025 as follows:</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23430" cy="1714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23430" cy="171450"/>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asset (liability):</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4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59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43"/>
        </w:trPr>
        <w:tc>
          <w:tcPr>
            <w:tcW w:w="5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5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7"/>
        </w:trPr>
        <w:tc>
          <w:tcPr>
            <w:tcW w:w="5900" w:type="dxa"/>
            <w:vAlign w:val="bottom"/>
            <w:shd w:val="clear" w:color="auto" w:fill="CFF0FC"/>
          </w:tcPr>
          <w:p>
            <w:pPr>
              <w:spacing w:after="0"/>
              <w:rPr>
                <w:sz w:val="2"/>
                <w:szCs w:val="2"/>
                <w:color w:val="auto"/>
              </w:rPr>
            </w:pPr>
          </w:p>
        </w:tc>
        <w:tc>
          <w:tcPr>
            <w:tcW w:w="456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r>
    </w:tbl>
    <w:p>
      <w:pPr>
        <w:spacing w:after="0" w:line="18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further information on foreign currency contracts, refer to Note to the Consolidated Financial Statements No. 9, Financing Arrangements and Derivative Financial Instruments. Refer to “Management’s Discussion and Analysis of Financial Condition and Results of Operations — Liquidity and Capital Resources” for a discussion of our management of counterparty risk.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Evaluation of Disclosure Controls and Procedures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which, consistent with Rule 13a-15(e) under the Securities Exchange Act of 1934, as amended, we define to mean controls and other procedures that are designed to ensure that information required to be disclosed by us in the reports that we file or submit under the Securities Exchange Act of 1934 is recorded, processed, summarized and reported within the time periods specified in the Securities and Exchange Commission’s rules and forms, and to ensure that such information is accumulated and communicated to our management, including our principal executive and financial officers, as appropriate, to allow timely decisions regarding required disclosure.</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and financial officers, has evaluated the effectiveness of our disclosure controls and procedures. Based on such evaluation, our principal executive and financial officers have concluded that such disclosure controls and procedures were effective as of June 30, 2025 (the end of the period covered by this Quarterly Report on Form 10-Q).</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period covered by this report that have materially affected, or are reasonably likely to materially affect, our internal control over financial reporting.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Asbestos Litigation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reported in our Form 10-K for the year ended December 31, 2024, we were one of numerous defendants in legal proceedings in certain state and federal courts involving approximately 35,400 claimants relating to their alleged exposure to materials containing asbestos in products allegedly manufactured by us or asbestos materials present in our facilities. During the first six months of 2025, approximately 360 claims were filed against us and approximately 2,900 were settled or dismissed. The amounts expended on asbestos defense and claim resolution by us and our insurers during the first six months of 2025 was $7 million. At June 30, 2025, there were approximately 32,860 asbestos claims pending against us. The plaintiffs are seeking unspecified actual and punitive damages and other relief. Refer to Note to the Consolidated Financial Statements No. 13, Commitments and Contingent Liabilities, for additional information on asbestos litigation.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the legal proceedings described above and in our 2024 Form 10-K and quarterly reports on Form 10-Q, various other legal actions, indirect tax assessments, claims and governmental investigations and proceedings covering a wide range of matters are pending against us, including claims and proceedings relating to several waste disposal sites that have been identified by the United States Environmental Protection Agency and similar agencies of various states or foreign jurisdictions for remedial investigation and cleanup, which sites were allegedly used by us in the past for the disposal of industrial waste materials. Based on available information, we do not consider any such action, assessment, claim, investigation or proceeding to be material, within the meaning of that term as used in Item 103 of Regulation S-K and the instructions thereto. As permitted by SEC regulations, we use a threshold of $1 million for purposes of determining whether disclosure is required with respect to any environmental proceedings in which a governmental authority is a party and we reasonably believe that such proceeding will result in monetary sanctions (exclusive of interest and costs).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additional information regarding our legal proceedings, refer to Note to the Consolidated Financial Statements No. 19, Commitments and Contingent Liabilities, and Part I, Item 3, Legal Proceedings, in our 2024 Form 10-K, Part II, Item 1, in our Quarterly Report on Form 10-Q for the quarterly period ended March 31, 2025, and Note to the Consolidated Financial Statements No. 13, Commitments and Contingent Liabilities, in this Form 10-Q.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“Item 1A. Risk Factors” in our 2024 Form 10-K for a discussion of our risk factors.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quarterly period ended June 30, 2025, none of our directors or officers informed us of the adoption, modification or termination of a "Rule 10b5-1 trading arrangement" or a "non-Rule 10b5-1 trading arrangement," as those terms are defined in Regulation S-K, Item 408.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the Index of Exhibits, which is by specific reference incorporated into and made a part of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68580</wp:posOffset>
            </wp:positionV>
            <wp:extent cx="183451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31"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For the Quarter Ended June 30, 2025</w:t>
      </w:r>
    </w:p>
    <w:p>
      <w:pPr>
        <w:spacing w:after="0" w:line="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INDEX OF EXHIBITS</w:t>
      </w:r>
    </w:p>
    <w:p>
      <w:pPr>
        <w:spacing w:after="0" w:line="38" w:lineRule="exact"/>
        <w:rPr>
          <w:sz w:val="20"/>
          <w:szCs w:val="20"/>
          <w:color w:val="auto"/>
        </w:rPr>
      </w:pPr>
    </w:p>
    <w:tbl>
      <w:tblPr>
        <w:tblLayout w:type="fixed"/>
        <w:tblInd w:w="300" w:type="dxa"/>
        <w:tblCellMar>
          <w:top w:w="0" w:type="dxa"/>
          <w:left w:w="0" w:type="dxa"/>
          <w:bottom w:w="0" w:type="dxa"/>
          <w:right w:w="0" w:type="dxa"/>
        </w:tblCellMar>
      </w:tblPr>
      <w:tr>
        <w:trPr>
          <w:trHeight w:val="175"/>
        </w:trPr>
        <w:tc>
          <w:tcPr>
            <w:tcW w:w="2360" w:type="dxa"/>
            <w:vAlign w:val="bottom"/>
            <w:gridSpan w:val="3"/>
          </w:tcPr>
          <w:p>
            <w:pPr>
              <w:jc w:val="center"/>
              <w:ind w:right="192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9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60" w:type="dxa"/>
            <w:vAlign w:val="bottom"/>
            <w:gridSpan w:val="3"/>
          </w:tcPr>
          <w:p>
            <w:pPr>
              <w:jc w:val="center"/>
              <w:ind w:right="1900"/>
              <w:spacing w:after="0"/>
              <w:rPr>
                <w:sz w:val="20"/>
                <w:szCs w:val="20"/>
                <w:color w:val="auto"/>
              </w:rPr>
            </w:pPr>
            <w:r>
              <w:rPr>
                <w:rFonts w:ascii="Times New Roman" w:cs="Times New Roman" w:eastAsia="Times New Roman" w:hAnsi="Times New Roman"/>
                <w:sz w:val="14"/>
                <w:szCs w:val="14"/>
                <w:b w:val="1"/>
                <w:bCs w:val="1"/>
                <w:color w:val="auto"/>
                <w:w w:val="99"/>
              </w:rPr>
              <w:t>Table</w:t>
            </w:r>
          </w:p>
        </w:tc>
        <w:tc>
          <w:tcPr>
            <w:tcW w:w="19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62"/>
        </w:trPr>
        <w:tc>
          <w:tcPr>
            <w:tcW w:w="2360" w:type="dxa"/>
            <w:vAlign w:val="bottom"/>
            <w:gridSpan w:val="3"/>
          </w:tcPr>
          <w:p>
            <w:pPr>
              <w:jc w:val="center"/>
              <w:ind w:right="1920"/>
              <w:spacing w:after="0"/>
              <w:rPr>
                <w:sz w:val="20"/>
                <w:szCs w:val="20"/>
                <w:color w:val="auto"/>
              </w:rPr>
            </w:pPr>
            <w:r>
              <w:rPr>
                <w:rFonts w:ascii="Times New Roman" w:cs="Times New Roman" w:eastAsia="Times New Roman" w:hAnsi="Times New Roman"/>
                <w:sz w:val="14"/>
                <w:szCs w:val="14"/>
                <w:b w:val="1"/>
                <w:bCs w:val="1"/>
                <w:color w:val="auto"/>
                <w:w w:val="99"/>
              </w:rPr>
              <w:t>Item</w:t>
            </w:r>
          </w:p>
        </w:tc>
        <w:tc>
          <w:tcPr>
            <w:tcW w:w="19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20" w:type="dxa"/>
            <w:vAlign w:val="bottom"/>
          </w:tcPr>
          <w:p>
            <w:pPr>
              <w:spacing w:after="0"/>
              <w:rPr>
                <w:sz w:val="13"/>
                <w:szCs w:val="13"/>
                <w:color w:val="auto"/>
              </w:rPr>
            </w:pPr>
          </w:p>
        </w:tc>
        <w:tc>
          <w:tcPr>
            <w:tcW w:w="2240" w:type="dxa"/>
            <w:vAlign w:val="bottom"/>
            <w:gridSpan w:val="2"/>
          </w:tcPr>
          <w:p>
            <w:pPr>
              <w:jc w:val="center"/>
              <w:ind w:right="2040"/>
              <w:spacing w:after="0" w:line="160" w:lineRule="exact"/>
              <w:rPr>
                <w:sz w:val="20"/>
                <w:szCs w:val="20"/>
                <w:color w:val="auto"/>
              </w:rPr>
            </w:pPr>
            <w:r>
              <w:rPr>
                <w:rFonts w:ascii="Times New Roman" w:cs="Times New Roman" w:eastAsia="Times New Roman" w:hAnsi="Times New Roman"/>
                <w:sz w:val="14"/>
                <w:szCs w:val="14"/>
                <w:b w:val="1"/>
                <w:bCs w:val="1"/>
                <w:color w:val="auto"/>
                <w:w w:val="96"/>
              </w:rPr>
              <w:t>No.</w:t>
            </w:r>
          </w:p>
        </w:tc>
        <w:tc>
          <w:tcPr>
            <w:tcW w:w="7240" w:type="dxa"/>
            <w:vAlign w:val="bottom"/>
            <w:gridSpan w:val="3"/>
          </w:tcPr>
          <w:p>
            <w:pPr>
              <w:ind w:left="1900"/>
              <w:spacing w:after="0" w:line="160" w:lineRule="exact"/>
              <w:rPr>
                <w:sz w:val="20"/>
                <w:szCs w:val="20"/>
                <w:color w:val="auto"/>
              </w:rPr>
            </w:pPr>
            <w:r>
              <w:rPr>
                <w:rFonts w:ascii="Times New Roman" w:cs="Times New Roman" w:eastAsia="Times New Roman" w:hAnsi="Times New Roman"/>
                <w:sz w:val="14"/>
                <w:szCs w:val="14"/>
                <w:b w:val="1"/>
                <w:bCs w:val="1"/>
                <w:color w:val="auto"/>
              </w:rPr>
              <w:t>Description of Exhibit</w:t>
            </w:r>
          </w:p>
        </w:tc>
        <w:tc>
          <w:tcPr>
            <w:tcW w:w="5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1140" w:hanging="664"/>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Plan of Acquisition, Reorganization, Arrangement, Liquidation, or Succession</w:t>
      </w:r>
    </w:p>
    <w:p>
      <w:pPr>
        <w:spacing w:after="0" w:line="148"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80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Asset Purchase Agreement, dated as of May 22, 2025, by and between the Company and G-3 Purchaser, LLC.*</w:t>
            </w:r>
          </w:p>
        </w:tc>
        <w:tc>
          <w:tcPr>
            <w:tcW w:w="500" w:type="dxa"/>
            <w:vAlign w:val="bottom"/>
            <w:gridSpan w:val="2"/>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4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81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Amendment 1 to Asset Purchase Agreement, dated as of August 4, 2025, by and between the Company and G-3</w:t>
            </w:r>
          </w:p>
        </w:tc>
        <w:tc>
          <w:tcPr>
            <w:tcW w:w="3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196"/>
        </w:trPr>
        <w:tc>
          <w:tcPr>
            <w:tcW w:w="720" w:type="dxa"/>
            <w:vAlign w:val="bottom"/>
          </w:tcPr>
          <w:p>
            <w:pPr>
              <w:spacing w:after="0"/>
              <w:rPr>
                <w:sz w:val="17"/>
                <w:szCs w:val="17"/>
                <w:color w:val="auto"/>
              </w:rPr>
            </w:pPr>
          </w:p>
        </w:tc>
        <w:tc>
          <w:tcPr>
            <w:tcW w:w="128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8"/>
              </w:rPr>
              <w:t>Purchaser, LLC.*</w:t>
            </w:r>
          </w:p>
        </w:tc>
        <w:tc>
          <w:tcPr>
            <w:tcW w:w="7260" w:type="dxa"/>
            <w:vAlign w:val="bottom"/>
            <w:gridSpan w:val="3"/>
          </w:tcPr>
          <w:p>
            <w:pPr>
              <w:spacing w:after="0"/>
              <w:rPr>
                <w:sz w:val="17"/>
                <w:szCs w:val="17"/>
                <w:color w:val="auto"/>
              </w:rPr>
            </w:pPr>
          </w:p>
        </w:tc>
        <w:tc>
          <w:tcPr>
            <w:tcW w:w="580" w:type="dxa"/>
            <w:vAlign w:val="bottom"/>
          </w:tcPr>
          <w:p>
            <w:pPr>
              <w:spacing w:after="0"/>
              <w:rPr>
                <w:sz w:val="17"/>
                <w:szCs w:val="17"/>
                <w:color w:val="auto"/>
              </w:rPr>
            </w:pPr>
          </w:p>
        </w:tc>
      </w:tr>
    </w:tbl>
    <w:p>
      <w:pPr>
        <w:spacing w:after="0" w:line="153" w:lineRule="exact"/>
        <w:rPr>
          <w:sz w:val="20"/>
          <w:szCs w:val="20"/>
          <w:color w:val="auto"/>
        </w:rPr>
      </w:pPr>
    </w:p>
    <w:p>
      <w:pPr>
        <w:ind w:left="1140" w:hanging="664"/>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Instruments Defining the Rights of Security Holders, Including Indentures</w:t>
      </w:r>
    </w:p>
    <w:p>
      <w:pPr>
        <w:spacing w:after="0" w:line="162" w:lineRule="exact"/>
        <w:rPr>
          <w:sz w:val="20"/>
          <w:szCs w:val="20"/>
          <w:color w:val="auto"/>
        </w:rPr>
      </w:pPr>
    </w:p>
    <w:p>
      <w:pPr>
        <w:jc w:val="both"/>
        <w:ind w:left="1140" w:right="1160" w:hanging="719"/>
        <w:spacing w:after="0" w:line="261" w:lineRule="auto"/>
        <w:tabs>
          <w:tab w:leader="none" w:pos="1140" w:val="left"/>
        </w:tabs>
        <w:numPr>
          <w:ilvl w:val="0"/>
          <w:numId w:val="20"/>
        </w:numPr>
        <w:rPr>
          <w:rFonts w:ascii="Times New Roman" w:cs="Times New Roman" w:eastAsia="Times New Roman" w:hAnsi="Times New Roman"/>
          <w:sz w:val="18"/>
          <w:szCs w:val="18"/>
          <w:u w:val="single" w:color="auto"/>
          <w:color w:val="0000FF"/>
        </w:rPr>
      </w:pPr>
      <w:hyperlink r:id="rId298">
        <w:r>
          <w:rPr>
            <w:rFonts w:ascii="Times New Roman" w:cs="Times New Roman" w:eastAsia="Times New Roman" w:hAnsi="Times New Roman"/>
            <w:sz w:val="18"/>
            <w:szCs w:val="18"/>
            <w:u w:val="single" w:color="auto"/>
            <w:color w:val="0000FF"/>
          </w:rPr>
          <w:t>Twelfth Supplemental Indenture, dated as of June 3, 2025, among the Company, the Subsidiary Guarantors and</w:t>
        </w:r>
      </w:hyperlink>
      <w:r>
        <w:rPr>
          <w:rFonts w:ascii="Times New Roman" w:cs="Times New Roman" w:eastAsia="Times New Roman" w:hAnsi="Times New Roman"/>
          <w:sz w:val="18"/>
          <w:szCs w:val="18"/>
          <w:u w:val="single" w:color="auto"/>
          <w:color w:val="0000FF"/>
        </w:rPr>
        <w:t xml:space="preserve"> </w:t>
      </w:r>
      <w:hyperlink r:id="rId298">
        <w:r>
          <w:rPr>
            <w:rFonts w:ascii="Times New Roman" w:cs="Times New Roman" w:eastAsia="Times New Roman" w:hAnsi="Times New Roman"/>
            <w:sz w:val="18"/>
            <w:szCs w:val="18"/>
            <w:u w:val="single" w:color="auto"/>
            <w:color w:val="0000FF"/>
          </w:rPr>
          <w:t>Computershare Trust Company, N.A., as successor to Wells Fargo Bank, N.A., as Trustee, in respect of the</w:t>
        </w:r>
      </w:hyperlink>
      <w:r>
        <w:rPr>
          <w:rFonts w:ascii="Times New Roman" w:cs="Times New Roman" w:eastAsia="Times New Roman" w:hAnsi="Times New Roman"/>
          <w:sz w:val="18"/>
          <w:szCs w:val="18"/>
          <w:u w:val="single" w:color="auto"/>
          <w:color w:val="0000FF"/>
        </w:rPr>
        <w:t xml:space="preserve"> </w:t>
      </w:r>
      <w:hyperlink r:id="rId298">
        <w:r>
          <w:rPr>
            <w:rFonts w:ascii="Times New Roman" w:cs="Times New Roman" w:eastAsia="Times New Roman" w:hAnsi="Times New Roman"/>
            <w:sz w:val="18"/>
            <w:szCs w:val="18"/>
            <w:u w:val="single" w:color="auto"/>
            <w:color w:val="0000FF"/>
          </w:rPr>
          <w:t>Company’s 6.625% Senior Notes due 2030 (incorporated by reference, filed as Exhibit 4.2 to the Company’s</w:t>
        </w:r>
      </w:hyperlink>
      <w:r>
        <w:rPr>
          <w:rFonts w:ascii="Times New Roman" w:cs="Times New Roman" w:eastAsia="Times New Roman" w:hAnsi="Times New Roman"/>
          <w:sz w:val="18"/>
          <w:szCs w:val="18"/>
          <w:u w:val="single" w:color="auto"/>
          <w:color w:val="0000FF"/>
        </w:rPr>
        <w:t xml:space="preserve"> </w:t>
      </w:r>
      <w:hyperlink r:id="rId298">
        <w:r>
          <w:rPr>
            <w:rFonts w:ascii="Times New Roman" w:cs="Times New Roman" w:eastAsia="Times New Roman" w:hAnsi="Times New Roman"/>
            <w:sz w:val="18"/>
            <w:szCs w:val="18"/>
            <w:u w:val="single" w:color="auto"/>
            <w:color w:val="0000FF"/>
          </w:rPr>
          <w:t>Current Report on Form 8-K, filed June 3, 2025, File No. 1-1927).</w:t>
        </w:r>
      </w:hyperlink>
    </w:p>
    <w:p>
      <w:pPr>
        <w:spacing w:after="0" w:line="108" w:lineRule="exact"/>
        <w:rPr>
          <w:rFonts w:ascii="Times New Roman" w:cs="Times New Roman" w:eastAsia="Times New Roman" w:hAnsi="Times New Roman"/>
          <w:sz w:val="18"/>
          <w:szCs w:val="18"/>
          <w:u w:val="single" w:color="auto"/>
          <w:color w:val="0000FF"/>
        </w:rPr>
      </w:pPr>
    </w:p>
    <w:p>
      <w:pPr>
        <w:ind w:left="1140" w:hanging="709"/>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Material Contracts</w:t>
      </w:r>
    </w:p>
    <w:p>
      <w:pPr>
        <w:spacing w:after="0" w:line="148" w:lineRule="exact"/>
        <w:rPr>
          <w:rFonts w:ascii="Times New Roman" w:cs="Times New Roman" w:eastAsia="Times New Roman" w:hAnsi="Times New Roman"/>
          <w:sz w:val="18"/>
          <w:szCs w:val="18"/>
          <w:u w:val="single" w:color="auto"/>
          <w:color w:val="0000FF"/>
        </w:rPr>
      </w:pPr>
    </w:p>
    <w:tbl>
      <w:tblPr>
        <w:tblLayout w:type="fixed"/>
        <w:tblInd w:w="420" w:type="dxa"/>
        <w:tblCellMar>
          <w:top w:w="0" w:type="dxa"/>
          <w:left w:w="0" w:type="dxa"/>
          <w:bottom w:w="0" w:type="dxa"/>
          <w:right w:w="0" w:type="dxa"/>
        </w:tblCellMar>
      </w:tblPr>
      <w:tr>
        <w:trPr>
          <w:trHeight w:val="20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81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Amended and Restated First Lien Credit Agreement, dated as of May 19, 2025, among the Company, the lenders</w:t>
            </w:r>
          </w:p>
        </w:tc>
        <w:tc>
          <w:tcPr>
            <w:tcW w:w="3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196"/>
        </w:trPr>
        <w:tc>
          <w:tcPr>
            <w:tcW w:w="720" w:type="dxa"/>
            <w:vAlign w:val="bottom"/>
          </w:tcPr>
          <w:p>
            <w:pPr>
              <w:spacing w:after="0"/>
              <w:rPr>
                <w:sz w:val="17"/>
                <w:szCs w:val="17"/>
                <w:color w:val="auto"/>
              </w:rPr>
            </w:pPr>
          </w:p>
        </w:tc>
        <w:tc>
          <w:tcPr>
            <w:tcW w:w="818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and issuing banks party thereto, and JPMorgan Chase Bank, N.A., as Administrative Agent and Collateral</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85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Agent.*</w:t>
            </w:r>
          </w:p>
        </w:tc>
        <w:tc>
          <w:tcPr>
            <w:tcW w:w="660" w:type="dxa"/>
            <w:vAlign w:val="bottom"/>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45"/>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85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Reaffirmation Agreement with respect to the Amended and Restated First Lien Guarantee and Collateral</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0"/>
        </w:trPr>
        <w:tc>
          <w:tcPr>
            <w:tcW w:w="720" w:type="dxa"/>
            <w:vAlign w:val="bottom"/>
          </w:tcPr>
          <w:p>
            <w:pPr>
              <w:spacing w:after="0" w:line="20" w:lineRule="exact"/>
              <w:rPr>
                <w:sz w:val="1"/>
                <w:szCs w:val="1"/>
                <w:color w:val="auto"/>
              </w:rPr>
            </w:pPr>
          </w:p>
        </w:tc>
        <w:tc>
          <w:tcPr>
            <w:tcW w:w="5920" w:type="dxa"/>
            <w:vAlign w:val="bottom"/>
            <w:gridSpan w:val="2"/>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818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Agreement, dated as of May 19, 2025, among the Company, the subsidiaries of the Company identified therein</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85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and JPMorgan Chase Bank, N.A., as Administrative Agent and Collateral Agent.*</w:t>
            </w:r>
          </w:p>
        </w:tc>
        <w:tc>
          <w:tcPr>
            <w:tcW w:w="660" w:type="dxa"/>
            <w:vAlign w:val="bottom"/>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340" w:type="dxa"/>
            <w:vAlign w:val="bottom"/>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157" w:lineRule="exact"/>
        <w:rPr>
          <w:rFonts w:ascii="Times New Roman" w:cs="Times New Roman" w:eastAsia="Times New Roman" w:hAnsi="Times New Roman"/>
          <w:sz w:val="18"/>
          <w:szCs w:val="18"/>
          <w:u w:val="single" w:color="auto"/>
          <w:color w:val="0000FF"/>
        </w:rPr>
      </w:pPr>
    </w:p>
    <w:p>
      <w:pPr>
        <w:ind w:left="1140" w:right="1160" w:hanging="719"/>
        <w:spacing w:after="0" w:line="282" w:lineRule="auto"/>
        <w:tabs>
          <w:tab w:leader="none" w:pos="1140" w:val="left"/>
        </w:tabs>
        <w:numPr>
          <w:ilvl w:val="0"/>
          <w:numId w:val="22"/>
        </w:numPr>
        <w:rPr>
          <w:rFonts w:ascii="Times New Roman" w:cs="Times New Roman" w:eastAsia="Times New Roman" w:hAnsi="Times New Roman"/>
          <w:sz w:val="18"/>
          <w:szCs w:val="18"/>
          <w:u w:val="single" w:color="auto"/>
          <w:color w:val="0000FF"/>
        </w:rPr>
      </w:pPr>
      <w:hyperlink r:id="rId299">
        <w:r>
          <w:rPr>
            <w:rFonts w:ascii="Times New Roman" w:cs="Times New Roman" w:eastAsia="Times New Roman" w:hAnsi="Times New Roman"/>
            <w:sz w:val="18"/>
            <w:szCs w:val="18"/>
            <w:u w:val="single" w:color="auto"/>
            <w:color w:val="0000FF"/>
          </w:rPr>
          <w:t>2022 Performance Plan of the Company, as amended April 14, 2025 (incorporated by reference, filed as Exhibit</w:t>
        </w:r>
      </w:hyperlink>
      <w:r>
        <w:rPr>
          <w:rFonts w:ascii="Times New Roman" w:cs="Times New Roman" w:eastAsia="Times New Roman" w:hAnsi="Times New Roman"/>
          <w:sz w:val="18"/>
          <w:szCs w:val="18"/>
          <w:u w:val="single" w:color="auto"/>
          <w:color w:val="0000FF"/>
        </w:rPr>
        <w:t xml:space="preserve"> </w:t>
      </w:r>
      <w:hyperlink r:id="rId299">
        <w:r>
          <w:rPr>
            <w:rFonts w:ascii="Times New Roman" w:cs="Times New Roman" w:eastAsia="Times New Roman" w:hAnsi="Times New Roman"/>
            <w:sz w:val="18"/>
            <w:szCs w:val="18"/>
            <w:u w:val="single" w:color="auto"/>
            <w:color w:val="0000FF"/>
          </w:rPr>
          <w:t>10.1 to the Company’s Current Report on Form 8-K, filed April 16, 2025, File No. 1-1927).</w:t>
        </w:r>
      </w:hyperlink>
    </w:p>
    <w:p>
      <w:pPr>
        <w:spacing w:after="0" w:line="90" w:lineRule="exact"/>
        <w:rPr>
          <w:rFonts w:ascii="Times New Roman" w:cs="Times New Roman" w:eastAsia="Times New Roman" w:hAnsi="Times New Roman"/>
          <w:sz w:val="18"/>
          <w:szCs w:val="18"/>
          <w:color w:val="auto"/>
        </w:rPr>
      </w:pPr>
    </w:p>
    <w:p>
      <w:pPr>
        <w:ind w:left="1140" w:hanging="709"/>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Subsidiary Guarantors of Guaranteed Securities</w:t>
      </w:r>
    </w:p>
    <w:p>
      <w:pPr>
        <w:spacing w:after="0" w:line="162" w:lineRule="exact"/>
        <w:rPr>
          <w:rFonts w:ascii="Times New Roman" w:cs="Times New Roman" w:eastAsia="Times New Roman" w:hAnsi="Times New Roman"/>
          <w:sz w:val="18"/>
          <w:szCs w:val="18"/>
          <w:color w:val="auto"/>
        </w:rPr>
      </w:pPr>
    </w:p>
    <w:p>
      <w:pPr>
        <w:ind w:left="420"/>
        <w:spacing w:after="0"/>
        <w:tabs>
          <w:tab w:leader="none" w:pos="1120" w:val="left"/>
          <w:tab w:leader="none" w:pos="998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u w:val="single" w:color="auto"/>
          <w:color w:val="0000FF"/>
        </w:rPr>
        <w:t>List of Subsidiary Guarantors.</w:t>
      </w:r>
      <w:r>
        <w:rPr>
          <w:sz w:val="20"/>
          <w:szCs w:val="20"/>
          <w:color w:val="auto"/>
        </w:rPr>
        <w:tab/>
      </w:r>
      <w:r>
        <w:rPr>
          <w:rFonts w:ascii="Times New Roman" w:cs="Times New Roman" w:eastAsia="Times New Roman" w:hAnsi="Times New Roman"/>
          <w:sz w:val="18"/>
          <w:szCs w:val="18"/>
          <w:color w:val="auto"/>
        </w:rPr>
        <w:t>22.1</w:t>
      </w:r>
    </w:p>
    <w:p>
      <w:pPr>
        <w:spacing w:after="0" w:line="154" w:lineRule="exact"/>
        <w:rPr>
          <w:rFonts w:ascii="Times New Roman" w:cs="Times New Roman" w:eastAsia="Times New Roman" w:hAnsi="Times New Roman"/>
          <w:sz w:val="18"/>
          <w:szCs w:val="18"/>
          <w:color w:val="auto"/>
        </w:rPr>
      </w:pPr>
    </w:p>
    <w:p>
      <w:pPr>
        <w:ind w:left="1140" w:hanging="709"/>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Rule 13a-14(a) Certifications</w:t>
      </w:r>
    </w:p>
    <w:p>
      <w:pPr>
        <w:spacing w:after="0" w:line="148" w:lineRule="exact"/>
        <w:rPr>
          <w:rFonts w:ascii="Times New Roman" w:cs="Times New Roman" w:eastAsia="Times New Roman" w:hAnsi="Times New Roman"/>
          <w:sz w:val="18"/>
          <w:szCs w:val="18"/>
          <w:color w:val="auto"/>
        </w:rPr>
      </w:pPr>
    </w:p>
    <w:tbl>
      <w:tblPr>
        <w:tblLayout w:type="fixed"/>
        <w:tblInd w:w="420" w:type="dxa"/>
        <w:tblCellMar>
          <w:top w:w="0" w:type="dxa"/>
          <w:left w:w="0" w:type="dxa"/>
          <w:bottom w:w="0" w:type="dxa"/>
          <w:right w:w="0" w:type="dxa"/>
        </w:tblCellMar>
      </w:tblPr>
      <w:tr>
        <w:trPr>
          <w:trHeight w:val="20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Certificate of Chief Executive Officer pursuant to Rule 13a-14(a) under the Securities Exchange Act of 1934.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34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78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Certificate of Chief Financial Officer pursuant to Rule 13a-14(a) under the Securities Exchange Act of 1934.</w:t>
            </w:r>
          </w:p>
        </w:tc>
        <w:tc>
          <w:tcPr>
            <w:tcW w:w="4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r>
    </w:tbl>
    <w:p>
      <w:pPr>
        <w:spacing w:after="0" w:line="153" w:lineRule="exact"/>
        <w:rPr>
          <w:rFonts w:ascii="Times New Roman" w:cs="Times New Roman" w:eastAsia="Times New Roman" w:hAnsi="Times New Roman"/>
          <w:sz w:val="18"/>
          <w:szCs w:val="18"/>
          <w:color w:val="auto"/>
        </w:rPr>
      </w:pPr>
    </w:p>
    <w:p>
      <w:pPr>
        <w:ind w:left="1140" w:hanging="709"/>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1350 Certifications</w:t>
      </w:r>
    </w:p>
    <w:p>
      <w:pPr>
        <w:spacing w:after="0" w:line="148" w:lineRule="exact"/>
        <w:rPr>
          <w:rFonts w:ascii="Times New Roman" w:cs="Times New Roman" w:eastAsia="Times New Roman" w:hAnsi="Times New Roman"/>
          <w:sz w:val="18"/>
          <w:szCs w:val="18"/>
          <w:color w:val="auto"/>
        </w:rPr>
      </w:pPr>
    </w:p>
    <w:tbl>
      <w:tblPr>
        <w:tblLayout w:type="fixed"/>
        <w:tblInd w:w="380" w:type="dxa"/>
        <w:tblCellMar>
          <w:top w:w="0" w:type="dxa"/>
          <w:left w:w="0" w:type="dxa"/>
          <w:bottom w:w="0" w:type="dxa"/>
          <w:right w:w="0" w:type="dxa"/>
        </w:tblCellMar>
      </w:tblPr>
      <w:tr>
        <w:trPr>
          <w:trHeight w:val="207"/>
        </w:trPr>
        <w:tc>
          <w:tcPr>
            <w:tcW w:w="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(a)</w:t>
            </w:r>
          </w:p>
        </w:tc>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Certificate of Chief Executive Officer and Chief Financial Officer pursuant to Rule 13a-14(b) under the</w:t>
            </w:r>
          </w:p>
        </w:tc>
        <w:tc>
          <w:tcPr>
            <w:tcW w:w="9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32.1</w:t>
            </w:r>
          </w:p>
        </w:tc>
      </w:tr>
      <w:tr>
        <w:trPr>
          <w:trHeight w:val="196"/>
        </w:trPr>
        <w:tc>
          <w:tcPr>
            <w:tcW w:w="760" w:type="dxa"/>
            <w:vAlign w:val="bottom"/>
          </w:tcPr>
          <w:p>
            <w:pPr>
              <w:spacing w:after="0"/>
              <w:rPr>
                <w:sz w:val="17"/>
                <w:szCs w:val="17"/>
                <w:color w:val="auto"/>
              </w:rPr>
            </w:pPr>
          </w:p>
        </w:tc>
        <w:tc>
          <w:tcPr>
            <w:tcW w:w="242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Securities Exchange Act of 1934.</w:t>
            </w:r>
          </w:p>
        </w:tc>
        <w:tc>
          <w:tcPr>
            <w:tcW w:w="5740" w:type="dxa"/>
            <w:vAlign w:val="bottom"/>
            <w:tcBorders>
              <w:top w:val="single" w:sz="8" w:color="0000FF"/>
            </w:tcBorders>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385"/>
        </w:trPr>
        <w:tc>
          <w:tcPr>
            <w:tcW w:w="7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6"/>
              </w:rPr>
              <w:t>101</w:t>
            </w:r>
          </w:p>
        </w:tc>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Interactive Data Files</w:t>
            </w:r>
          </w:p>
        </w:tc>
        <w:tc>
          <w:tcPr>
            <w:tcW w:w="920" w:type="dxa"/>
            <w:vAlign w:val="bottom"/>
          </w:tcPr>
          <w:p>
            <w:pPr>
              <w:spacing w:after="0"/>
              <w:rPr>
                <w:sz w:val="24"/>
                <w:szCs w:val="24"/>
                <w:color w:val="auto"/>
              </w:rPr>
            </w:pPr>
          </w:p>
        </w:tc>
      </w:tr>
      <w:tr>
        <w:trPr>
          <w:trHeight w:val="346"/>
        </w:trPr>
        <w:tc>
          <w:tcPr>
            <w:tcW w:w="760" w:type="dxa"/>
            <w:vAlign w:val="bottom"/>
          </w:tcPr>
          <w:p>
            <w:pPr>
              <w:spacing w:after="0"/>
              <w:rPr>
                <w:sz w:val="24"/>
                <w:szCs w:val="24"/>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w:t>
            </w:r>
          </w:p>
        </w:tc>
        <w:tc>
          <w:tcPr>
            <w:tcW w:w="9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101.INS</w:t>
            </w:r>
          </w:p>
        </w:tc>
      </w:tr>
      <w:tr>
        <w:trPr>
          <w:trHeight w:val="234"/>
        </w:trPr>
        <w:tc>
          <w:tcPr>
            <w:tcW w:w="760" w:type="dxa"/>
            <w:vAlign w:val="bottom"/>
          </w:tcPr>
          <w:p>
            <w:pPr>
              <w:spacing w:after="0"/>
              <w:rPr>
                <w:sz w:val="20"/>
                <w:szCs w:val="20"/>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tags are embedded within the Inline XBRL document.</w:t>
            </w:r>
          </w:p>
        </w:tc>
        <w:tc>
          <w:tcPr>
            <w:tcW w:w="920" w:type="dxa"/>
            <w:vAlign w:val="bottom"/>
          </w:tcPr>
          <w:p>
            <w:pPr>
              <w:spacing w:after="0"/>
              <w:rPr>
                <w:sz w:val="20"/>
                <w:szCs w:val="20"/>
                <w:color w:val="auto"/>
              </w:rPr>
            </w:pPr>
          </w:p>
        </w:tc>
      </w:tr>
      <w:tr>
        <w:trPr>
          <w:trHeight w:val="364"/>
        </w:trPr>
        <w:tc>
          <w:tcPr>
            <w:tcW w:w="760" w:type="dxa"/>
            <w:vAlign w:val="bottom"/>
          </w:tcPr>
          <w:p>
            <w:pPr>
              <w:spacing w:after="0"/>
              <w:rPr>
                <w:sz w:val="24"/>
                <w:szCs w:val="24"/>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9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101.SCH</w:t>
            </w:r>
          </w:p>
        </w:tc>
      </w:tr>
    </w:tbl>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0" w:lineRule="exact"/>
        <w:rPr>
          <w:rFonts w:ascii="Times New Roman" w:cs="Times New Roman" w:eastAsia="Times New Roman" w:hAnsi="Times New Roman"/>
          <w:sz w:val="18"/>
          <w:szCs w:val="18"/>
          <w:color w:val="auto"/>
        </w:rPr>
      </w:pPr>
    </w:p>
    <w:p>
      <w:pPr>
        <w:ind w:left="55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320" w:top="337" w:right="10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ind w:left="1140" w:hanging="754"/>
        <w:spacing w:after="0"/>
        <w:tabs>
          <w:tab w:leader="none" w:pos="11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Cover Page Interactive Data File</w:t>
      </w:r>
    </w:p>
    <w:p>
      <w:pPr>
        <w:spacing w:after="0" w:line="161" w:lineRule="exact"/>
        <w:rPr>
          <w:rFonts w:ascii="Times New Roman" w:cs="Times New Roman" w:eastAsia="Times New Roman" w:hAnsi="Times New Roman"/>
          <w:sz w:val="18"/>
          <w:szCs w:val="18"/>
          <w:color w:val="auto"/>
        </w:rPr>
      </w:pPr>
    </w:p>
    <w:p>
      <w:pPr>
        <w:ind w:left="1140" w:right="19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June 30, 2025, formatted in Inline XBRL (included as Exhibit 101).</w:t>
      </w:r>
    </w:p>
    <w:p>
      <w:pPr>
        <w:spacing w:after="0" w:line="283" w:lineRule="exact"/>
        <w:rPr>
          <w:rFonts w:ascii="Times New Roman" w:cs="Times New Roman" w:eastAsia="Times New Roman" w:hAnsi="Times New Roman"/>
          <w:sz w:val="18"/>
          <w:szCs w:val="18"/>
          <w:color w:val="auto"/>
        </w:rPr>
      </w:pPr>
    </w:p>
    <w:p>
      <w:pPr>
        <w:ind w:left="180" w:hanging="162"/>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Pursuant to Item 601(a)(5) of Regulation S-K, certain schedules and similar attachments have been omitted. The registrant hereby agrees to furnish a copy of any omitted schedule or similar attachment to the SEC upon request.</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representations, warranties and covenants contained in any agreement filed as an exhibit to this Quarterly Report on Form 10-Q were made solely for purposes of the agreement and as of specific dates, were solely for the benefit of the parties to the agreement, may be subject to limitations agreed upon by the contracting parties, including being qualified by confidential disclosures made for the purposes of allocating contractual risk between the parties to the agreement instead of establishing these matters as facts, and may be subject to standards of materiality applicable to the contracting parties that differ from those applicable to security holders. Moreover, information concerning the subject matter of the representations and warranties may change after the date of the agreement, which subsequent information may or may not be fully reflected in the Company’s public disclosures.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THE GOODYEAR TIRE &amp; RUBBER COMPANY</w:t>
      </w:r>
    </w:p>
    <w:p>
      <w:pPr>
        <w:spacing w:after="0" w:line="63"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(Registrant)</w:t>
      </w:r>
    </w:p>
    <w:p>
      <w:pPr>
        <w:spacing w:after="0" w:line="320" w:lineRule="exact"/>
        <w:rPr>
          <w:sz w:val="20"/>
          <w:szCs w:val="20"/>
          <w:color w:val="auto"/>
        </w:rPr>
      </w:pPr>
    </w:p>
    <w:p>
      <w:pPr>
        <w:ind w:left="20"/>
        <w:spacing w:after="0"/>
        <w:tabs>
          <w:tab w:leader="none" w:pos="660" w:val="left"/>
          <w:tab w:leader="none" w:pos="4940" w:val="left"/>
          <w:tab w:leader="none" w:pos="7200" w:val="left"/>
        </w:tabs>
        <w:rPr>
          <w:sz w:val="20"/>
          <w:szCs w:val="20"/>
          <w:color w:val="auto"/>
        </w:rPr>
      </w:pPr>
      <w:r>
        <w:rPr>
          <w:rFonts w:ascii="Times New Roman" w:cs="Times New Roman" w:eastAsia="Times New Roman" w:hAnsi="Times New Roman"/>
          <w:sz w:val="18"/>
          <w:szCs w:val="18"/>
          <w:color w:val="auto"/>
        </w:rPr>
        <w:t>Date:</w:t>
        <w:tab/>
        <w:t>August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w:t>
      </w:r>
      <w:r>
        <w:rPr>
          <w:rFonts w:ascii="Times New Roman" w:cs="Times New Roman" w:eastAsia="Times New Roman" w:hAnsi="Times New Roman"/>
          <w:sz w:val="13"/>
          <w:szCs w:val="13"/>
          <w:color w:val="auto"/>
        </w:rPr>
        <w:t>ARGARET</w:t>
      </w:r>
      <w:r>
        <w:rPr>
          <w:rFonts w:ascii="Times New Roman" w:cs="Times New Roman" w:eastAsia="Times New Roman" w:hAnsi="Times New Roman"/>
          <w:sz w:val="17"/>
          <w:szCs w:val="17"/>
          <w:color w:val="auto"/>
        </w:rPr>
        <w:t xml:space="preserve"> V. S</w:t>
      </w:r>
      <w:r>
        <w:rPr>
          <w:rFonts w:ascii="Times New Roman" w:cs="Times New Roman" w:eastAsia="Times New Roman" w:hAnsi="Times New Roman"/>
          <w:sz w:val="13"/>
          <w:szCs w:val="13"/>
          <w:color w:val="auto"/>
        </w:rPr>
        <w:t>NYDER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34290</wp:posOffset>
            </wp:positionV>
            <wp:extent cx="348043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2">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4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Margaret V. Snyder, Vice President and Controller (Signing on behalf of the</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Registrant as a duly authorized officer of the Registrant and signing as the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Accounting Officer of the Registrant.)</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337"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760095</wp:posOffset>
            </wp:positionV>
            <wp:extent cx="6386195"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3">
                      <a:extLst>
                        <a:ext uri="{28A0092B-C50C-407E-A947-70E740481C1C}"/>
                      </a:extLst>
                    </a:blip>
                    <a:srcRect/>
                    <a:stretch>
                      <a:fillRect/>
                    </a:stretch>
                  </pic:blipFill>
                  <pic:spPr bwMode="auto">
                    <a:xfrm>
                      <a:off x="0" y="0"/>
                      <a:ext cx="638619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ASSET PURCHASE AGREEMENT</w:t>
      </w:r>
    </w:p>
    <w:p>
      <w:pPr>
        <w:spacing w:after="0" w:line="200" w:lineRule="exact"/>
        <w:rPr>
          <w:sz w:val="20"/>
          <w:szCs w:val="20"/>
          <w:color w:val="auto"/>
        </w:rPr>
      </w:pPr>
    </w:p>
    <w:p>
      <w:pPr>
        <w:spacing w:after="0" w:line="23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color w:val="auto"/>
        </w:rPr>
        <w:t>by and between</w:t>
      </w:r>
    </w:p>
    <w:p>
      <w:pPr>
        <w:spacing w:after="0" w:line="200" w:lineRule="exact"/>
        <w:rPr>
          <w:sz w:val="20"/>
          <w:szCs w:val="20"/>
          <w:color w:val="auto"/>
        </w:rPr>
      </w:pPr>
    </w:p>
    <w:p>
      <w:pPr>
        <w:spacing w:after="0" w:line="23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G-3 CHICKADEE PURCHASER, LLC</w:t>
      </w:r>
    </w:p>
    <w:p>
      <w:pPr>
        <w:spacing w:after="0" w:line="200" w:lineRule="exact"/>
        <w:rPr>
          <w:sz w:val="20"/>
          <w:szCs w:val="20"/>
          <w:color w:val="auto"/>
        </w:rPr>
      </w:pPr>
    </w:p>
    <w:p>
      <w:pPr>
        <w:spacing w:after="0" w:line="23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and</w:t>
      </w:r>
    </w:p>
    <w:p>
      <w:pPr>
        <w:spacing w:after="0" w:line="200" w:lineRule="exact"/>
        <w:rPr>
          <w:sz w:val="20"/>
          <w:szCs w:val="20"/>
          <w:color w:val="auto"/>
        </w:rPr>
      </w:pPr>
    </w:p>
    <w:p>
      <w:pPr>
        <w:spacing w:after="0" w:line="24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THE GOODYEAR TIRE &amp; RUBBER COMPANY</w:t>
      </w:r>
    </w:p>
    <w:p>
      <w:pPr>
        <w:spacing w:after="0" w:line="200" w:lineRule="exact"/>
        <w:rPr>
          <w:sz w:val="20"/>
          <w:szCs w:val="20"/>
          <w:color w:val="auto"/>
        </w:rPr>
      </w:pPr>
    </w:p>
    <w:p>
      <w:pPr>
        <w:spacing w:after="0" w:line="236"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Dated as of May 22,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302260</wp:posOffset>
            </wp:positionV>
            <wp:extent cx="6386195"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4">
                      <a:extLst>
                        <a:ext uri="{28A0092B-C50C-407E-A947-70E740481C1C}"/>
                      </a:extLst>
                    </a:blip>
                    <a:srcRect/>
                    <a:stretch>
                      <a:fillRect/>
                    </a:stretch>
                  </pic:blipFill>
                  <pic:spPr bwMode="auto">
                    <a:xfrm>
                      <a:off x="0" y="0"/>
                      <a:ext cx="6386195" cy="17145"/>
                    </a:xfrm>
                    <a:prstGeom prst="rect">
                      <a:avLst/>
                    </a:prstGeom>
                    <a:noFill/>
                  </pic:spPr>
                </pic:pic>
              </a:graphicData>
            </a:graphic>
          </wp:anchor>
        </w:drawing>
      </w:r>
    </w:p>
    <w:p>
      <w:pPr>
        <w:sectPr>
          <w:pgSz w:w="11900" w:h="16838" w:orient="portrait"/>
          <w:cols w:equalWidth="0" w:num="1">
            <w:col w:w="10120"/>
          </w:cols>
          <w:pgMar w:left="1440" w:top="414"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22"/>
          <w:szCs w:val="22"/>
          <w:u w:val="single" w:color="auto"/>
          <w:color w:val="auto"/>
        </w:rPr>
        <w:t>TABLE OF CONTENTS</w:t>
      </w:r>
    </w:p>
    <w:p>
      <w:pPr>
        <w:spacing w:after="0" w:line="3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Page</w:t>
      </w:r>
    </w:p>
    <w:p>
      <w:pPr>
        <w:spacing w:after="0" w:line="220"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Article I</w:t>
      </w:r>
    </w:p>
    <w:p>
      <w:pPr>
        <w:spacing w:after="0" w:line="23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Definitions; Interpretation</w:t>
      </w:r>
    </w:p>
    <w:p>
      <w:pPr>
        <w:spacing w:after="0" w:line="220" w:lineRule="exact"/>
        <w:rPr>
          <w:sz w:val="20"/>
          <w:szCs w:val="20"/>
          <w:color w:val="auto"/>
        </w:rPr>
      </w:pPr>
    </w:p>
    <w:p>
      <w:pPr>
        <w:spacing w:after="0"/>
        <w:tabs>
          <w:tab w:leader="dot" w:pos="7720" w:val="left"/>
        </w:tabs>
        <w:rPr>
          <w:sz w:val="20"/>
          <w:szCs w:val="20"/>
          <w:color w:val="auto"/>
        </w:rPr>
      </w:pPr>
      <w:r>
        <w:rPr>
          <w:rFonts w:ascii="Times New Roman" w:cs="Times New Roman" w:eastAsia="Times New Roman" w:hAnsi="Times New Roman"/>
          <w:sz w:val="22"/>
          <w:szCs w:val="22"/>
          <w:color w:val="auto"/>
        </w:rPr>
        <w:t>Section 1.01 Definitions</w:t>
      </w:r>
      <w:r>
        <w:rPr>
          <w:sz w:val="20"/>
          <w:szCs w:val="20"/>
          <w:color w:val="auto"/>
        </w:rPr>
        <w:tab/>
      </w:r>
      <w:r>
        <w:rPr>
          <w:rFonts w:ascii="Times New Roman" w:cs="Times New Roman" w:eastAsia="Times New Roman" w:hAnsi="Times New Roman"/>
          <w:sz w:val="19"/>
          <w:szCs w:val="19"/>
          <w:color w:val="auto"/>
        </w:rPr>
        <w:t>1</w:t>
      </w:r>
    </w:p>
    <w:p>
      <w:pPr>
        <w:spacing w:after="0" w:line="28" w:lineRule="exact"/>
        <w:rPr>
          <w:sz w:val="20"/>
          <w:szCs w:val="20"/>
          <w:color w:val="auto"/>
        </w:rPr>
      </w:pPr>
    </w:p>
    <w:p>
      <w:pPr>
        <w:spacing w:after="0"/>
        <w:tabs>
          <w:tab w:leader="dot" w:pos="7600" w:val="left"/>
        </w:tabs>
        <w:rPr>
          <w:sz w:val="20"/>
          <w:szCs w:val="20"/>
          <w:color w:val="auto"/>
        </w:rPr>
      </w:pPr>
      <w:r>
        <w:rPr>
          <w:rFonts w:ascii="Times New Roman" w:cs="Times New Roman" w:eastAsia="Times New Roman" w:hAnsi="Times New Roman"/>
          <w:sz w:val="22"/>
          <w:szCs w:val="22"/>
          <w:color w:val="auto"/>
        </w:rPr>
        <w:t>Section 1.02 Other Defined Terms</w:t>
      </w:r>
      <w:r>
        <w:rPr>
          <w:sz w:val="20"/>
          <w:szCs w:val="20"/>
          <w:color w:val="auto"/>
        </w:rPr>
        <w:tab/>
      </w:r>
      <w:r>
        <w:rPr>
          <w:rFonts w:ascii="Times New Roman" w:cs="Times New Roman" w:eastAsia="Times New Roman" w:hAnsi="Times New Roman"/>
          <w:sz w:val="22"/>
          <w:szCs w:val="22"/>
          <w:color w:val="auto"/>
        </w:rPr>
        <w:t>15</w:t>
      </w:r>
    </w:p>
    <w:p>
      <w:pPr>
        <w:spacing w:after="0" w:line="4" w:lineRule="exact"/>
        <w:rPr>
          <w:sz w:val="20"/>
          <w:szCs w:val="20"/>
          <w:color w:val="auto"/>
        </w:rPr>
      </w:pPr>
    </w:p>
    <w:p>
      <w:pPr>
        <w:spacing w:after="0"/>
        <w:tabs>
          <w:tab w:leader="dot" w:pos="7600" w:val="left"/>
        </w:tabs>
        <w:rPr>
          <w:sz w:val="20"/>
          <w:szCs w:val="20"/>
          <w:color w:val="auto"/>
        </w:rPr>
      </w:pPr>
      <w:r>
        <w:rPr>
          <w:rFonts w:ascii="Times New Roman" w:cs="Times New Roman" w:eastAsia="Times New Roman" w:hAnsi="Times New Roman"/>
          <w:sz w:val="22"/>
          <w:szCs w:val="22"/>
          <w:color w:val="auto"/>
        </w:rPr>
        <w:t>Section 1.03 Interpretation</w:t>
      </w:r>
      <w:r>
        <w:rPr>
          <w:sz w:val="20"/>
          <w:szCs w:val="20"/>
          <w:color w:val="auto"/>
        </w:rPr>
        <w:tab/>
      </w:r>
      <w:r>
        <w:rPr>
          <w:rFonts w:ascii="Times New Roman" w:cs="Times New Roman" w:eastAsia="Times New Roman" w:hAnsi="Times New Roman"/>
          <w:sz w:val="22"/>
          <w:szCs w:val="22"/>
          <w:color w:val="auto"/>
        </w:rPr>
        <w:t>17</w:t>
      </w:r>
    </w:p>
    <w:p>
      <w:pPr>
        <w:spacing w:after="0" w:line="22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color w:val="auto"/>
        </w:rPr>
        <w:t>Article II</w:t>
      </w:r>
    </w:p>
    <w:p>
      <w:pPr>
        <w:spacing w:after="0" w:line="233"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Purchase and Sale; Assumption of Liabilities</w:t>
      </w:r>
    </w:p>
    <w:p>
      <w:pPr>
        <w:spacing w:after="0" w:line="220" w:lineRule="exact"/>
        <w:rPr>
          <w:sz w:val="20"/>
          <w:szCs w:val="20"/>
          <w:color w:val="auto"/>
        </w:rPr>
      </w:pPr>
    </w:p>
    <w:p>
      <w:pPr>
        <w:spacing w:after="0"/>
        <w:tabs>
          <w:tab w:leader="dot" w:pos="7620" w:val="left"/>
        </w:tabs>
        <w:rPr>
          <w:sz w:val="20"/>
          <w:szCs w:val="20"/>
          <w:color w:val="auto"/>
        </w:rPr>
      </w:pPr>
      <w:r>
        <w:rPr>
          <w:rFonts w:ascii="Times New Roman" w:cs="Times New Roman" w:eastAsia="Times New Roman" w:hAnsi="Times New Roman"/>
          <w:sz w:val="22"/>
          <w:szCs w:val="22"/>
          <w:color w:val="auto"/>
        </w:rPr>
        <w:t>Section 2.01 Purchase and Sale</w:t>
      </w:r>
      <w:r>
        <w:rPr>
          <w:sz w:val="20"/>
          <w:szCs w:val="20"/>
          <w:color w:val="auto"/>
        </w:rPr>
        <w:tab/>
      </w:r>
      <w:r>
        <w:rPr>
          <w:rFonts w:ascii="Times New Roman" w:cs="Times New Roman" w:eastAsia="Times New Roman" w:hAnsi="Times New Roman"/>
          <w:sz w:val="19"/>
          <w:szCs w:val="19"/>
          <w:color w:val="auto"/>
        </w:rPr>
        <w:t>18</w:t>
      </w:r>
    </w:p>
    <w:p>
      <w:pPr>
        <w:spacing w:after="0" w:line="28" w:lineRule="exact"/>
        <w:rPr>
          <w:sz w:val="20"/>
          <w:szCs w:val="20"/>
          <w:color w:val="auto"/>
        </w:rPr>
      </w:pPr>
    </w:p>
    <w:p>
      <w:pPr>
        <w:spacing w:after="0"/>
        <w:tabs>
          <w:tab w:leader="dot" w:pos="7580" w:val="left"/>
        </w:tabs>
        <w:rPr>
          <w:sz w:val="20"/>
          <w:szCs w:val="20"/>
          <w:color w:val="auto"/>
        </w:rPr>
      </w:pPr>
      <w:r>
        <w:rPr>
          <w:rFonts w:ascii="Times New Roman" w:cs="Times New Roman" w:eastAsia="Times New Roman" w:hAnsi="Times New Roman"/>
          <w:sz w:val="22"/>
          <w:szCs w:val="22"/>
          <w:color w:val="auto"/>
        </w:rPr>
        <w:t>Section 2.02 Transferred Assets; Excluded Assets</w:t>
      </w:r>
      <w:r>
        <w:rPr>
          <w:sz w:val="20"/>
          <w:szCs w:val="20"/>
          <w:color w:val="auto"/>
        </w:rPr>
        <w:tab/>
      </w:r>
      <w:r>
        <w:rPr>
          <w:rFonts w:ascii="Times New Roman" w:cs="Times New Roman" w:eastAsia="Times New Roman" w:hAnsi="Times New Roman"/>
          <w:sz w:val="22"/>
          <w:szCs w:val="22"/>
          <w:color w:val="auto"/>
        </w:rPr>
        <w:t>18</w:t>
      </w:r>
    </w:p>
    <w:p>
      <w:pPr>
        <w:spacing w:after="0" w:line="4" w:lineRule="exact"/>
        <w:rPr>
          <w:sz w:val="20"/>
          <w:szCs w:val="20"/>
          <w:color w:val="auto"/>
        </w:rPr>
      </w:pPr>
    </w:p>
    <w:p>
      <w:pPr>
        <w:spacing w:after="0"/>
        <w:tabs>
          <w:tab w:leader="dot" w:pos="7580" w:val="left"/>
        </w:tabs>
        <w:rPr>
          <w:sz w:val="20"/>
          <w:szCs w:val="20"/>
          <w:color w:val="auto"/>
        </w:rPr>
      </w:pPr>
      <w:r>
        <w:rPr>
          <w:rFonts w:ascii="Times New Roman" w:cs="Times New Roman" w:eastAsia="Times New Roman" w:hAnsi="Times New Roman"/>
          <w:sz w:val="22"/>
          <w:szCs w:val="22"/>
          <w:color w:val="auto"/>
        </w:rPr>
        <w:t>Section 2.03 Assumed Liabilities; Retained Liabilities</w:t>
      </w:r>
      <w:r>
        <w:rPr>
          <w:sz w:val="20"/>
          <w:szCs w:val="20"/>
          <w:color w:val="auto"/>
        </w:rPr>
        <w:tab/>
      </w:r>
      <w:r>
        <w:rPr>
          <w:rFonts w:ascii="Times New Roman" w:cs="Times New Roman" w:eastAsia="Times New Roman" w:hAnsi="Times New Roman"/>
          <w:sz w:val="22"/>
          <w:szCs w:val="22"/>
          <w:color w:val="auto"/>
        </w:rPr>
        <w:t>24</w:t>
      </w:r>
    </w:p>
    <w:p>
      <w:pPr>
        <w:spacing w:after="0" w:line="4" w:lineRule="exact"/>
        <w:rPr>
          <w:sz w:val="20"/>
          <w:szCs w:val="20"/>
          <w:color w:val="auto"/>
        </w:rPr>
      </w:pPr>
    </w:p>
    <w:p>
      <w:pPr>
        <w:spacing w:after="0"/>
        <w:tabs>
          <w:tab w:leader="dot" w:pos="7580" w:val="left"/>
        </w:tabs>
        <w:rPr>
          <w:sz w:val="20"/>
          <w:szCs w:val="20"/>
          <w:color w:val="auto"/>
        </w:rPr>
      </w:pPr>
      <w:r>
        <w:rPr>
          <w:rFonts w:ascii="Times New Roman" w:cs="Times New Roman" w:eastAsia="Times New Roman" w:hAnsi="Times New Roman"/>
          <w:sz w:val="22"/>
          <w:szCs w:val="22"/>
          <w:color w:val="auto"/>
        </w:rPr>
        <w:t>Section 2.04 Consent to Assignment</w:t>
      </w:r>
      <w:r>
        <w:rPr>
          <w:sz w:val="20"/>
          <w:szCs w:val="20"/>
          <w:color w:val="auto"/>
        </w:rPr>
        <w:tab/>
      </w:r>
      <w:r>
        <w:rPr>
          <w:rFonts w:ascii="Times New Roman" w:cs="Times New Roman" w:eastAsia="Times New Roman" w:hAnsi="Times New Roman"/>
          <w:sz w:val="19"/>
          <w:szCs w:val="19"/>
          <w:color w:val="auto"/>
        </w:rPr>
        <w:t>27</w:t>
      </w:r>
    </w:p>
    <w:p>
      <w:pPr>
        <w:spacing w:after="0" w:line="4" w:lineRule="exact"/>
        <w:rPr>
          <w:sz w:val="20"/>
          <w:szCs w:val="20"/>
          <w:color w:val="auto"/>
        </w:rPr>
      </w:pPr>
    </w:p>
    <w:p>
      <w:pPr>
        <w:spacing w:after="0"/>
        <w:tabs>
          <w:tab w:leader="dot" w:pos="7580" w:val="left"/>
        </w:tabs>
        <w:rPr>
          <w:sz w:val="20"/>
          <w:szCs w:val="20"/>
          <w:color w:val="auto"/>
        </w:rPr>
      </w:pPr>
      <w:r>
        <w:rPr>
          <w:rFonts w:ascii="Times New Roman" w:cs="Times New Roman" w:eastAsia="Times New Roman" w:hAnsi="Times New Roman"/>
          <w:sz w:val="22"/>
          <w:szCs w:val="22"/>
          <w:color w:val="auto"/>
        </w:rPr>
        <w:t>Section 2.05 Purchaser’s Recording and Similar Responsibilities</w:t>
      </w:r>
      <w:r>
        <w:rPr>
          <w:sz w:val="20"/>
          <w:szCs w:val="20"/>
          <w:color w:val="auto"/>
        </w:rPr>
        <w:tab/>
      </w:r>
      <w:r>
        <w:rPr>
          <w:rFonts w:ascii="Times New Roman" w:cs="Times New Roman" w:eastAsia="Times New Roman" w:hAnsi="Times New Roman"/>
          <w:sz w:val="19"/>
          <w:szCs w:val="19"/>
          <w:color w:val="auto"/>
        </w:rPr>
        <w:t>29</w:t>
      </w:r>
    </w:p>
    <w:p>
      <w:pPr>
        <w:spacing w:after="0" w:line="5" w:lineRule="exact"/>
        <w:rPr>
          <w:sz w:val="20"/>
          <w:szCs w:val="20"/>
          <w:color w:val="auto"/>
        </w:rPr>
      </w:pPr>
    </w:p>
    <w:p>
      <w:pPr>
        <w:spacing w:after="0"/>
        <w:tabs>
          <w:tab w:leader="dot" w:pos="7580" w:val="left"/>
        </w:tabs>
        <w:rPr>
          <w:sz w:val="20"/>
          <w:szCs w:val="20"/>
          <w:color w:val="auto"/>
        </w:rPr>
      </w:pPr>
      <w:r>
        <w:rPr>
          <w:rFonts w:ascii="Times New Roman" w:cs="Times New Roman" w:eastAsia="Times New Roman" w:hAnsi="Times New Roman"/>
          <w:sz w:val="22"/>
          <w:szCs w:val="22"/>
          <w:color w:val="auto"/>
        </w:rPr>
        <w:t>Section 2.06 Purchase Price</w:t>
      </w:r>
      <w:r>
        <w:rPr>
          <w:sz w:val="20"/>
          <w:szCs w:val="20"/>
          <w:color w:val="auto"/>
        </w:rPr>
        <w:tab/>
      </w:r>
      <w:r>
        <w:rPr>
          <w:rFonts w:ascii="Times New Roman" w:cs="Times New Roman" w:eastAsia="Times New Roman" w:hAnsi="Times New Roman"/>
          <w:sz w:val="22"/>
          <w:szCs w:val="22"/>
          <w:color w:val="auto"/>
        </w:rPr>
        <w:t>30</w:t>
      </w:r>
    </w:p>
    <w:p>
      <w:pPr>
        <w:spacing w:after="0" w:line="15" w:lineRule="exact"/>
        <w:rPr>
          <w:sz w:val="20"/>
          <w:szCs w:val="20"/>
          <w:color w:val="auto"/>
        </w:rPr>
      </w:pPr>
    </w:p>
    <w:p>
      <w:pPr>
        <w:spacing w:after="0"/>
        <w:tabs>
          <w:tab w:leader="dot" w:pos="7580" w:val="left"/>
        </w:tabs>
        <w:rPr>
          <w:sz w:val="20"/>
          <w:szCs w:val="20"/>
          <w:color w:val="auto"/>
        </w:rPr>
      </w:pPr>
      <w:r>
        <w:rPr>
          <w:rFonts w:ascii="Times New Roman" w:cs="Times New Roman" w:eastAsia="Times New Roman" w:hAnsi="Times New Roman"/>
          <w:sz w:val="22"/>
          <w:szCs w:val="22"/>
          <w:color w:val="auto"/>
        </w:rPr>
        <w:t>Section 2.07 Estimated Closing Statement</w:t>
      </w:r>
      <w:r>
        <w:rPr>
          <w:sz w:val="20"/>
          <w:szCs w:val="20"/>
          <w:color w:val="auto"/>
        </w:rPr>
        <w:tab/>
      </w:r>
      <w:r>
        <w:rPr>
          <w:rFonts w:ascii="Times New Roman" w:cs="Times New Roman" w:eastAsia="Times New Roman" w:hAnsi="Times New Roman"/>
          <w:sz w:val="22"/>
          <w:szCs w:val="22"/>
          <w:color w:val="auto"/>
        </w:rPr>
        <w:t>30</w:t>
      </w:r>
    </w:p>
    <w:p>
      <w:pPr>
        <w:spacing w:after="0" w:line="4" w:lineRule="exact"/>
        <w:rPr>
          <w:sz w:val="20"/>
          <w:szCs w:val="20"/>
          <w:color w:val="auto"/>
        </w:rPr>
      </w:pPr>
    </w:p>
    <w:p>
      <w:pPr>
        <w:spacing w:after="0"/>
        <w:tabs>
          <w:tab w:leader="dot" w:pos="7580" w:val="left"/>
        </w:tabs>
        <w:rPr>
          <w:sz w:val="20"/>
          <w:szCs w:val="20"/>
          <w:color w:val="auto"/>
        </w:rPr>
      </w:pPr>
      <w:r>
        <w:rPr>
          <w:rFonts w:ascii="Times New Roman" w:cs="Times New Roman" w:eastAsia="Times New Roman" w:hAnsi="Times New Roman"/>
          <w:sz w:val="22"/>
          <w:szCs w:val="22"/>
          <w:color w:val="auto"/>
        </w:rPr>
        <w:t>Section 2.08 Purchase Price Adjustment</w:t>
      </w:r>
      <w:r>
        <w:rPr>
          <w:sz w:val="20"/>
          <w:szCs w:val="20"/>
          <w:color w:val="auto"/>
        </w:rPr>
        <w:tab/>
      </w:r>
      <w:r>
        <w:rPr>
          <w:rFonts w:ascii="Times New Roman" w:cs="Times New Roman" w:eastAsia="Times New Roman" w:hAnsi="Times New Roman"/>
          <w:sz w:val="19"/>
          <w:szCs w:val="19"/>
          <w:color w:val="auto"/>
        </w:rPr>
        <w:t>30</w:t>
      </w:r>
    </w:p>
    <w:p>
      <w:pPr>
        <w:spacing w:after="0" w:line="4" w:lineRule="exact"/>
        <w:rPr>
          <w:sz w:val="20"/>
          <w:szCs w:val="20"/>
          <w:color w:val="auto"/>
        </w:rPr>
      </w:pPr>
    </w:p>
    <w:p>
      <w:pPr>
        <w:spacing w:after="0"/>
        <w:tabs>
          <w:tab w:leader="dot" w:pos="7580" w:val="left"/>
        </w:tabs>
        <w:rPr>
          <w:sz w:val="20"/>
          <w:szCs w:val="20"/>
          <w:color w:val="auto"/>
        </w:rPr>
      </w:pPr>
      <w:r>
        <w:rPr>
          <w:rFonts w:ascii="Times New Roman" w:cs="Times New Roman" w:eastAsia="Times New Roman" w:hAnsi="Times New Roman"/>
          <w:sz w:val="22"/>
          <w:szCs w:val="22"/>
          <w:color w:val="auto"/>
        </w:rPr>
        <w:t>Section 2.09 Withholding Taxes</w:t>
      </w:r>
      <w:r>
        <w:rPr>
          <w:sz w:val="20"/>
          <w:szCs w:val="20"/>
          <w:color w:val="auto"/>
        </w:rPr>
        <w:tab/>
      </w:r>
      <w:r>
        <w:rPr>
          <w:rFonts w:ascii="Times New Roman" w:cs="Times New Roman" w:eastAsia="Times New Roman" w:hAnsi="Times New Roman"/>
          <w:sz w:val="19"/>
          <w:szCs w:val="19"/>
          <w:color w:val="auto"/>
        </w:rPr>
        <w:t>33</w:t>
      </w:r>
    </w:p>
    <w:p>
      <w:pPr>
        <w:spacing w:after="0" w:line="22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color w:val="auto"/>
        </w:rPr>
        <w:t>Article III</w:t>
      </w:r>
    </w:p>
    <w:p>
      <w:pPr>
        <w:spacing w:after="0" w:line="23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Closing; Closing Deliveries</w:t>
      </w:r>
    </w:p>
    <w:p>
      <w:pPr>
        <w:spacing w:after="0" w:line="220" w:lineRule="exact"/>
        <w:rPr>
          <w:sz w:val="20"/>
          <w:szCs w:val="20"/>
          <w:color w:val="auto"/>
        </w:rPr>
      </w:pPr>
    </w:p>
    <w:p>
      <w:pPr>
        <w:spacing w:after="0"/>
        <w:tabs>
          <w:tab w:leader="dot" w:pos="7580" w:val="left"/>
        </w:tabs>
        <w:rPr>
          <w:sz w:val="20"/>
          <w:szCs w:val="20"/>
          <w:color w:val="auto"/>
        </w:rPr>
      </w:pPr>
      <w:r>
        <w:rPr>
          <w:rFonts w:ascii="Times New Roman" w:cs="Times New Roman" w:eastAsia="Times New Roman" w:hAnsi="Times New Roman"/>
          <w:sz w:val="22"/>
          <w:szCs w:val="22"/>
          <w:color w:val="auto"/>
        </w:rPr>
        <w:t>Section 3.01 Closing</w:t>
      </w:r>
      <w:r>
        <w:rPr>
          <w:sz w:val="20"/>
          <w:szCs w:val="20"/>
          <w:color w:val="auto"/>
        </w:rPr>
        <w:tab/>
      </w:r>
      <w:r>
        <w:rPr>
          <w:rFonts w:ascii="Times New Roman" w:cs="Times New Roman" w:eastAsia="Times New Roman" w:hAnsi="Times New Roman"/>
          <w:sz w:val="19"/>
          <w:szCs w:val="19"/>
          <w:color w:val="auto"/>
        </w:rPr>
        <w:t>33</w:t>
      </w:r>
    </w:p>
    <w:p>
      <w:pPr>
        <w:spacing w:after="0" w:line="28" w:lineRule="exact"/>
        <w:rPr>
          <w:sz w:val="20"/>
          <w:szCs w:val="20"/>
          <w:color w:val="auto"/>
        </w:rPr>
      </w:pPr>
    </w:p>
    <w:p>
      <w:pPr>
        <w:spacing w:after="0"/>
        <w:tabs>
          <w:tab w:leader="dot" w:pos="7580" w:val="left"/>
        </w:tabs>
        <w:rPr>
          <w:sz w:val="20"/>
          <w:szCs w:val="20"/>
          <w:color w:val="auto"/>
        </w:rPr>
      </w:pPr>
      <w:r>
        <w:rPr>
          <w:rFonts w:ascii="Times New Roman" w:cs="Times New Roman" w:eastAsia="Times New Roman" w:hAnsi="Times New Roman"/>
          <w:sz w:val="22"/>
          <w:szCs w:val="22"/>
          <w:color w:val="auto"/>
        </w:rPr>
        <w:t>Section 3.02 Effectiveness</w:t>
      </w:r>
      <w:r>
        <w:rPr>
          <w:sz w:val="20"/>
          <w:szCs w:val="20"/>
          <w:color w:val="auto"/>
        </w:rPr>
        <w:tab/>
      </w:r>
      <w:r>
        <w:rPr>
          <w:rFonts w:ascii="Times New Roman" w:cs="Times New Roman" w:eastAsia="Times New Roman" w:hAnsi="Times New Roman"/>
          <w:sz w:val="22"/>
          <w:szCs w:val="22"/>
          <w:color w:val="auto"/>
        </w:rPr>
        <w:t>33</w:t>
      </w:r>
    </w:p>
    <w:p>
      <w:pPr>
        <w:spacing w:after="0" w:line="4" w:lineRule="exact"/>
        <w:rPr>
          <w:sz w:val="20"/>
          <w:szCs w:val="20"/>
          <w:color w:val="auto"/>
        </w:rPr>
      </w:pPr>
    </w:p>
    <w:p>
      <w:pPr>
        <w:spacing w:after="0"/>
        <w:tabs>
          <w:tab w:leader="dot" w:pos="7600" w:val="left"/>
        </w:tabs>
        <w:rPr>
          <w:sz w:val="20"/>
          <w:szCs w:val="20"/>
          <w:color w:val="auto"/>
        </w:rPr>
      </w:pPr>
      <w:r>
        <w:rPr>
          <w:rFonts w:ascii="Times New Roman" w:cs="Times New Roman" w:eastAsia="Times New Roman" w:hAnsi="Times New Roman"/>
          <w:sz w:val="22"/>
          <w:szCs w:val="22"/>
          <w:color w:val="auto"/>
        </w:rPr>
        <w:t>Section 3.03 Transactions to be Effected at the Closing</w:t>
      </w:r>
      <w:r>
        <w:rPr>
          <w:sz w:val="20"/>
          <w:szCs w:val="20"/>
          <w:color w:val="auto"/>
        </w:rPr>
        <w:tab/>
      </w:r>
      <w:r>
        <w:rPr>
          <w:rFonts w:ascii="Times New Roman" w:cs="Times New Roman" w:eastAsia="Times New Roman" w:hAnsi="Times New Roman"/>
          <w:sz w:val="22"/>
          <w:szCs w:val="22"/>
          <w:color w:val="auto"/>
        </w:rPr>
        <w:t>34</w:t>
      </w:r>
    </w:p>
    <w:p>
      <w:pPr>
        <w:spacing w:after="0" w:line="4" w:lineRule="exact"/>
        <w:rPr>
          <w:sz w:val="20"/>
          <w:szCs w:val="20"/>
          <w:color w:val="auto"/>
        </w:rPr>
      </w:pPr>
    </w:p>
    <w:p>
      <w:pPr>
        <w:spacing w:after="0"/>
        <w:tabs>
          <w:tab w:leader="dot" w:pos="7600" w:val="left"/>
        </w:tabs>
        <w:rPr>
          <w:sz w:val="20"/>
          <w:szCs w:val="20"/>
          <w:color w:val="auto"/>
        </w:rPr>
      </w:pPr>
      <w:r>
        <w:rPr>
          <w:rFonts w:ascii="Times New Roman" w:cs="Times New Roman" w:eastAsia="Times New Roman" w:hAnsi="Times New Roman"/>
          <w:sz w:val="22"/>
          <w:szCs w:val="22"/>
          <w:color w:val="auto"/>
        </w:rPr>
        <w:t>Section 3.04 Allocation of Purchase Price</w:t>
      </w:r>
      <w:r>
        <w:rPr>
          <w:sz w:val="20"/>
          <w:szCs w:val="20"/>
          <w:color w:val="auto"/>
        </w:rPr>
        <w:tab/>
      </w:r>
      <w:r>
        <w:rPr>
          <w:rFonts w:ascii="Times New Roman" w:cs="Times New Roman" w:eastAsia="Times New Roman" w:hAnsi="Times New Roman"/>
          <w:sz w:val="22"/>
          <w:szCs w:val="22"/>
          <w:color w:val="auto"/>
        </w:rPr>
        <w:t>35</w:t>
      </w:r>
    </w:p>
    <w:p>
      <w:pPr>
        <w:spacing w:after="0" w:line="23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color w:val="auto"/>
        </w:rPr>
        <w:t>Article IV</w:t>
      </w:r>
    </w:p>
    <w:p>
      <w:pPr>
        <w:spacing w:after="0" w:line="220"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color w:val="auto"/>
        </w:rPr>
        <w:t>Representations and Warranties of the Seller</w:t>
      </w:r>
    </w:p>
    <w:p>
      <w:pPr>
        <w:spacing w:after="0" w:line="220" w:lineRule="exact"/>
        <w:rPr>
          <w:sz w:val="20"/>
          <w:szCs w:val="20"/>
          <w:color w:val="auto"/>
        </w:rPr>
      </w:pPr>
    </w:p>
    <w:p>
      <w:pPr>
        <w:spacing w:after="0"/>
        <w:tabs>
          <w:tab w:leader="dot" w:pos="7620" w:val="left"/>
        </w:tabs>
        <w:rPr>
          <w:sz w:val="20"/>
          <w:szCs w:val="20"/>
          <w:color w:val="auto"/>
        </w:rPr>
      </w:pPr>
      <w:r>
        <w:rPr>
          <w:rFonts w:ascii="Times New Roman" w:cs="Times New Roman" w:eastAsia="Times New Roman" w:hAnsi="Times New Roman"/>
          <w:sz w:val="22"/>
          <w:szCs w:val="22"/>
          <w:color w:val="auto"/>
        </w:rPr>
        <w:t>Section 4.01 Organization; Standing</w:t>
      </w:r>
      <w:r>
        <w:rPr>
          <w:sz w:val="20"/>
          <w:szCs w:val="20"/>
          <w:color w:val="auto"/>
        </w:rPr>
        <w:tab/>
      </w:r>
      <w:r>
        <w:rPr>
          <w:rFonts w:ascii="Times New Roman" w:cs="Times New Roman" w:eastAsia="Times New Roman" w:hAnsi="Times New Roman"/>
          <w:sz w:val="22"/>
          <w:szCs w:val="22"/>
          <w:color w:val="auto"/>
        </w:rPr>
        <w:t>36</w:t>
      </w:r>
    </w:p>
    <w:p>
      <w:pPr>
        <w:spacing w:after="0" w:line="28" w:lineRule="exact"/>
        <w:rPr>
          <w:sz w:val="20"/>
          <w:szCs w:val="20"/>
          <w:color w:val="auto"/>
        </w:rPr>
      </w:pPr>
    </w:p>
    <w:p>
      <w:pPr>
        <w:spacing w:after="0"/>
        <w:tabs>
          <w:tab w:leader="dot" w:pos="7560" w:val="left"/>
        </w:tabs>
        <w:rPr>
          <w:sz w:val="20"/>
          <w:szCs w:val="20"/>
          <w:color w:val="auto"/>
        </w:rPr>
      </w:pPr>
      <w:r>
        <w:rPr>
          <w:rFonts w:ascii="Times New Roman" w:cs="Times New Roman" w:eastAsia="Times New Roman" w:hAnsi="Times New Roman"/>
          <w:sz w:val="22"/>
          <w:szCs w:val="22"/>
          <w:color w:val="auto"/>
        </w:rPr>
        <w:t>Section 4.02 Authority; Binding Effect</w:t>
      </w:r>
      <w:r>
        <w:rPr>
          <w:sz w:val="20"/>
          <w:szCs w:val="20"/>
          <w:color w:val="auto"/>
        </w:rPr>
        <w:tab/>
      </w:r>
      <w:r>
        <w:rPr>
          <w:rFonts w:ascii="Times New Roman" w:cs="Times New Roman" w:eastAsia="Times New Roman" w:hAnsi="Times New Roman"/>
          <w:sz w:val="22"/>
          <w:szCs w:val="22"/>
          <w:color w:val="auto"/>
        </w:rPr>
        <w:t>36</w:t>
      </w:r>
    </w:p>
    <w:p>
      <w:pPr>
        <w:spacing w:after="0" w:line="4" w:lineRule="exact"/>
        <w:rPr>
          <w:sz w:val="20"/>
          <w:szCs w:val="20"/>
          <w:color w:val="auto"/>
        </w:rPr>
      </w:pPr>
    </w:p>
    <w:p>
      <w:pPr>
        <w:spacing w:after="0"/>
        <w:tabs>
          <w:tab w:leader="dot" w:pos="7580" w:val="left"/>
        </w:tabs>
        <w:rPr>
          <w:sz w:val="20"/>
          <w:szCs w:val="20"/>
          <w:color w:val="auto"/>
        </w:rPr>
      </w:pPr>
      <w:r>
        <w:rPr>
          <w:rFonts w:ascii="Times New Roman" w:cs="Times New Roman" w:eastAsia="Times New Roman" w:hAnsi="Times New Roman"/>
          <w:sz w:val="22"/>
          <w:szCs w:val="22"/>
          <w:color w:val="auto"/>
        </w:rPr>
        <w:t>Section 4.03 Noncontravention; Governmental Approvals</w:t>
      </w:r>
      <w:r>
        <w:rPr>
          <w:sz w:val="20"/>
          <w:szCs w:val="20"/>
          <w:color w:val="auto"/>
        </w:rPr>
        <w:tab/>
      </w:r>
      <w:r>
        <w:rPr>
          <w:rFonts w:ascii="Times New Roman" w:cs="Times New Roman" w:eastAsia="Times New Roman" w:hAnsi="Times New Roman"/>
          <w:sz w:val="22"/>
          <w:szCs w:val="22"/>
          <w:color w:val="auto"/>
        </w:rPr>
        <w:t>37</w:t>
      </w:r>
    </w:p>
    <w:p>
      <w:pPr>
        <w:spacing w:after="0" w:line="4" w:lineRule="exact"/>
        <w:rPr>
          <w:sz w:val="20"/>
          <w:szCs w:val="20"/>
          <w:color w:val="auto"/>
        </w:rPr>
      </w:pPr>
    </w:p>
    <w:p>
      <w:pPr>
        <w:spacing w:after="0"/>
        <w:tabs>
          <w:tab w:leader="dot" w:pos="7540" w:val="left"/>
        </w:tabs>
        <w:rPr>
          <w:sz w:val="20"/>
          <w:szCs w:val="20"/>
          <w:color w:val="auto"/>
        </w:rPr>
      </w:pPr>
      <w:r>
        <w:rPr>
          <w:rFonts w:ascii="Times New Roman" w:cs="Times New Roman" w:eastAsia="Times New Roman" w:hAnsi="Times New Roman"/>
          <w:sz w:val="22"/>
          <w:szCs w:val="22"/>
          <w:color w:val="auto"/>
        </w:rPr>
        <w:t>Section 4.04 Title to Tangible Personal Property</w:t>
      </w:r>
      <w:r>
        <w:rPr>
          <w:sz w:val="20"/>
          <w:szCs w:val="20"/>
          <w:color w:val="auto"/>
        </w:rPr>
        <w:tab/>
      </w:r>
      <w:r>
        <w:rPr>
          <w:rFonts w:ascii="Times New Roman" w:cs="Times New Roman" w:eastAsia="Times New Roman" w:hAnsi="Times New Roman"/>
          <w:sz w:val="22"/>
          <w:szCs w:val="22"/>
          <w:color w:val="auto"/>
        </w:rPr>
        <w:t>37</w:t>
      </w:r>
    </w:p>
    <w:p>
      <w:pPr>
        <w:spacing w:after="0" w:line="5" w:lineRule="exact"/>
        <w:rPr>
          <w:sz w:val="20"/>
          <w:szCs w:val="20"/>
          <w:color w:val="auto"/>
        </w:rPr>
      </w:pPr>
    </w:p>
    <w:p>
      <w:pPr>
        <w:spacing w:after="0"/>
        <w:tabs>
          <w:tab w:leader="dot" w:pos="7620" w:val="left"/>
        </w:tabs>
        <w:rPr>
          <w:sz w:val="20"/>
          <w:szCs w:val="20"/>
          <w:color w:val="auto"/>
        </w:rPr>
      </w:pPr>
      <w:r>
        <w:rPr>
          <w:rFonts w:ascii="Times New Roman" w:cs="Times New Roman" w:eastAsia="Times New Roman" w:hAnsi="Times New Roman"/>
          <w:sz w:val="22"/>
          <w:szCs w:val="22"/>
          <w:color w:val="auto"/>
        </w:rPr>
        <w:t>Section 4.05 Sufficiency of Assets</w:t>
      </w:r>
      <w:r>
        <w:rPr>
          <w:sz w:val="20"/>
          <w:szCs w:val="20"/>
          <w:color w:val="auto"/>
        </w:rPr>
        <w:tab/>
      </w:r>
      <w:r>
        <w:rPr>
          <w:rFonts w:ascii="Times New Roman" w:cs="Times New Roman" w:eastAsia="Times New Roman" w:hAnsi="Times New Roman"/>
          <w:sz w:val="22"/>
          <w:szCs w:val="22"/>
          <w:color w:val="auto"/>
        </w:rPr>
        <w:t>38</w:t>
      </w:r>
    </w:p>
    <w:p>
      <w:pPr>
        <w:spacing w:after="0" w:line="15" w:lineRule="exact"/>
        <w:rPr>
          <w:sz w:val="20"/>
          <w:szCs w:val="20"/>
          <w:color w:val="auto"/>
        </w:rPr>
      </w:pPr>
    </w:p>
    <w:p>
      <w:pPr>
        <w:spacing w:after="0"/>
        <w:tabs>
          <w:tab w:leader="dot" w:pos="7580" w:val="left"/>
        </w:tabs>
        <w:rPr>
          <w:sz w:val="20"/>
          <w:szCs w:val="20"/>
          <w:color w:val="auto"/>
        </w:rPr>
      </w:pPr>
      <w:r>
        <w:rPr>
          <w:rFonts w:ascii="Times New Roman" w:cs="Times New Roman" w:eastAsia="Times New Roman" w:hAnsi="Times New Roman"/>
          <w:sz w:val="22"/>
          <w:szCs w:val="22"/>
          <w:color w:val="auto"/>
        </w:rPr>
        <w:t>Section 4.06 Financial Statements; Undisclosed Liabilities</w:t>
      </w:r>
      <w:r>
        <w:rPr>
          <w:sz w:val="20"/>
          <w:szCs w:val="20"/>
          <w:color w:val="auto"/>
        </w:rPr>
        <w:tab/>
      </w:r>
      <w:r>
        <w:rPr>
          <w:rFonts w:ascii="Times New Roman" w:cs="Times New Roman" w:eastAsia="Times New Roman" w:hAnsi="Times New Roman"/>
          <w:sz w:val="22"/>
          <w:szCs w:val="22"/>
          <w:color w:val="auto"/>
        </w:rPr>
        <w:t>38</w:t>
      </w:r>
    </w:p>
    <w:p>
      <w:pPr>
        <w:spacing w:after="0" w:line="4" w:lineRule="exact"/>
        <w:rPr>
          <w:sz w:val="20"/>
          <w:szCs w:val="20"/>
          <w:color w:val="auto"/>
        </w:rPr>
      </w:pPr>
    </w:p>
    <w:p>
      <w:pPr>
        <w:spacing w:after="0"/>
        <w:tabs>
          <w:tab w:leader="dot" w:pos="7580" w:val="left"/>
        </w:tabs>
        <w:rPr>
          <w:sz w:val="20"/>
          <w:szCs w:val="20"/>
          <w:color w:val="auto"/>
        </w:rPr>
      </w:pPr>
      <w:r>
        <w:rPr>
          <w:rFonts w:ascii="Times New Roman" w:cs="Times New Roman" w:eastAsia="Times New Roman" w:hAnsi="Times New Roman"/>
          <w:sz w:val="22"/>
          <w:szCs w:val="22"/>
          <w:color w:val="auto"/>
        </w:rPr>
        <w:t>Section 4.07 Absence of Certain Changes</w:t>
      </w:r>
      <w:r>
        <w:rPr>
          <w:sz w:val="20"/>
          <w:szCs w:val="20"/>
          <w:color w:val="auto"/>
        </w:rPr>
        <w:tab/>
      </w:r>
      <w:r>
        <w:rPr>
          <w:rFonts w:ascii="Times New Roman" w:cs="Times New Roman" w:eastAsia="Times New Roman" w:hAnsi="Times New Roman"/>
          <w:sz w:val="22"/>
          <w:szCs w:val="22"/>
          <w:color w:val="auto"/>
        </w:rPr>
        <w:t>39</w:t>
      </w:r>
    </w:p>
    <w:p>
      <w:pPr>
        <w:sectPr>
          <w:pgSz w:w="11900" w:h="16838" w:orient="portrait"/>
          <w:cols w:equalWidth="0" w:num="1">
            <w:col w:w="11240"/>
          </w:cols>
          <w:pgMar w:left="320" w:top="14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i -</w:t>
      </w:r>
    </w:p>
    <w:p>
      <w:pPr>
        <w:sectPr>
          <w:pgSz w:w="11900" w:h="16838" w:orient="portrait"/>
          <w:cols w:equalWidth="0" w:num="1">
            <w:col w:w="11240"/>
          </w:cols>
          <w:pgMar w:left="320" w:top="1422" w:right="339" w:bottom="1440" w:gutter="0" w:footer="0" w:header="0"/>
          <w:type w:val="continuous"/>
        </w:sectPr>
      </w:pPr>
    </w:p>
    <w:bookmarkStart w:id="65" w:name="page66"/>
    <w:bookmarkEnd w:id="65"/>
    <w:p>
      <w:pPr>
        <w:spacing w:after="0"/>
        <w:tabs>
          <w:tab w:leader="dot" w:pos="7580" w:val="left"/>
        </w:tabs>
        <w:rPr>
          <w:sz w:val="20"/>
          <w:szCs w:val="20"/>
          <w:color w:val="auto"/>
        </w:rPr>
      </w:pPr>
      <w:r>
        <w:rPr>
          <w:rFonts w:ascii="Times New Roman" w:cs="Times New Roman" w:eastAsia="Times New Roman" w:hAnsi="Times New Roman"/>
          <w:sz w:val="22"/>
          <w:szCs w:val="22"/>
          <w:color w:val="auto"/>
        </w:rPr>
        <w:t>Section 4.08 Legal Proceedings</w:t>
      </w:r>
      <w:r>
        <w:rPr>
          <w:sz w:val="20"/>
          <w:szCs w:val="20"/>
          <w:color w:val="auto"/>
        </w:rPr>
        <w:tab/>
      </w:r>
      <w:r>
        <w:rPr>
          <w:rFonts w:ascii="Times New Roman" w:cs="Times New Roman" w:eastAsia="Times New Roman" w:hAnsi="Times New Roman"/>
          <w:sz w:val="22"/>
          <w:szCs w:val="22"/>
          <w:color w:val="auto"/>
        </w:rPr>
        <w:t>40</w:t>
      </w:r>
    </w:p>
    <w:p>
      <w:pPr>
        <w:spacing w:after="0" w:line="28" w:lineRule="exact"/>
        <w:rPr>
          <w:sz w:val="20"/>
          <w:szCs w:val="20"/>
          <w:color w:val="auto"/>
        </w:rPr>
      </w:pPr>
    </w:p>
    <w:p>
      <w:pPr>
        <w:spacing w:after="0"/>
        <w:tabs>
          <w:tab w:leader="dot" w:pos="7580" w:val="left"/>
        </w:tabs>
        <w:rPr>
          <w:sz w:val="20"/>
          <w:szCs w:val="20"/>
          <w:color w:val="auto"/>
        </w:rPr>
      </w:pPr>
      <w:r>
        <w:rPr>
          <w:rFonts w:ascii="Times New Roman" w:cs="Times New Roman" w:eastAsia="Times New Roman" w:hAnsi="Times New Roman"/>
          <w:sz w:val="22"/>
          <w:szCs w:val="22"/>
          <w:color w:val="auto"/>
        </w:rPr>
        <w:t>Section 4.09 Compliance with Laws; Permits</w:t>
      </w:r>
      <w:r>
        <w:rPr>
          <w:sz w:val="20"/>
          <w:szCs w:val="20"/>
          <w:color w:val="auto"/>
        </w:rPr>
        <w:tab/>
      </w:r>
      <w:r>
        <w:rPr>
          <w:rFonts w:ascii="Times New Roman" w:cs="Times New Roman" w:eastAsia="Times New Roman" w:hAnsi="Times New Roman"/>
          <w:sz w:val="22"/>
          <w:szCs w:val="22"/>
          <w:color w:val="auto"/>
        </w:rPr>
        <w:t>40</w:t>
      </w:r>
    </w:p>
    <w:p>
      <w:pPr>
        <w:spacing w:after="0" w:line="4" w:lineRule="exact"/>
        <w:rPr>
          <w:sz w:val="20"/>
          <w:szCs w:val="20"/>
          <w:color w:val="auto"/>
        </w:rPr>
      </w:pPr>
    </w:p>
    <w:p>
      <w:pPr>
        <w:spacing w:after="0"/>
        <w:tabs>
          <w:tab w:leader="dot" w:pos="7560" w:val="left"/>
        </w:tabs>
        <w:rPr>
          <w:sz w:val="20"/>
          <w:szCs w:val="20"/>
          <w:color w:val="auto"/>
        </w:rPr>
      </w:pPr>
      <w:r>
        <w:rPr>
          <w:rFonts w:ascii="Times New Roman" w:cs="Times New Roman" w:eastAsia="Times New Roman" w:hAnsi="Times New Roman"/>
          <w:sz w:val="22"/>
          <w:szCs w:val="22"/>
          <w:color w:val="auto"/>
        </w:rPr>
        <w:t>Section 4.10 Tax Matters</w:t>
      </w:r>
      <w:r>
        <w:rPr>
          <w:sz w:val="20"/>
          <w:szCs w:val="20"/>
          <w:color w:val="auto"/>
        </w:rPr>
        <w:tab/>
      </w:r>
      <w:r>
        <w:rPr>
          <w:rFonts w:ascii="Times New Roman" w:cs="Times New Roman" w:eastAsia="Times New Roman" w:hAnsi="Times New Roman"/>
          <w:sz w:val="22"/>
          <w:szCs w:val="22"/>
          <w:color w:val="auto"/>
        </w:rPr>
        <w:t>41</w:t>
      </w:r>
    </w:p>
    <w:p>
      <w:pPr>
        <w:spacing w:after="0" w:line="5" w:lineRule="exact"/>
        <w:rPr>
          <w:sz w:val="20"/>
          <w:szCs w:val="20"/>
          <w:color w:val="auto"/>
        </w:rPr>
      </w:pPr>
    </w:p>
    <w:p>
      <w:pPr>
        <w:spacing w:after="0"/>
        <w:tabs>
          <w:tab w:leader="dot" w:pos="7580" w:val="left"/>
        </w:tabs>
        <w:rPr>
          <w:sz w:val="20"/>
          <w:szCs w:val="20"/>
          <w:color w:val="auto"/>
        </w:rPr>
      </w:pPr>
      <w:r>
        <w:rPr>
          <w:rFonts w:ascii="Times New Roman" w:cs="Times New Roman" w:eastAsia="Times New Roman" w:hAnsi="Times New Roman"/>
          <w:sz w:val="22"/>
          <w:szCs w:val="22"/>
          <w:color w:val="auto"/>
        </w:rPr>
        <w:t>Section 4.11 Employee Benefits</w:t>
      </w:r>
      <w:r>
        <w:rPr>
          <w:sz w:val="20"/>
          <w:szCs w:val="20"/>
          <w:color w:val="auto"/>
        </w:rPr>
        <w:tab/>
      </w:r>
      <w:r>
        <w:rPr>
          <w:rFonts w:ascii="Times New Roman" w:cs="Times New Roman" w:eastAsia="Times New Roman" w:hAnsi="Times New Roman"/>
          <w:sz w:val="22"/>
          <w:szCs w:val="22"/>
          <w:color w:val="auto"/>
        </w:rPr>
        <w:t>42</w:t>
      </w:r>
    </w:p>
    <w:p>
      <w:pPr>
        <w:spacing w:after="0" w:line="15" w:lineRule="exact"/>
        <w:rPr>
          <w:sz w:val="20"/>
          <w:szCs w:val="20"/>
          <w:color w:val="auto"/>
        </w:rPr>
      </w:pPr>
    </w:p>
    <w:p>
      <w:pPr>
        <w:spacing w:after="0"/>
        <w:tabs>
          <w:tab w:leader="dot" w:pos="7600" w:val="left"/>
        </w:tabs>
        <w:rPr>
          <w:sz w:val="20"/>
          <w:szCs w:val="20"/>
          <w:color w:val="auto"/>
        </w:rPr>
      </w:pPr>
      <w:r>
        <w:rPr>
          <w:rFonts w:ascii="Times New Roman" w:cs="Times New Roman" w:eastAsia="Times New Roman" w:hAnsi="Times New Roman"/>
          <w:sz w:val="22"/>
          <w:szCs w:val="22"/>
          <w:color w:val="auto"/>
        </w:rPr>
        <w:t>Section 4.12 Labor Matters</w:t>
      </w:r>
      <w:r>
        <w:rPr>
          <w:sz w:val="20"/>
          <w:szCs w:val="20"/>
          <w:color w:val="auto"/>
        </w:rPr>
        <w:tab/>
      </w:r>
      <w:r>
        <w:rPr>
          <w:rFonts w:ascii="Times New Roman" w:cs="Times New Roman" w:eastAsia="Times New Roman" w:hAnsi="Times New Roman"/>
          <w:sz w:val="22"/>
          <w:szCs w:val="22"/>
          <w:color w:val="auto"/>
        </w:rPr>
        <w:t>43</w:t>
      </w:r>
    </w:p>
    <w:p>
      <w:pPr>
        <w:spacing w:after="0" w:line="4" w:lineRule="exact"/>
        <w:rPr>
          <w:sz w:val="20"/>
          <w:szCs w:val="20"/>
          <w:color w:val="auto"/>
        </w:rPr>
      </w:pPr>
    </w:p>
    <w:p>
      <w:pPr>
        <w:spacing w:after="0"/>
        <w:tabs>
          <w:tab w:leader="dot" w:pos="7600" w:val="left"/>
        </w:tabs>
        <w:rPr>
          <w:sz w:val="20"/>
          <w:szCs w:val="20"/>
          <w:color w:val="auto"/>
        </w:rPr>
      </w:pPr>
      <w:r>
        <w:rPr>
          <w:rFonts w:ascii="Times New Roman" w:cs="Times New Roman" w:eastAsia="Times New Roman" w:hAnsi="Times New Roman"/>
          <w:sz w:val="22"/>
          <w:szCs w:val="22"/>
          <w:color w:val="auto"/>
        </w:rPr>
        <w:t>Section 4.13 Environmental Matters</w:t>
      </w:r>
      <w:r>
        <w:rPr>
          <w:sz w:val="20"/>
          <w:szCs w:val="20"/>
          <w:color w:val="auto"/>
        </w:rPr>
        <w:tab/>
      </w:r>
      <w:r>
        <w:rPr>
          <w:rFonts w:ascii="Times New Roman" w:cs="Times New Roman" w:eastAsia="Times New Roman" w:hAnsi="Times New Roman"/>
          <w:sz w:val="22"/>
          <w:szCs w:val="22"/>
          <w:color w:val="auto"/>
        </w:rPr>
        <w:t>45</w:t>
      </w:r>
    </w:p>
    <w:p>
      <w:pPr>
        <w:spacing w:after="0" w:line="4" w:lineRule="exact"/>
        <w:rPr>
          <w:sz w:val="20"/>
          <w:szCs w:val="20"/>
          <w:color w:val="auto"/>
        </w:rPr>
      </w:pPr>
    </w:p>
    <w:p>
      <w:pPr>
        <w:spacing w:after="0"/>
        <w:tabs>
          <w:tab w:leader="dot" w:pos="7580" w:val="left"/>
        </w:tabs>
        <w:rPr>
          <w:sz w:val="20"/>
          <w:szCs w:val="20"/>
          <w:color w:val="auto"/>
        </w:rPr>
      </w:pPr>
      <w:r>
        <w:rPr>
          <w:rFonts w:ascii="Times New Roman" w:cs="Times New Roman" w:eastAsia="Times New Roman" w:hAnsi="Times New Roman"/>
          <w:sz w:val="22"/>
          <w:szCs w:val="22"/>
          <w:color w:val="auto"/>
        </w:rPr>
        <w:t>Section 4.14 Intellectual Property</w:t>
      </w:r>
      <w:r>
        <w:rPr>
          <w:sz w:val="20"/>
          <w:szCs w:val="20"/>
          <w:color w:val="auto"/>
        </w:rPr>
        <w:tab/>
      </w:r>
      <w:r>
        <w:rPr>
          <w:rFonts w:ascii="Times New Roman" w:cs="Times New Roman" w:eastAsia="Times New Roman" w:hAnsi="Times New Roman"/>
          <w:sz w:val="22"/>
          <w:szCs w:val="22"/>
          <w:color w:val="auto"/>
        </w:rPr>
        <w:t>46</w:t>
      </w:r>
    </w:p>
    <w:p>
      <w:pPr>
        <w:spacing w:after="0" w:line="4" w:lineRule="exact"/>
        <w:rPr>
          <w:sz w:val="20"/>
          <w:szCs w:val="20"/>
          <w:color w:val="auto"/>
        </w:rPr>
      </w:pPr>
    </w:p>
    <w:p>
      <w:pPr>
        <w:spacing w:after="0"/>
        <w:tabs>
          <w:tab w:leader="dot" w:pos="7580" w:val="left"/>
        </w:tabs>
        <w:rPr>
          <w:sz w:val="20"/>
          <w:szCs w:val="20"/>
          <w:color w:val="auto"/>
        </w:rPr>
      </w:pPr>
      <w:r>
        <w:rPr>
          <w:rFonts w:ascii="Times New Roman" w:cs="Times New Roman" w:eastAsia="Times New Roman" w:hAnsi="Times New Roman"/>
          <w:sz w:val="22"/>
          <w:szCs w:val="22"/>
          <w:color w:val="auto"/>
        </w:rPr>
        <w:t>Section 4.15 Transferred Real Property</w:t>
      </w:r>
      <w:r>
        <w:rPr>
          <w:sz w:val="20"/>
          <w:szCs w:val="20"/>
          <w:color w:val="auto"/>
        </w:rPr>
        <w:tab/>
      </w:r>
      <w:r>
        <w:rPr>
          <w:rFonts w:ascii="Times New Roman" w:cs="Times New Roman" w:eastAsia="Times New Roman" w:hAnsi="Times New Roman"/>
          <w:sz w:val="19"/>
          <w:szCs w:val="19"/>
          <w:color w:val="auto"/>
        </w:rPr>
        <w:t>48</w:t>
      </w:r>
    </w:p>
    <w:p>
      <w:pPr>
        <w:spacing w:after="0" w:line="5" w:lineRule="exact"/>
        <w:rPr>
          <w:sz w:val="20"/>
          <w:szCs w:val="20"/>
          <w:color w:val="auto"/>
        </w:rPr>
      </w:pPr>
    </w:p>
    <w:p>
      <w:pPr>
        <w:spacing w:after="0"/>
        <w:tabs>
          <w:tab w:leader="dot" w:pos="7580" w:val="left"/>
        </w:tabs>
        <w:rPr>
          <w:sz w:val="20"/>
          <w:szCs w:val="20"/>
          <w:color w:val="auto"/>
        </w:rPr>
      </w:pPr>
      <w:r>
        <w:rPr>
          <w:rFonts w:ascii="Times New Roman" w:cs="Times New Roman" w:eastAsia="Times New Roman" w:hAnsi="Times New Roman"/>
          <w:sz w:val="22"/>
          <w:szCs w:val="22"/>
          <w:color w:val="auto"/>
        </w:rPr>
        <w:t>Section 4.16 Contracts</w:t>
      </w:r>
      <w:r>
        <w:rPr>
          <w:sz w:val="20"/>
          <w:szCs w:val="20"/>
          <w:color w:val="auto"/>
        </w:rPr>
        <w:tab/>
      </w:r>
      <w:r>
        <w:rPr>
          <w:rFonts w:ascii="Times New Roman" w:cs="Times New Roman" w:eastAsia="Times New Roman" w:hAnsi="Times New Roman"/>
          <w:sz w:val="19"/>
          <w:szCs w:val="19"/>
          <w:color w:val="auto"/>
        </w:rPr>
        <w:t>49</w:t>
      </w:r>
    </w:p>
    <w:p>
      <w:pPr>
        <w:spacing w:after="0" w:line="15" w:lineRule="exact"/>
        <w:rPr>
          <w:sz w:val="20"/>
          <w:szCs w:val="20"/>
          <w:color w:val="auto"/>
        </w:rPr>
      </w:pPr>
    </w:p>
    <w:p>
      <w:pPr>
        <w:spacing w:after="0"/>
        <w:tabs>
          <w:tab w:leader="dot" w:pos="7600" w:val="left"/>
        </w:tabs>
        <w:rPr>
          <w:sz w:val="20"/>
          <w:szCs w:val="20"/>
          <w:color w:val="auto"/>
        </w:rPr>
      </w:pPr>
      <w:r>
        <w:rPr>
          <w:rFonts w:ascii="Times New Roman" w:cs="Times New Roman" w:eastAsia="Times New Roman" w:hAnsi="Times New Roman"/>
          <w:sz w:val="22"/>
          <w:szCs w:val="22"/>
          <w:color w:val="auto"/>
        </w:rPr>
        <w:t>Section 4.17 Brokers and Other Advisors</w:t>
      </w:r>
      <w:r>
        <w:rPr>
          <w:sz w:val="20"/>
          <w:szCs w:val="20"/>
          <w:color w:val="auto"/>
        </w:rPr>
        <w:tab/>
      </w:r>
      <w:r>
        <w:rPr>
          <w:rFonts w:ascii="Times New Roman" w:cs="Times New Roman" w:eastAsia="Times New Roman" w:hAnsi="Times New Roman"/>
          <w:sz w:val="22"/>
          <w:szCs w:val="22"/>
          <w:color w:val="auto"/>
        </w:rPr>
        <w:t>51</w:t>
      </w:r>
    </w:p>
    <w:p>
      <w:pPr>
        <w:spacing w:after="0" w:line="4" w:lineRule="exact"/>
        <w:rPr>
          <w:sz w:val="20"/>
          <w:szCs w:val="20"/>
          <w:color w:val="auto"/>
        </w:rPr>
      </w:pPr>
    </w:p>
    <w:p>
      <w:pPr>
        <w:spacing w:after="0"/>
        <w:tabs>
          <w:tab w:leader="dot" w:pos="7580" w:val="left"/>
        </w:tabs>
        <w:rPr>
          <w:sz w:val="20"/>
          <w:szCs w:val="20"/>
          <w:color w:val="auto"/>
        </w:rPr>
      </w:pPr>
      <w:r>
        <w:rPr>
          <w:rFonts w:ascii="Times New Roman" w:cs="Times New Roman" w:eastAsia="Times New Roman" w:hAnsi="Times New Roman"/>
          <w:sz w:val="22"/>
          <w:szCs w:val="22"/>
          <w:color w:val="auto"/>
        </w:rPr>
        <w:t>Section 4.18 Top Customers, Top Suppliers</w:t>
      </w:r>
      <w:r>
        <w:rPr>
          <w:sz w:val="20"/>
          <w:szCs w:val="20"/>
          <w:color w:val="auto"/>
        </w:rPr>
        <w:tab/>
      </w:r>
      <w:r>
        <w:rPr>
          <w:rFonts w:ascii="Times New Roman" w:cs="Times New Roman" w:eastAsia="Times New Roman" w:hAnsi="Times New Roman"/>
          <w:sz w:val="22"/>
          <w:szCs w:val="22"/>
          <w:color w:val="auto"/>
        </w:rPr>
        <w:t>51</w:t>
      </w:r>
    </w:p>
    <w:p>
      <w:pPr>
        <w:spacing w:after="0" w:line="4" w:lineRule="exact"/>
        <w:rPr>
          <w:sz w:val="20"/>
          <w:szCs w:val="20"/>
          <w:color w:val="auto"/>
        </w:rPr>
      </w:pPr>
    </w:p>
    <w:p>
      <w:pPr>
        <w:spacing w:after="0"/>
        <w:tabs>
          <w:tab w:leader="dot" w:pos="7580" w:val="left"/>
        </w:tabs>
        <w:rPr>
          <w:sz w:val="20"/>
          <w:szCs w:val="20"/>
          <w:color w:val="auto"/>
        </w:rPr>
      </w:pPr>
      <w:r>
        <w:rPr>
          <w:rFonts w:ascii="Times New Roman" w:cs="Times New Roman" w:eastAsia="Times New Roman" w:hAnsi="Times New Roman"/>
          <w:sz w:val="22"/>
          <w:szCs w:val="22"/>
          <w:color w:val="auto"/>
        </w:rPr>
        <w:t>Section 4.19 Insurance</w:t>
      </w:r>
      <w:r>
        <w:rPr>
          <w:sz w:val="20"/>
          <w:szCs w:val="20"/>
          <w:color w:val="auto"/>
        </w:rPr>
        <w:tab/>
      </w:r>
      <w:r>
        <w:rPr>
          <w:rFonts w:ascii="Times New Roman" w:cs="Times New Roman" w:eastAsia="Times New Roman" w:hAnsi="Times New Roman"/>
          <w:sz w:val="22"/>
          <w:szCs w:val="22"/>
          <w:color w:val="auto"/>
        </w:rPr>
        <w:t>52</w:t>
      </w:r>
    </w:p>
    <w:p>
      <w:pPr>
        <w:spacing w:after="0" w:line="4" w:lineRule="exact"/>
        <w:rPr>
          <w:sz w:val="20"/>
          <w:szCs w:val="20"/>
          <w:color w:val="auto"/>
        </w:rPr>
      </w:pPr>
    </w:p>
    <w:p>
      <w:pPr>
        <w:spacing w:after="0"/>
        <w:tabs>
          <w:tab w:leader="dot" w:pos="7600" w:val="left"/>
        </w:tabs>
        <w:rPr>
          <w:sz w:val="20"/>
          <w:szCs w:val="20"/>
          <w:color w:val="auto"/>
        </w:rPr>
      </w:pPr>
      <w:r>
        <w:rPr>
          <w:rFonts w:ascii="Times New Roman" w:cs="Times New Roman" w:eastAsia="Times New Roman" w:hAnsi="Times New Roman"/>
          <w:sz w:val="22"/>
          <w:szCs w:val="22"/>
          <w:color w:val="auto"/>
        </w:rPr>
        <w:t>Section 4.20 Related Person; Affiliate Agreements and Shared Services and Assets</w:t>
      </w:r>
      <w:r>
        <w:rPr>
          <w:sz w:val="20"/>
          <w:szCs w:val="20"/>
          <w:color w:val="auto"/>
        </w:rPr>
        <w:tab/>
      </w:r>
      <w:r>
        <w:rPr>
          <w:rFonts w:ascii="Times New Roman" w:cs="Times New Roman" w:eastAsia="Times New Roman" w:hAnsi="Times New Roman"/>
          <w:sz w:val="19"/>
          <w:szCs w:val="19"/>
          <w:color w:val="auto"/>
        </w:rPr>
        <w:t>52</w:t>
      </w:r>
    </w:p>
    <w:p>
      <w:pPr>
        <w:spacing w:after="0" w:line="4" w:lineRule="exact"/>
        <w:rPr>
          <w:sz w:val="20"/>
          <w:szCs w:val="20"/>
          <w:color w:val="auto"/>
        </w:rPr>
      </w:pPr>
    </w:p>
    <w:p>
      <w:pPr>
        <w:spacing w:after="0"/>
        <w:tabs>
          <w:tab w:leader="dot" w:pos="7600" w:val="left"/>
        </w:tabs>
        <w:rPr>
          <w:sz w:val="20"/>
          <w:szCs w:val="20"/>
          <w:color w:val="auto"/>
        </w:rPr>
      </w:pPr>
      <w:r>
        <w:rPr>
          <w:rFonts w:ascii="Times New Roman" w:cs="Times New Roman" w:eastAsia="Times New Roman" w:hAnsi="Times New Roman"/>
          <w:sz w:val="22"/>
          <w:szCs w:val="22"/>
          <w:color w:val="auto"/>
        </w:rPr>
        <w:t>Section 4.21 FDA Regulatory Matters</w:t>
      </w:r>
      <w:r>
        <w:rPr>
          <w:sz w:val="20"/>
          <w:szCs w:val="20"/>
          <w:color w:val="auto"/>
        </w:rPr>
        <w:tab/>
      </w:r>
      <w:r>
        <w:rPr>
          <w:rFonts w:ascii="Times New Roman" w:cs="Times New Roman" w:eastAsia="Times New Roman" w:hAnsi="Times New Roman"/>
          <w:sz w:val="22"/>
          <w:szCs w:val="22"/>
          <w:color w:val="auto"/>
        </w:rPr>
        <w:t>53</w:t>
      </w:r>
    </w:p>
    <w:p>
      <w:pPr>
        <w:spacing w:after="0" w:line="5" w:lineRule="exact"/>
        <w:rPr>
          <w:sz w:val="20"/>
          <w:szCs w:val="20"/>
          <w:color w:val="auto"/>
        </w:rPr>
      </w:pPr>
    </w:p>
    <w:p>
      <w:pPr>
        <w:spacing w:after="0"/>
        <w:tabs>
          <w:tab w:leader="dot" w:pos="7560" w:val="left"/>
        </w:tabs>
        <w:rPr>
          <w:sz w:val="20"/>
          <w:szCs w:val="20"/>
          <w:color w:val="auto"/>
        </w:rPr>
      </w:pPr>
      <w:r>
        <w:rPr>
          <w:rFonts w:ascii="Times New Roman" w:cs="Times New Roman" w:eastAsia="Times New Roman" w:hAnsi="Times New Roman"/>
          <w:sz w:val="22"/>
          <w:szCs w:val="22"/>
          <w:color w:val="auto"/>
        </w:rPr>
        <w:t>Section 4.22 Inventory</w:t>
      </w:r>
      <w:r>
        <w:rPr>
          <w:sz w:val="20"/>
          <w:szCs w:val="20"/>
          <w:color w:val="auto"/>
        </w:rPr>
        <w:tab/>
      </w:r>
      <w:r>
        <w:rPr>
          <w:rFonts w:ascii="Times New Roman" w:cs="Times New Roman" w:eastAsia="Times New Roman" w:hAnsi="Times New Roman"/>
          <w:sz w:val="22"/>
          <w:szCs w:val="22"/>
          <w:color w:val="auto"/>
        </w:rPr>
        <w:t>53</w:t>
      </w:r>
    </w:p>
    <w:p>
      <w:pPr>
        <w:spacing w:after="0" w:line="15" w:lineRule="exact"/>
        <w:rPr>
          <w:sz w:val="20"/>
          <w:szCs w:val="20"/>
          <w:color w:val="auto"/>
        </w:rPr>
      </w:pPr>
    </w:p>
    <w:p>
      <w:pPr>
        <w:spacing w:after="0"/>
        <w:tabs>
          <w:tab w:leader="dot" w:pos="7560" w:val="left"/>
        </w:tabs>
        <w:rPr>
          <w:sz w:val="20"/>
          <w:szCs w:val="20"/>
          <w:color w:val="auto"/>
        </w:rPr>
      </w:pPr>
      <w:r>
        <w:rPr>
          <w:rFonts w:ascii="Times New Roman" w:cs="Times New Roman" w:eastAsia="Times New Roman" w:hAnsi="Times New Roman"/>
          <w:sz w:val="22"/>
          <w:szCs w:val="22"/>
          <w:color w:val="auto"/>
        </w:rPr>
        <w:t>Section 4.23 No Other Representations or Warranties</w:t>
      </w:r>
      <w:r>
        <w:rPr>
          <w:sz w:val="20"/>
          <w:szCs w:val="20"/>
          <w:color w:val="auto"/>
        </w:rPr>
        <w:tab/>
      </w:r>
      <w:r>
        <w:rPr>
          <w:rFonts w:ascii="Times New Roman" w:cs="Times New Roman" w:eastAsia="Times New Roman" w:hAnsi="Times New Roman"/>
          <w:sz w:val="22"/>
          <w:szCs w:val="22"/>
          <w:color w:val="auto"/>
        </w:rPr>
        <w:t>54</w:t>
      </w:r>
    </w:p>
    <w:p>
      <w:pPr>
        <w:spacing w:after="0" w:line="22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color w:val="auto"/>
        </w:rPr>
        <w:t>Article V</w:t>
      </w:r>
    </w:p>
    <w:p>
      <w:pPr>
        <w:spacing w:after="0" w:line="220"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Representations and Warranties of Purchaser</w:t>
      </w:r>
    </w:p>
    <w:p>
      <w:pPr>
        <w:spacing w:after="0" w:line="220" w:lineRule="exact"/>
        <w:rPr>
          <w:sz w:val="20"/>
          <w:szCs w:val="20"/>
          <w:color w:val="auto"/>
        </w:rPr>
      </w:pPr>
    </w:p>
    <w:p>
      <w:pPr>
        <w:spacing w:after="0"/>
        <w:tabs>
          <w:tab w:leader="dot" w:pos="7620" w:val="left"/>
        </w:tabs>
        <w:rPr>
          <w:sz w:val="20"/>
          <w:szCs w:val="20"/>
          <w:color w:val="auto"/>
        </w:rPr>
      </w:pPr>
      <w:r>
        <w:rPr>
          <w:rFonts w:ascii="Times New Roman" w:cs="Times New Roman" w:eastAsia="Times New Roman" w:hAnsi="Times New Roman"/>
          <w:sz w:val="22"/>
          <w:szCs w:val="22"/>
          <w:color w:val="auto"/>
        </w:rPr>
        <w:t>Section 5.01 Organization; Standing</w:t>
      </w:r>
      <w:r>
        <w:rPr>
          <w:sz w:val="20"/>
          <w:szCs w:val="20"/>
          <w:color w:val="auto"/>
        </w:rPr>
        <w:tab/>
      </w:r>
      <w:r>
        <w:rPr>
          <w:rFonts w:ascii="Times New Roman" w:cs="Times New Roman" w:eastAsia="Times New Roman" w:hAnsi="Times New Roman"/>
          <w:sz w:val="22"/>
          <w:szCs w:val="22"/>
          <w:color w:val="auto"/>
        </w:rPr>
        <w:t>55</w:t>
      </w:r>
    </w:p>
    <w:p>
      <w:pPr>
        <w:spacing w:after="0" w:line="29" w:lineRule="exact"/>
        <w:rPr>
          <w:sz w:val="20"/>
          <w:szCs w:val="20"/>
          <w:color w:val="auto"/>
        </w:rPr>
      </w:pPr>
    </w:p>
    <w:p>
      <w:pPr>
        <w:spacing w:after="0"/>
        <w:tabs>
          <w:tab w:leader="dot" w:pos="7560" w:val="left"/>
        </w:tabs>
        <w:rPr>
          <w:sz w:val="20"/>
          <w:szCs w:val="20"/>
          <w:color w:val="auto"/>
        </w:rPr>
      </w:pPr>
      <w:r>
        <w:rPr>
          <w:rFonts w:ascii="Times New Roman" w:cs="Times New Roman" w:eastAsia="Times New Roman" w:hAnsi="Times New Roman"/>
          <w:sz w:val="22"/>
          <w:szCs w:val="22"/>
          <w:color w:val="auto"/>
        </w:rPr>
        <w:t>Section 5.02 Authority</w:t>
      </w:r>
      <w:r>
        <w:rPr>
          <w:sz w:val="20"/>
          <w:szCs w:val="20"/>
          <w:color w:val="auto"/>
        </w:rPr>
        <w:tab/>
      </w:r>
      <w:r>
        <w:rPr>
          <w:rFonts w:ascii="Times New Roman" w:cs="Times New Roman" w:eastAsia="Times New Roman" w:hAnsi="Times New Roman"/>
          <w:sz w:val="22"/>
          <w:szCs w:val="22"/>
          <w:color w:val="auto"/>
        </w:rPr>
        <w:t>55</w:t>
      </w:r>
    </w:p>
    <w:p>
      <w:pPr>
        <w:spacing w:after="0" w:line="15" w:lineRule="exact"/>
        <w:rPr>
          <w:sz w:val="20"/>
          <w:szCs w:val="20"/>
          <w:color w:val="auto"/>
        </w:rPr>
      </w:pPr>
    </w:p>
    <w:p>
      <w:pPr>
        <w:spacing w:after="0"/>
        <w:tabs>
          <w:tab w:leader="dot" w:pos="7580" w:val="left"/>
        </w:tabs>
        <w:rPr>
          <w:sz w:val="20"/>
          <w:szCs w:val="20"/>
          <w:color w:val="auto"/>
        </w:rPr>
      </w:pPr>
      <w:r>
        <w:rPr>
          <w:rFonts w:ascii="Times New Roman" w:cs="Times New Roman" w:eastAsia="Times New Roman" w:hAnsi="Times New Roman"/>
          <w:sz w:val="22"/>
          <w:szCs w:val="22"/>
          <w:color w:val="auto"/>
        </w:rPr>
        <w:t>Section 5.03 Noncontravention; Governmental Approvals</w:t>
      </w:r>
      <w:r>
        <w:rPr>
          <w:sz w:val="20"/>
          <w:szCs w:val="20"/>
          <w:color w:val="auto"/>
        </w:rPr>
        <w:tab/>
      </w:r>
      <w:r>
        <w:rPr>
          <w:rFonts w:ascii="Times New Roman" w:cs="Times New Roman" w:eastAsia="Times New Roman" w:hAnsi="Times New Roman"/>
          <w:sz w:val="22"/>
          <w:szCs w:val="22"/>
          <w:color w:val="auto"/>
        </w:rPr>
        <w:t>56</w:t>
      </w:r>
    </w:p>
    <w:p>
      <w:pPr>
        <w:spacing w:after="0" w:line="4" w:lineRule="exact"/>
        <w:rPr>
          <w:sz w:val="20"/>
          <w:szCs w:val="20"/>
          <w:color w:val="auto"/>
        </w:rPr>
      </w:pPr>
    </w:p>
    <w:p>
      <w:pPr>
        <w:spacing w:after="0"/>
        <w:tabs>
          <w:tab w:leader="dot" w:pos="7600" w:val="left"/>
        </w:tabs>
        <w:rPr>
          <w:sz w:val="20"/>
          <w:szCs w:val="20"/>
          <w:color w:val="auto"/>
        </w:rPr>
      </w:pPr>
      <w:r>
        <w:rPr>
          <w:rFonts w:ascii="Times New Roman" w:cs="Times New Roman" w:eastAsia="Times New Roman" w:hAnsi="Times New Roman"/>
          <w:sz w:val="22"/>
          <w:szCs w:val="22"/>
          <w:color w:val="auto"/>
        </w:rPr>
        <w:t>Section 5.04 Financing</w:t>
      </w:r>
      <w:r>
        <w:rPr>
          <w:sz w:val="20"/>
          <w:szCs w:val="20"/>
          <w:color w:val="auto"/>
        </w:rPr>
        <w:tab/>
      </w:r>
      <w:r>
        <w:rPr>
          <w:rFonts w:ascii="Times New Roman" w:cs="Times New Roman" w:eastAsia="Times New Roman" w:hAnsi="Times New Roman"/>
          <w:sz w:val="22"/>
          <w:szCs w:val="22"/>
          <w:color w:val="auto"/>
        </w:rPr>
        <w:t>56</w:t>
      </w:r>
    </w:p>
    <w:p>
      <w:pPr>
        <w:spacing w:after="0" w:line="4" w:lineRule="exact"/>
        <w:rPr>
          <w:sz w:val="20"/>
          <w:szCs w:val="20"/>
          <w:color w:val="auto"/>
        </w:rPr>
      </w:pPr>
    </w:p>
    <w:p>
      <w:pPr>
        <w:spacing w:after="0"/>
        <w:tabs>
          <w:tab w:leader="dot" w:pos="7580" w:val="left"/>
        </w:tabs>
        <w:rPr>
          <w:sz w:val="20"/>
          <w:szCs w:val="20"/>
          <w:color w:val="auto"/>
        </w:rPr>
      </w:pPr>
      <w:r>
        <w:rPr>
          <w:rFonts w:ascii="Times New Roman" w:cs="Times New Roman" w:eastAsia="Times New Roman" w:hAnsi="Times New Roman"/>
          <w:sz w:val="22"/>
          <w:szCs w:val="22"/>
          <w:color w:val="auto"/>
        </w:rPr>
        <w:t>Section 5.05 Solvency</w:t>
      </w:r>
      <w:r>
        <w:rPr>
          <w:sz w:val="20"/>
          <w:szCs w:val="20"/>
          <w:color w:val="auto"/>
        </w:rPr>
        <w:tab/>
      </w:r>
      <w:r>
        <w:rPr>
          <w:rFonts w:ascii="Times New Roman" w:cs="Times New Roman" w:eastAsia="Times New Roman" w:hAnsi="Times New Roman"/>
          <w:sz w:val="22"/>
          <w:szCs w:val="22"/>
          <w:color w:val="auto"/>
        </w:rPr>
        <w:t>57</w:t>
      </w:r>
    </w:p>
    <w:p>
      <w:pPr>
        <w:spacing w:after="0" w:line="4" w:lineRule="exact"/>
        <w:rPr>
          <w:sz w:val="20"/>
          <w:szCs w:val="20"/>
          <w:color w:val="auto"/>
        </w:rPr>
      </w:pPr>
    </w:p>
    <w:p>
      <w:pPr>
        <w:spacing w:after="0"/>
        <w:tabs>
          <w:tab w:leader="dot" w:pos="7600" w:val="left"/>
        </w:tabs>
        <w:rPr>
          <w:sz w:val="20"/>
          <w:szCs w:val="20"/>
          <w:color w:val="auto"/>
        </w:rPr>
      </w:pPr>
      <w:r>
        <w:rPr>
          <w:rFonts w:ascii="Times New Roman" w:cs="Times New Roman" w:eastAsia="Times New Roman" w:hAnsi="Times New Roman"/>
          <w:sz w:val="22"/>
          <w:szCs w:val="22"/>
          <w:color w:val="auto"/>
        </w:rPr>
        <w:t>Section 5.06 Brokers and Other Advisors</w:t>
      </w:r>
      <w:r>
        <w:rPr>
          <w:sz w:val="20"/>
          <w:szCs w:val="20"/>
          <w:color w:val="auto"/>
        </w:rPr>
        <w:tab/>
      </w:r>
      <w:r>
        <w:rPr>
          <w:rFonts w:ascii="Times New Roman" w:cs="Times New Roman" w:eastAsia="Times New Roman" w:hAnsi="Times New Roman"/>
          <w:sz w:val="22"/>
          <w:szCs w:val="22"/>
          <w:color w:val="auto"/>
        </w:rPr>
        <w:t>58</w:t>
      </w:r>
    </w:p>
    <w:p>
      <w:pPr>
        <w:spacing w:after="0" w:line="5" w:lineRule="exact"/>
        <w:rPr>
          <w:sz w:val="20"/>
          <w:szCs w:val="20"/>
          <w:color w:val="auto"/>
        </w:rPr>
      </w:pPr>
    </w:p>
    <w:p>
      <w:pPr>
        <w:spacing w:after="0"/>
        <w:tabs>
          <w:tab w:leader="dot" w:pos="7580" w:val="left"/>
        </w:tabs>
        <w:rPr>
          <w:sz w:val="20"/>
          <w:szCs w:val="20"/>
          <w:color w:val="auto"/>
        </w:rPr>
      </w:pPr>
      <w:r>
        <w:rPr>
          <w:rFonts w:ascii="Times New Roman" w:cs="Times New Roman" w:eastAsia="Times New Roman" w:hAnsi="Times New Roman"/>
          <w:sz w:val="22"/>
          <w:szCs w:val="22"/>
          <w:color w:val="auto"/>
        </w:rPr>
        <w:t>Section 5.07 Legal Proceedings</w:t>
      </w:r>
      <w:r>
        <w:rPr>
          <w:sz w:val="20"/>
          <w:szCs w:val="20"/>
          <w:color w:val="auto"/>
        </w:rPr>
        <w:tab/>
      </w:r>
      <w:r>
        <w:rPr>
          <w:rFonts w:ascii="Times New Roman" w:cs="Times New Roman" w:eastAsia="Times New Roman" w:hAnsi="Times New Roman"/>
          <w:sz w:val="22"/>
          <w:szCs w:val="22"/>
          <w:color w:val="auto"/>
        </w:rPr>
        <w:t>58</w:t>
      </w:r>
    </w:p>
    <w:p>
      <w:pPr>
        <w:spacing w:after="0" w:line="15" w:lineRule="exact"/>
        <w:rPr>
          <w:sz w:val="20"/>
          <w:szCs w:val="20"/>
          <w:color w:val="auto"/>
        </w:rPr>
      </w:pPr>
    </w:p>
    <w:p>
      <w:pPr>
        <w:spacing w:after="0"/>
        <w:tabs>
          <w:tab w:leader="dot" w:pos="7560" w:val="left"/>
        </w:tabs>
        <w:rPr>
          <w:sz w:val="20"/>
          <w:szCs w:val="20"/>
          <w:color w:val="auto"/>
        </w:rPr>
      </w:pPr>
      <w:r>
        <w:rPr>
          <w:rFonts w:ascii="Times New Roman" w:cs="Times New Roman" w:eastAsia="Times New Roman" w:hAnsi="Times New Roman"/>
          <w:sz w:val="22"/>
          <w:szCs w:val="22"/>
          <w:color w:val="auto"/>
        </w:rPr>
        <w:t>Section 5.08 No Other Representations or Warranties</w:t>
      </w:r>
      <w:r>
        <w:rPr>
          <w:sz w:val="20"/>
          <w:szCs w:val="20"/>
          <w:color w:val="auto"/>
        </w:rPr>
        <w:tab/>
      </w:r>
      <w:r>
        <w:rPr>
          <w:rFonts w:ascii="Times New Roman" w:cs="Times New Roman" w:eastAsia="Times New Roman" w:hAnsi="Times New Roman"/>
          <w:sz w:val="22"/>
          <w:szCs w:val="22"/>
          <w:color w:val="auto"/>
        </w:rPr>
        <w:t>58</w:t>
      </w:r>
    </w:p>
    <w:p>
      <w:pPr>
        <w:spacing w:after="0" w:line="22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color w:val="auto"/>
        </w:rPr>
        <w:t>Article VI</w:t>
      </w:r>
    </w:p>
    <w:p>
      <w:pPr>
        <w:spacing w:after="0" w:line="220"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Covenants Relating to Conduct of Business</w:t>
      </w:r>
    </w:p>
    <w:p>
      <w:pPr>
        <w:spacing w:after="0" w:line="200" w:lineRule="exact"/>
        <w:rPr>
          <w:sz w:val="20"/>
          <w:szCs w:val="20"/>
          <w:color w:val="auto"/>
        </w:rPr>
      </w:pPr>
    </w:p>
    <w:p>
      <w:pPr>
        <w:spacing w:after="0" w:line="263" w:lineRule="exact"/>
        <w:rPr>
          <w:sz w:val="20"/>
          <w:szCs w:val="20"/>
          <w:color w:val="auto"/>
        </w:rPr>
      </w:pPr>
    </w:p>
    <w:p>
      <w:pPr>
        <w:spacing w:after="0"/>
        <w:tabs>
          <w:tab w:leader="dot" w:pos="7580" w:val="left"/>
        </w:tabs>
        <w:rPr>
          <w:sz w:val="20"/>
          <w:szCs w:val="20"/>
          <w:color w:val="auto"/>
        </w:rPr>
      </w:pPr>
      <w:r>
        <w:rPr>
          <w:rFonts w:ascii="Times New Roman" w:cs="Times New Roman" w:eastAsia="Times New Roman" w:hAnsi="Times New Roman"/>
          <w:sz w:val="22"/>
          <w:szCs w:val="22"/>
          <w:color w:val="auto"/>
        </w:rPr>
        <w:t>Section 6.01 Conduct of Business Before the Closing</w:t>
      </w:r>
      <w:r>
        <w:rPr>
          <w:sz w:val="20"/>
          <w:szCs w:val="20"/>
          <w:color w:val="auto"/>
        </w:rPr>
        <w:tab/>
      </w:r>
      <w:r>
        <w:rPr>
          <w:rFonts w:ascii="Times New Roman" w:cs="Times New Roman" w:eastAsia="Times New Roman" w:hAnsi="Times New Roman"/>
          <w:sz w:val="19"/>
          <w:szCs w:val="19"/>
          <w:color w:val="auto"/>
        </w:rPr>
        <w:t>59</w:t>
      </w:r>
    </w:p>
    <w:p>
      <w:pPr>
        <w:spacing w:after="0" w:line="24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color w:val="auto"/>
        </w:rPr>
        <w:t>Article VII</w:t>
      </w:r>
    </w:p>
    <w:p>
      <w:pPr>
        <w:spacing w:after="0" w:line="23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Additional Covenants of the Parties</w:t>
      </w:r>
    </w:p>
    <w:p>
      <w:pPr>
        <w:spacing w:after="0" w:line="220" w:lineRule="exact"/>
        <w:rPr>
          <w:sz w:val="20"/>
          <w:szCs w:val="20"/>
          <w:color w:val="auto"/>
        </w:rPr>
      </w:pPr>
    </w:p>
    <w:p>
      <w:pPr>
        <w:spacing w:after="0"/>
        <w:tabs>
          <w:tab w:leader="dot" w:pos="7600" w:val="left"/>
        </w:tabs>
        <w:rPr>
          <w:sz w:val="20"/>
          <w:szCs w:val="20"/>
          <w:color w:val="auto"/>
        </w:rPr>
      </w:pPr>
      <w:r>
        <w:rPr>
          <w:rFonts w:ascii="Times New Roman" w:cs="Times New Roman" w:eastAsia="Times New Roman" w:hAnsi="Times New Roman"/>
          <w:sz w:val="22"/>
          <w:szCs w:val="22"/>
          <w:color w:val="auto"/>
        </w:rPr>
        <w:t>Section 7.01 Efforts</w:t>
      </w:r>
      <w:r>
        <w:rPr>
          <w:sz w:val="20"/>
          <w:szCs w:val="20"/>
          <w:color w:val="auto"/>
        </w:rPr>
        <w:tab/>
      </w:r>
      <w:r>
        <w:rPr>
          <w:rFonts w:ascii="Times New Roman" w:cs="Times New Roman" w:eastAsia="Times New Roman" w:hAnsi="Times New Roman"/>
          <w:sz w:val="22"/>
          <w:szCs w:val="22"/>
          <w:color w:val="auto"/>
        </w:rPr>
        <w:t>63</w:t>
      </w:r>
    </w:p>
    <w:p>
      <w:pPr>
        <w:spacing w:after="0" w:line="28" w:lineRule="exact"/>
        <w:rPr>
          <w:sz w:val="20"/>
          <w:szCs w:val="20"/>
          <w:color w:val="auto"/>
        </w:rPr>
      </w:pPr>
    </w:p>
    <w:p>
      <w:pPr>
        <w:spacing w:after="0"/>
        <w:tabs>
          <w:tab w:leader="dot" w:pos="7620" w:val="left"/>
        </w:tabs>
        <w:rPr>
          <w:sz w:val="20"/>
          <w:szCs w:val="20"/>
          <w:color w:val="auto"/>
        </w:rPr>
      </w:pPr>
      <w:r>
        <w:rPr>
          <w:rFonts w:ascii="Times New Roman" w:cs="Times New Roman" w:eastAsia="Times New Roman" w:hAnsi="Times New Roman"/>
          <w:sz w:val="22"/>
          <w:szCs w:val="22"/>
          <w:color w:val="auto"/>
        </w:rPr>
        <w:t>Section 7.02 Public Announcements</w:t>
      </w:r>
      <w:r>
        <w:rPr>
          <w:sz w:val="20"/>
          <w:szCs w:val="20"/>
          <w:color w:val="auto"/>
        </w:rPr>
        <w:tab/>
      </w:r>
      <w:r>
        <w:rPr>
          <w:rFonts w:ascii="Times New Roman" w:cs="Times New Roman" w:eastAsia="Times New Roman" w:hAnsi="Times New Roman"/>
          <w:sz w:val="22"/>
          <w:szCs w:val="22"/>
          <w:color w:val="auto"/>
        </w:rPr>
        <w:t>66</w:t>
      </w:r>
    </w:p>
    <w:p>
      <w:pPr>
        <w:spacing w:after="0" w:line="4" w:lineRule="exact"/>
        <w:rPr>
          <w:sz w:val="20"/>
          <w:szCs w:val="20"/>
          <w:color w:val="auto"/>
        </w:rPr>
      </w:pPr>
    </w:p>
    <w:p>
      <w:pPr>
        <w:spacing w:after="0"/>
        <w:tabs>
          <w:tab w:leader="dot" w:pos="7580" w:val="left"/>
        </w:tabs>
        <w:rPr>
          <w:sz w:val="20"/>
          <w:szCs w:val="20"/>
          <w:color w:val="auto"/>
        </w:rPr>
      </w:pPr>
      <w:r>
        <w:rPr>
          <w:rFonts w:ascii="Times New Roman" w:cs="Times New Roman" w:eastAsia="Times New Roman" w:hAnsi="Times New Roman"/>
          <w:sz w:val="22"/>
          <w:szCs w:val="22"/>
          <w:color w:val="auto"/>
        </w:rPr>
        <w:t>Section 7.03 Access to Information; Confidentiality</w:t>
      </w:r>
      <w:r>
        <w:rPr>
          <w:sz w:val="20"/>
          <w:szCs w:val="20"/>
          <w:color w:val="auto"/>
        </w:rPr>
        <w:tab/>
      </w:r>
      <w:r>
        <w:rPr>
          <w:rFonts w:ascii="Times New Roman" w:cs="Times New Roman" w:eastAsia="Times New Roman" w:hAnsi="Times New Roman"/>
          <w:sz w:val="22"/>
          <w:szCs w:val="22"/>
          <w:color w:val="auto"/>
        </w:rPr>
        <w:t>67</w:t>
      </w:r>
    </w:p>
    <w:p>
      <w:pPr>
        <w:spacing w:after="0" w:line="4" w:lineRule="exact"/>
        <w:rPr>
          <w:sz w:val="20"/>
          <w:szCs w:val="20"/>
          <w:color w:val="auto"/>
        </w:rPr>
      </w:pPr>
    </w:p>
    <w:p>
      <w:pPr>
        <w:spacing w:after="0"/>
        <w:tabs>
          <w:tab w:leader="dot" w:pos="7600" w:val="left"/>
        </w:tabs>
        <w:rPr>
          <w:sz w:val="20"/>
          <w:szCs w:val="20"/>
          <w:color w:val="auto"/>
        </w:rPr>
      </w:pPr>
      <w:r>
        <w:rPr>
          <w:rFonts w:ascii="Times New Roman" w:cs="Times New Roman" w:eastAsia="Times New Roman" w:hAnsi="Times New Roman"/>
          <w:sz w:val="22"/>
          <w:szCs w:val="22"/>
          <w:color w:val="auto"/>
        </w:rPr>
        <w:t>Section 7.04 Employee and Permits Schedule Updates</w:t>
      </w:r>
      <w:r>
        <w:rPr>
          <w:sz w:val="20"/>
          <w:szCs w:val="20"/>
          <w:color w:val="auto"/>
        </w:rPr>
        <w:tab/>
      </w:r>
      <w:r>
        <w:rPr>
          <w:rFonts w:ascii="Times New Roman" w:cs="Times New Roman" w:eastAsia="Times New Roman" w:hAnsi="Times New Roman"/>
          <w:sz w:val="22"/>
          <w:szCs w:val="22"/>
          <w:color w:val="auto"/>
        </w:rPr>
        <w:t>69</w:t>
      </w:r>
    </w:p>
    <w:p>
      <w:pPr>
        <w:spacing w:after="0" w:line="5" w:lineRule="exact"/>
        <w:rPr>
          <w:sz w:val="20"/>
          <w:szCs w:val="20"/>
          <w:color w:val="auto"/>
        </w:rPr>
      </w:pPr>
    </w:p>
    <w:p>
      <w:pPr>
        <w:spacing w:after="0"/>
        <w:tabs>
          <w:tab w:leader="dot" w:pos="7580" w:val="left"/>
        </w:tabs>
        <w:rPr>
          <w:sz w:val="20"/>
          <w:szCs w:val="20"/>
          <w:color w:val="auto"/>
        </w:rPr>
      </w:pPr>
      <w:r>
        <w:rPr>
          <w:rFonts w:ascii="Times New Roman" w:cs="Times New Roman" w:eastAsia="Times New Roman" w:hAnsi="Times New Roman"/>
          <w:sz w:val="22"/>
          <w:szCs w:val="22"/>
          <w:color w:val="auto"/>
        </w:rPr>
        <w:t>Section 7.05 Insurance</w:t>
      </w:r>
      <w:r>
        <w:rPr>
          <w:sz w:val="20"/>
          <w:szCs w:val="20"/>
          <w:color w:val="auto"/>
        </w:rPr>
        <w:tab/>
      </w:r>
      <w:r>
        <w:rPr>
          <w:rFonts w:ascii="Times New Roman" w:cs="Times New Roman" w:eastAsia="Times New Roman" w:hAnsi="Times New Roman"/>
          <w:sz w:val="22"/>
          <w:szCs w:val="22"/>
          <w:color w:val="auto"/>
        </w:rPr>
        <w:t>69</w:t>
      </w:r>
    </w:p>
    <w:p>
      <w:pPr>
        <w:sectPr>
          <w:pgSz w:w="11900" w:h="16838" w:orient="portrait"/>
          <w:cols w:equalWidth="0" w:num="1">
            <w:col w:w="10139"/>
          </w:cols>
          <w:pgMar w:left="320" w:top="14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color w:val="auto"/>
        </w:rPr>
        <w:t>- ii -</w:t>
      </w:r>
    </w:p>
    <w:p>
      <w:pPr>
        <w:sectPr>
          <w:pgSz w:w="11900" w:h="16838" w:orient="portrait"/>
          <w:cols w:equalWidth="0" w:num="1">
            <w:col w:w="10139"/>
          </w:cols>
          <w:pgMar w:left="320" w:top="1422" w:right="1440" w:bottom="1440" w:gutter="0" w:footer="0" w:header="0"/>
          <w:type w:val="continuous"/>
        </w:sectPr>
      </w:pPr>
    </w:p>
    <w:bookmarkStart w:id="66" w:name="page67"/>
    <w:bookmarkEnd w:id="66"/>
    <w:p>
      <w:pPr>
        <w:spacing w:after="0"/>
        <w:tabs>
          <w:tab w:leader="dot" w:pos="7580" w:val="left"/>
        </w:tabs>
        <w:rPr>
          <w:sz w:val="20"/>
          <w:szCs w:val="20"/>
          <w:color w:val="auto"/>
        </w:rPr>
      </w:pPr>
      <w:r>
        <w:rPr>
          <w:rFonts w:ascii="Times New Roman" w:cs="Times New Roman" w:eastAsia="Times New Roman" w:hAnsi="Times New Roman"/>
          <w:sz w:val="22"/>
          <w:szCs w:val="22"/>
          <w:color w:val="auto"/>
        </w:rPr>
        <w:t>Section 7.06 Employee Matters</w:t>
      </w:r>
      <w:r>
        <w:rPr>
          <w:sz w:val="20"/>
          <w:szCs w:val="20"/>
          <w:color w:val="auto"/>
        </w:rPr>
        <w:tab/>
      </w:r>
      <w:r>
        <w:rPr>
          <w:rFonts w:ascii="Times New Roman" w:cs="Times New Roman" w:eastAsia="Times New Roman" w:hAnsi="Times New Roman"/>
          <w:sz w:val="22"/>
          <w:szCs w:val="22"/>
          <w:color w:val="auto"/>
        </w:rPr>
        <w:t>70</w:t>
      </w:r>
    </w:p>
    <w:p>
      <w:pPr>
        <w:spacing w:after="0" w:line="28" w:lineRule="exact"/>
        <w:rPr>
          <w:sz w:val="20"/>
          <w:szCs w:val="20"/>
          <w:color w:val="auto"/>
        </w:rPr>
      </w:pPr>
    </w:p>
    <w:p>
      <w:pPr>
        <w:spacing w:after="0"/>
        <w:tabs>
          <w:tab w:leader="dot" w:pos="7600" w:val="left"/>
        </w:tabs>
        <w:rPr>
          <w:sz w:val="20"/>
          <w:szCs w:val="20"/>
          <w:color w:val="auto"/>
        </w:rPr>
      </w:pPr>
      <w:r>
        <w:rPr>
          <w:rFonts w:ascii="Times New Roman" w:cs="Times New Roman" w:eastAsia="Times New Roman" w:hAnsi="Times New Roman"/>
          <w:sz w:val="22"/>
          <w:szCs w:val="22"/>
          <w:color w:val="auto"/>
        </w:rPr>
        <w:t>Section 7.07 Post-Closing Access</w:t>
      </w:r>
      <w:r>
        <w:rPr>
          <w:sz w:val="20"/>
          <w:szCs w:val="20"/>
          <w:color w:val="auto"/>
        </w:rPr>
        <w:tab/>
      </w:r>
      <w:r>
        <w:rPr>
          <w:rFonts w:ascii="Times New Roman" w:cs="Times New Roman" w:eastAsia="Times New Roman" w:hAnsi="Times New Roman"/>
          <w:sz w:val="22"/>
          <w:szCs w:val="22"/>
          <w:color w:val="auto"/>
        </w:rPr>
        <w:t>77</w:t>
      </w:r>
    </w:p>
    <w:p>
      <w:pPr>
        <w:spacing w:after="0" w:line="4" w:lineRule="exact"/>
        <w:rPr>
          <w:sz w:val="20"/>
          <w:szCs w:val="20"/>
          <w:color w:val="auto"/>
        </w:rPr>
      </w:pPr>
    </w:p>
    <w:p>
      <w:pPr>
        <w:spacing w:after="0"/>
        <w:tabs>
          <w:tab w:leader="dot" w:pos="7620" w:val="left"/>
        </w:tabs>
        <w:rPr>
          <w:sz w:val="20"/>
          <w:szCs w:val="20"/>
          <w:color w:val="auto"/>
        </w:rPr>
      </w:pPr>
      <w:r>
        <w:rPr>
          <w:rFonts w:ascii="Times New Roman" w:cs="Times New Roman" w:eastAsia="Times New Roman" w:hAnsi="Times New Roman"/>
          <w:sz w:val="22"/>
          <w:szCs w:val="22"/>
          <w:color w:val="auto"/>
        </w:rPr>
        <w:t>Section 7.08 Fees and Expenses</w:t>
      </w:r>
      <w:r>
        <w:rPr>
          <w:sz w:val="20"/>
          <w:szCs w:val="20"/>
          <w:color w:val="auto"/>
        </w:rPr>
        <w:tab/>
      </w:r>
      <w:r>
        <w:rPr>
          <w:rFonts w:ascii="Times New Roman" w:cs="Times New Roman" w:eastAsia="Times New Roman" w:hAnsi="Times New Roman"/>
          <w:sz w:val="22"/>
          <w:szCs w:val="22"/>
          <w:color w:val="auto"/>
        </w:rPr>
        <w:t>78</w:t>
      </w:r>
    </w:p>
    <w:p>
      <w:pPr>
        <w:spacing w:after="0" w:line="5" w:lineRule="exact"/>
        <w:rPr>
          <w:sz w:val="20"/>
          <w:szCs w:val="20"/>
          <w:color w:val="auto"/>
        </w:rPr>
      </w:pPr>
    </w:p>
    <w:p>
      <w:pPr>
        <w:spacing w:after="0"/>
        <w:tabs>
          <w:tab w:leader="dot" w:pos="7620" w:val="left"/>
        </w:tabs>
        <w:rPr>
          <w:sz w:val="20"/>
          <w:szCs w:val="20"/>
          <w:color w:val="auto"/>
        </w:rPr>
      </w:pPr>
      <w:r>
        <w:rPr>
          <w:rFonts w:ascii="Times New Roman" w:cs="Times New Roman" w:eastAsia="Times New Roman" w:hAnsi="Times New Roman"/>
          <w:sz w:val="22"/>
          <w:szCs w:val="22"/>
          <w:color w:val="auto"/>
        </w:rPr>
        <w:t>Section 7.09 Intercompany Accounts; Affiliate Agreements</w:t>
      </w:r>
      <w:r>
        <w:rPr>
          <w:sz w:val="20"/>
          <w:szCs w:val="20"/>
          <w:color w:val="auto"/>
        </w:rPr>
        <w:tab/>
      </w:r>
      <w:r>
        <w:rPr>
          <w:rFonts w:ascii="Times New Roman" w:cs="Times New Roman" w:eastAsia="Times New Roman" w:hAnsi="Times New Roman"/>
          <w:sz w:val="22"/>
          <w:szCs w:val="22"/>
          <w:color w:val="auto"/>
        </w:rPr>
        <w:t>78</w:t>
      </w:r>
    </w:p>
    <w:p>
      <w:pPr>
        <w:spacing w:after="0" w:line="15" w:lineRule="exact"/>
        <w:rPr>
          <w:sz w:val="20"/>
          <w:szCs w:val="20"/>
          <w:color w:val="auto"/>
        </w:rPr>
      </w:pPr>
    </w:p>
    <w:p>
      <w:pPr>
        <w:spacing w:after="0"/>
        <w:tabs>
          <w:tab w:leader="dot" w:pos="7560" w:val="left"/>
        </w:tabs>
        <w:rPr>
          <w:sz w:val="20"/>
          <w:szCs w:val="20"/>
          <w:color w:val="auto"/>
        </w:rPr>
      </w:pPr>
      <w:r>
        <w:rPr>
          <w:rFonts w:ascii="Times New Roman" w:cs="Times New Roman" w:eastAsia="Times New Roman" w:hAnsi="Times New Roman"/>
          <w:sz w:val="22"/>
          <w:szCs w:val="22"/>
          <w:color w:val="auto"/>
        </w:rPr>
        <w:t>Section 7.10 Tax Matters</w:t>
      </w:r>
      <w:r>
        <w:rPr>
          <w:sz w:val="20"/>
          <w:szCs w:val="20"/>
          <w:color w:val="auto"/>
        </w:rPr>
        <w:tab/>
      </w:r>
      <w:r>
        <w:rPr>
          <w:rFonts w:ascii="Times New Roman" w:cs="Times New Roman" w:eastAsia="Times New Roman" w:hAnsi="Times New Roman"/>
          <w:sz w:val="22"/>
          <w:szCs w:val="22"/>
          <w:color w:val="auto"/>
        </w:rPr>
        <w:t>79</w:t>
      </w:r>
    </w:p>
    <w:p>
      <w:pPr>
        <w:spacing w:after="0" w:line="4" w:lineRule="exact"/>
        <w:rPr>
          <w:sz w:val="20"/>
          <w:szCs w:val="20"/>
          <w:color w:val="auto"/>
        </w:rPr>
      </w:pPr>
    </w:p>
    <w:p>
      <w:pPr>
        <w:spacing w:after="0"/>
        <w:tabs>
          <w:tab w:leader="dot" w:pos="7560" w:val="left"/>
        </w:tabs>
        <w:rPr>
          <w:sz w:val="20"/>
          <w:szCs w:val="20"/>
          <w:color w:val="auto"/>
        </w:rPr>
      </w:pPr>
      <w:r>
        <w:rPr>
          <w:rFonts w:ascii="Times New Roman" w:cs="Times New Roman" w:eastAsia="Times New Roman" w:hAnsi="Times New Roman"/>
          <w:sz w:val="22"/>
          <w:szCs w:val="22"/>
          <w:color w:val="auto"/>
        </w:rPr>
        <w:t>Section 7.11 Transfer of Intellectual Property; Seller Retained Trademarks</w:t>
      </w:r>
      <w:r>
        <w:rPr>
          <w:sz w:val="20"/>
          <w:szCs w:val="20"/>
          <w:color w:val="auto"/>
        </w:rPr>
        <w:tab/>
      </w:r>
      <w:r>
        <w:rPr>
          <w:rFonts w:ascii="Times New Roman" w:cs="Times New Roman" w:eastAsia="Times New Roman" w:hAnsi="Times New Roman"/>
          <w:sz w:val="19"/>
          <w:szCs w:val="19"/>
          <w:color w:val="auto"/>
        </w:rPr>
        <w:t>80</w:t>
      </w:r>
    </w:p>
    <w:p>
      <w:pPr>
        <w:spacing w:after="0" w:line="4" w:lineRule="exact"/>
        <w:rPr>
          <w:sz w:val="20"/>
          <w:szCs w:val="20"/>
          <w:color w:val="auto"/>
        </w:rPr>
      </w:pPr>
    </w:p>
    <w:p>
      <w:pPr>
        <w:spacing w:after="0"/>
        <w:tabs>
          <w:tab w:leader="dot" w:pos="7580" w:val="left"/>
        </w:tabs>
        <w:rPr>
          <w:sz w:val="20"/>
          <w:szCs w:val="20"/>
          <w:color w:val="auto"/>
        </w:rPr>
      </w:pPr>
      <w:r>
        <w:rPr>
          <w:rFonts w:ascii="Times New Roman" w:cs="Times New Roman" w:eastAsia="Times New Roman" w:hAnsi="Times New Roman"/>
          <w:sz w:val="22"/>
          <w:szCs w:val="22"/>
          <w:color w:val="auto"/>
        </w:rPr>
        <w:t>Section 7.12 [Reserved]</w:t>
      </w:r>
      <w:r>
        <w:rPr>
          <w:sz w:val="20"/>
          <w:szCs w:val="20"/>
          <w:color w:val="auto"/>
        </w:rPr>
        <w:tab/>
      </w:r>
      <w:r>
        <w:rPr>
          <w:rFonts w:ascii="Times New Roman" w:cs="Times New Roman" w:eastAsia="Times New Roman" w:hAnsi="Times New Roman"/>
          <w:sz w:val="22"/>
          <w:szCs w:val="22"/>
          <w:color w:val="auto"/>
        </w:rPr>
        <w:t>81</w:t>
      </w:r>
    </w:p>
    <w:p>
      <w:pPr>
        <w:spacing w:after="0" w:line="4" w:lineRule="exact"/>
        <w:rPr>
          <w:sz w:val="20"/>
          <w:szCs w:val="20"/>
          <w:color w:val="auto"/>
        </w:rPr>
      </w:pPr>
    </w:p>
    <w:p>
      <w:pPr>
        <w:spacing w:after="0"/>
        <w:tabs>
          <w:tab w:leader="dot" w:pos="7620" w:val="left"/>
        </w:tabs>
        <w:rPr>
          <w:sz w:val="20"/>
          <w:szCs w:val="20"/>
          <w:color w:val="auto"/>
        </w:rPr>
      </w:pPr>
      <w:r>
        <w:rPr>
          <w:rFonts w:ascii="Times New Roman" w:cs="Times New Roman" w:eastAsia="Times New Roman" w:hAnsi="Times New Roman"/>
          <w:sz w:val="22"/>
          <w:szCs w:val="22"/>
          <w:color w:val="auto"/>
        </w:rPr>
        <w:t>Section 7.13 Payments from Third Parties</w:t>
      </w:r>
      <w:r>
        <w:rPr>
          <w:sz w:val="20"/>
          <w:szCs w:val="20"/>
          <w:color w:val="auto"/>
        </w:rPr>
        <w:tab/>
      </w:r>
      <w:r>
        <w:rPr>
          <w:rFonts w:ascii="Times New Roman" w:cs="Times New Roman" w:eastAsia="Times New Roman" w:hAnsi="Times New Roman"/>
          <w:sz w:val="19"/>
          <w:szCs w:val="19"/>
          <w:color w:val="auto"/>
        </w:rPr>
        <w:t>81</w:t>
      </w:r>
    </w:p>
    <w:p>
      <w:pPr>
        <w:spacing w:after="0" w:line="5" w:lineRule="exact"/>
        <w:rPr>
          <w:sz w:val="20"/>
          <w:szCs w:val="20"/>
          <w:color w:val="auto"/>
        </w:rPr>
      </w:pPr>
    </w:p>
    <w:p>
      <w:pPr>
        <w:spacing w:after="0"/>
        <w:tabs>
          <w:tab w:leader="dot" w:pos="7600" w:val="left"/>
        </w:tabs>
        <w:rPr>
          <w:sz w:val="20"/>
          <w:szCs w:val="20"/>
          <w:color w:val="auto"/>
        </w:rPr>
      </w:pPr>
      <w:r>
        <w:rPr>
          <w:rFonts w:ascii="Times New Roman" w:cs="Times New Roman" w:eastAsia="Times New Roman" w:hAnsi="Times New Roman"/>
          <w:sz w:val="22"/>
          <w:szCs w:val="22"/>
          <w:color w:val="auto"/>
        </w:rPr>
        <w:t>Section 7.14 Further Assurances</w:t>
      </w:r>
      <w:r>
        <w:rPr>
          <w:sz w:val="20"/>
          <w:szCs w:val="20"/>
          <w:color w:val="auto"/>
        </w:rPr>
        <w:tab/>
      </w:r>
      <w:r>
        <w:rPr>
          <w:rFonts w:ascii="Times New Roman" w:cs="Times New Roman" w:eastAsia="Times New Roman" w:hAnsi="Times New Roman"/>
          <w:sz w:val="22"/>
          <w:szCs w:val="22"/>
          <w:color w:val="auto"/>
        </w:rPr>
        <w:t>81</w:t>
      </w:r>
    </w:p>
    <w:p>
      <w:pPr>
        <w:spacing w:after="0" w:line="15" w:lineRule="exact"/>
        <w:rPr>
          <w:sz w:val="20"/>
          <w:szCs w:val="20"/>
          <w:color w:val="auto"/>
        </w:rPr>
      </w:pPr>
    </w:p>
    <w:p>
      <w:pPr>
        <w:spacing w:after="0"/>
        <w:tabs>
          <w:tab w:leader="dot" w:pos="7600" w:val="left"/>
        </w:tabs>
        <w:rPr>
          <w:sz w:val="20"/>
          <w:szCs w:val="20"/>
          <w:color w:val="auto"/>
        </w:rPr>
      </w:pPr>
      <w:r>
        <w:rPr>
          <w:rFonts w:ascii="Times New Roman" w:cs="Times New Roman" w:eastAsia="Times New Roman" w:hAnsi="Times New Roman"/>
          <w:sz w:val="22"/>
          <w:szCs w:val="22"/>
          <w:color w:val="auto"/>
        </w:rPr>
        <w:t>Section 7.15 Correspondence</w:t>
      </w:r>
      <w:r>
        <w:rPr>
          <w:sz w:val="20"/>
          <w:szCs w:val="20"/>
          <w:color w:val="auto"/>
        </w:rPr>
        <w:tab/>
      </w:r>
      <w:r>
        <w:rPr>
          <w:rFonts w:ascii="Times New Roman" w:cs="Times New Roman" w:eastAsia="Times New Roman" w:hAnsi="Times New Roman"/>
          <w:sz w:val="22"/>
          <w:szCs w:val="22"/>
          <w:color w:val="auto"/>
        </w:rPr>
        <w:t>82</w:t>
      </w:r>
    </w:p>
    <w:p>
      <w:pPr>
        <w:spacing w:after="0" w:line="4" w:lineRule="exact"/>
        <w:rPr>
          <w:sz w:val="20"/>
          <w:szCs w:val="20"/>
          <w:color w:val="auto"/>
        </w:rPr>
      </w:pPr>
    </w:p>
    <w:p>
      <w:pPr>
        <w:spacing w:after="0"/>
        <w:tabs>
          <w:tab w:leader="dot" w:pos="7580" w:val="left"/>
        </w:tabs>
        <w:rPr>
          <w:sz w:val="20"/>
          <w:szCs w:val="20"/>
          <w:color w:val="auto"/>
        </w:rPr>
      </w:pPr>
      <w:r>
        <w:rPr>
          <w:rFonts w:ascii="Times New Roman" w:cs="Times New Roman" w:eastAsia="Times New Roman" w:hAnsi="Times New Roman"/>
          <w:sz w:val="22"/>
          <w:szCs w:val="22"/>
          <w:color w:val="auto"/>
        </w:rPr>
        <w:t>Section 7.16 Bulk Sale</w:t>
      </w:r>
      <w:r>
        <w:rPr>
          <w:sz w:val="20"/>
          <w:szCs w:val="20"/>
          <w:color w:val="auto"/>
        </w:rPr>
        <w:tab/>
      </w:r>
      <w:r>
        <w:rPr>
          <w:rFonts w:ascii="Times New Roman" w:cs="Times New Roman" w:eastAsia="Times New Roman" w:hAnsi="Times New Roman"/>
          <w:sz w:val="22"/>
          <w:szCs w:val="22"/>
          <w:color w:val="auto"/>
        </w:rPr>
        <w:t>83</w:t>
      </w:r>
    </w:p>
    <w:p>
      <w:pPr>
        <w:spacing w:after="0" w:line="4" w:lineRule="exact"/>
        <w:rPr>
          <w:sz w:val="20"/>
          <w:szCs w:val="20"/>
          <w:color w:val="auto"/>
        </w:rPr>
      </w:pPr>
    </w:p>
    <w:p>
      <w:pPr>
        <w:spacing w:after="0"/>
        <w:tabs>
          <w:tab w:leader="dot" w:pos="7620" w:val="left"/>
        </w:tabs>
        <w:rPr>
          <w:sz w:val="20"/>
          <w:szCs w:val="20"/>
          <w:color w:val="auto"/>
        </w:rPr>
      </w:pPr>
      <w:r>
        <w:rPr>
          <w:rFonts w:ascii="Times New Roman" w:cs="Times New Roman" w:eastAsia="Times New Roman" w:hAnsi="Times New Roman"/>
          <w:sz w:val="22"/>
          <w:szCs w:val="22"/>
          <w:color w:val="auto"/>
        </w:rPr>
        <w:t>Section 7.17 R&amp;W Insurance</w:t>
      </w:r>
      <w:r>
        <w:rPr>
          <w:sz w:val="20"/>
          <w:szCs w:val="20"/>
          <w:color w:val="auto"/>
        </w:rPr>
        <w:tab/>
      </w:r>
      <w:r>
        <w:rPr>
          <w:rFonts w:ascii="Times New Roman" w:cs="Times New Roman" w:eastAsia="Times New Roman" w:hAnsi="Times New Roman"/>
          <w:sz w:val="19"/>
          <w:szCs w:val="19"/>
          <w:color w:val="auto"/>
        </w:rPr>
        <w:t>83</w:t>
      </w:r>
    </w:p>
    <w:p>
      <w:pPr>
        <w:spacing w:after="0" w:line="4" w:lineRule="exact"/>
        <w:rPr>
          <w:sz w:val="20"/>
          <w:szCs w:val="20"/>
          <w:color w:val="auto"/>
        </w:rPr>
      </w:pPr>
    </w:p>
    <w:p>
      <w:pPr>
        <w:spacing w:after="0"/>
        <w:tabs>
          <w:tab w:leader="dot" w:pos="7620" w:val="left"/>
        </w:tabs>
        <w:rPr>
          <w:sz w:val="20"/>
          <w:szCs w:val="20"/>
          <w:color w:val="auto"/>
        </w:rPr>
      </w:pPr>
      <w:r>
        <w:rPr>
          <w:rFonts w:ascii="Times New Roman" w:cs="Times New Roman" w:eastAsia="Times New Roman" w:hAnsi="Times New Roman"/>
          <w:sz w:val="22"/>
          <w:szCs w:val="22"/>
          <w:color w:val="auto"/>
        </w:rPr>
        <w:t>Section 7.18 Litigation Cooperation; Certain Settlements</w:t>
      </w:r>
      <w:r>
        <w:rPr>
          <w:sz w:val="20"/>
          <w:szCs w:val="20"/>
          <w:color w:val="auto"/>
        </w:rPr>
        <w:tab/>
      </w:r>
      <w:r>
        <w:rPr>
          <w:rFonts w:ascii="Times New Roman" w:cs="Times New Roman" w:eastAsia="Times New Roman" w:hAnsi="Times New Roman"/>
          <w:sz w:val="19"/>
          <w:szCs w:val="19"/>
          <w:color w:val="auto"/>
        </w:rPr>
        <w:t>83</w:t>
      </w:r>
    </w:p>
    <w:p>
      <w:pPr>
        <w:spacing w:after="0" w:line="4" w:lineRule="exact"/>
        <w:rPr>
          <w:sz w:val="20"/>
          <w:szCs w:val="20"/>
          <w:color w:val="auto"/>
        </w:rPr>
      </w:pPr>
    </w:p>
    <w:p>
      <w:pPr>
        <w:spacing w:after="0"/>
        <w:tabs>
          <w:tab w:leader="dot" w:pos="7600" w:val="left"/>
        </w:tabs>
        <w:rPr>
          <w:sz w:val="20"/>
          <w:szCs w:val="20"/>
          <w:color w:val="auto"/>
        </w:rPr>
      </w:pPr>
      <w:r>
        <w:rPr>
          <w:rFonts w:ascii="Times New Roman" w:cs="Times New Roman" w:eastAsia="Times New Roman" w:hAnsi="Times New Roman"/>
          <w:sz w:val="22"/>
          <w:szCs w:val="22"/>
          <w:color w:val="auto"/>
        </w:rPr>
        <w:t>Section 7.19 Financing</w:t>
      </w:r>
      <w:r>
        <w:rPr>
          <w:sz w:val="20"/>
          <w:szCs w:val="20"/>
          <w:color w:val="auto"/>
        </w:rPr>
        <w:tab/>
      </w:r>
      <w:r>
        <w:rPr>
          <w:rFonts w:ascii="Times New Roman" w:cs="Times New Roman" w:eastAsia="Times New Roman" w:hAnsi="Times New Roman"/>
          <w:sz w:val="22"/>
          <w:szCs w:val="22"/>
          <w:color w:val="auto"/>
        </w:rPr>
        <w:t>84</w:t>
      </w:r>
    </w:p>
    <w:p>
      <w:pPr>
        <w:spacing w:after="0" w:line="5" w:lineRule="exact"/>
        <w:rPr>
          <w:sz w:val="20"/>
          <w:szCs w:val="20"/>
          <w:color w:val="auto"/>
        </w:rPr>
      </w:pPr>
    </w:p>
    <w:p>
      <w:pPr>
        <w:spacing w:after="0"/>
        <w:tabs>
          <w:tab w:leader="dot" w:pos="7620" w:val="left"/>
        </w:tabs>
        <w:rPr>
          <w:sz w:val="20"/>
          <w:szCs w:val="20"/>
          <w:color w:val="auto"/>
        </w:rPr>
      </w:pPr>
      <w:r>
        <w:rPr>
          <w:rFonts w:ascii="Times New Roman" w:cs="Times New Roman" w:eastAsia="Times New Roman" w:hAnsi="Times New Roman"/>
          <w:sz w:val="22"/>
          <w:szCs w:val="22"/>
          <w:color w:val="auto"/>
        </w:rPr>
        <w:t>Section 7.20 Non-competition; Non-Solicitation</w:t>
      </w:r>
      <w:r>
        <w:rPr>
          <w:sz w:val="20"/>
          <w:szCs w:val="20"/>
          <w:color w:val="auto"/>
        </w:rPr>
        <w:tab/>
      </w:r>
      <w:r>
        <w:rPr>
          <w:rFonts w:ascii="Times New Roman" w:cs="Times New Roman" w:eastAsia="Times New Roman" w:hAnsi="Times New Roman"/>
          <w:sz w:val="19"/>
          <w:szCs w:val="19"/>
          <w:color w:val="auto"/>
        </w:rPr>
        <w:t>88</w:t>
      </w:r>
    </w:p>
    <w:p>
      <w:pPr>
        <w:spacing w:after="0" w:line="15" w:lineRule="exact"/>
        <w:rPr>
          <w:sz w:val="20"/>
          <w:szCs w:val="20"/>
          <w:color w:val="auto"/>
        </w:rPr>
      </w:pPr>
    </w:p>
    <w:p>
      <w:pPr>
        <w:spacing w:after="0"/>
        <w:tabs>
          <w:tab w:leader="dot" w:pos="7580" w:val="left"/>
        </w:tabs>
        <w:rPr>
          <w:sz w:val="20"/>
          <w:szCs w:val="20"/>
          <w:color w:val="auto"/>
        </w:rPr>
      </w:pPr>
      <w:r>
        <w:rPr>
          <w:rFonts w:ascii="Times New Roman" w:cs="Times New Roman" w:eastAsia="Times New Roman" w:hAnsi="Times New Roman"/>
          <w:sz w:val="22"/>
          <w:szCs w:val="22"/>
          <w:color w:val="auto"/>
        </w:rPr>
        <w:t>Section 7.21 HR Standup</w:t>
      </w:r>
      <w:r>
        <w:rPr>
          <w:sz w:val="20"/>
          <w:szCs w:val="20"/>
          <w:color w:val="auto"/>
        </w:rPr>
        <w:tab/>
      </w:r>
      <w:r>
        <w:rPr>
          <w:rFonts w:ascii="Times New Roman" w:cs="Times New Roman" w:eastAsia="Times New Roman" w:hAnsi="Times New Roman"/>
          <w:sz w:val="22"/>
          <w:szCs w:val="22"/>
          <w:color w:val="auto"/>
        </w:rPr>
        <w:t>91</w:t>
      </w:r>
    </w:p>
    <w:p>
      <w:pPr>
        <w:spacing w:after="0" w:line="4" w:lineRule="exact"/>
        <w:rPr>
          <w:sz w:val="20"/>
          <w:szCs w:val="20"/>
          <w:color w:val="auto"/>
        </w:rPr>
      </w:pPr>
    </w:p>
    <w:p>
      <w:pPr>
        <w:spacing w:after="0"/>
        <w:tabs>
          <w:tab w:leader="dot" w:pos="7580" w:val="left"/>
        </w:tabs>
        <w:rPr>
          <w:sz w:val="20"/>
          <w:szCs w:val="20"/>
          <w:color w:val="auto"/>
        </w:rPr>
      </w:pPr>
      <w:r>
        <w:rPr>
          <w:rFonts w:ascii="Times New Roman" w:cs="Times New Roman" w:eastAsia="Times New Roman" w:hAnsi="Times New Roman"/>
          <w:sz w:val="22"/>
          <w:szCs w:val="22"/>
          <w:color w:val="auto"/>
        </w:rPr>
        <w:t>Section 7.22 Environmental Covenants</w:t>
      </w:r>
      <w:r>
        <w:rPr>
          <w:sz w:val="20"/>
          <w:szCs w:val="20"/>
          <w:color w:val="auto"/>
        </w:rPr>
        <w:tab/>
      </w:r>
      <w:r>
        <w:rPr>
          <w:rFonts w:ascii="Times New Roman" w:cs="Times New Roman" w:eastAsia="Times New Roman" w:hAnsi="Times New Roman"/>
          <w:sz w:val="22"/>
          <w:szCs w:val="22"/>
          <w:color w:val="auto"/>
        </w:rPr>
        <w:t>92</w:t>
      </w:r>
    </w:p>
    <w:p>
      <w:pPr>
        <w:spacing w:after="0" w:line="4" w:lineRule="exact"/>
        <w:rPr>
          <w:sz w:val="20"/>
          <w:szCs w:val="20"/>
          <w:color w:val="auto"/>
        </w:rPr>
      </w:pPr>
    </w:p>
    <w:p>
      <w:pPr>
        <w:spacing w:after="0"/>
        <w:tabs>
          <w:tab w:leader="dot" w:pos="7580" w:val="left"/>
        </w:tabs>
        <w:rPr>
          <w:sz w:val="20"/>
          <w:szCs w:val="20"/>
          <w:color w:val="auto"/>
        </w:rPr>
      </w:pPr>
      <w:r>
        <w:rPr>
          <w:rFonts w:ascii="Times New Roman" w:cs="Times New Roman" w:eastAsia="Times New Roman" w:hAnsi="Times New Roman"/>
          <w:sz w:val="22"/>
          <w:szCs w:val="22"/>
          <w:color w:val="auto"/>
        </w:rPr>
        <w:t>Section 7.23 Supply Agreement Pricing</w:t>
      </w:r>
      <w:r>
        <w:rPr>
          <w:sz w:val="20"/>
          <w:szCs w:val="20"/>
          <w:color w:val="auto"/>
        </w:rPr>
        <w:tab/>
      </w:r>
      <w:r>
        <w:rPr>
          <w:rFonts w:ascii="Times New Roman" w:cs="Times New Roman" w:eastAsia="Times New Roman" w:hAnsi="Times New Roman"/>
          <w:sz w:val="22"/>
          <w:szCs w:val="22"/>
          <w:color w:val="auto"/>
        </w:rPr>
        <w:t>92</w:t>
      </w:r>
    </w:p>
    <w:p>
      <w:pPr>
        <w:spacing w:after="0" w:line="4" w:lineRule="exact"/>
        <w:rPr>
          <w:sz w:val="20"/>
          <w:szCs w:val="20"/>
          <w:color w:val="auto"/>
        </w:rPr>
      </w:pPr>
    </w:p>
    <w:p>
      <w:pPr>
        <w:spacing w:after="0"/>
        <w:tabs>
          <w:tab w:leader="dot" w:pos="7620" w:val="left"/>
        </w:tabs>
        <w:rPr>
          <w:sz w:val="20"/>
          <w:szCs w:val="20"/>
          <w:color w:val="auto"/>
        </w:rPr>
      </w:pPr>
      <w:r>
        <w:rPr>
          <w:rFonts w:ascii="Times New Roman" w:cs="Times New Roman" w:eastAsia="Times New Roman" w:hAnsi="Times New Roman"/>
          <w:sz w:val="22"/>
          <w:szCs w:val="22"/>
          <w:color w:val="auto"/>
        </w:rPr>
        <w:t>Section 7.24 Third-Party Specifications and Safety Data Sheets</w:t>
      </w:r>
      <w:r>
        <w:rPr>
          <w:sz w:val="20"/>
          <w:szCs w:val="20"/>
          <w:color w:val="auto"/>
        </w:rPr>
        <w:tab/>
      </w:r>
      <w:r>
        <w:rPr>
          <w:rFonts w:ascii="Times New Roman" w:cs="Times New Roman" w:eastAsia="Times New Roman" w:hAnsi="Times New Roman"/>
          <w:sz w:val="22"/>
          <w:szCs w:val="22"/>
          <w:color w:val="auto"/>
        </w:rPr>
        <w:t>94</w:t>
      </w:r>
    </w:p>
    <w:p>
      <w:pPr>
        <w:spacing w:after="0" w:line="200" w:lineRule="exact"/>
        <w:rPr>
          <w:sz w:val="20"/>
          <w:szCs w:val="20"/>
          <w:color w:val="auto"/>
        </w:rPr>
      </w:pPr>
    </w:p>
    <w:p>
      <w:pPr>
        <w:spacing w:after="0" w:line="25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Article VIII</w:t>
      </w:r>
    </w:p>
    <w:p>
      <w:pPr>
        <w:spacing w:after="0" w:line="22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Conditions to Closing</w:t>
      </w:r>
    </w:p>
    <w:p>
      <w:pPr>
        <w:spacing w:after="0" w:line="220" w:lineRule="exact"/>
        <w:rPr>
          <w:sz w:val="20"/>
          <w:szCs w:val="20"/>
          <w:color w:val="auto"/>
        </w:rPr>
      </w:pPr>
    </w:p>
    <w:p>
      <w:pPr>
        <w:spacing w:after="0"/>
        <w:tabs>
          <w:tab w:leader="dot" w:pos="7580" w:val="left"/>
        </w:tabs>
        <w:rPr>
          <w:sz w:val="20"/>
          <w:szCs w:val="20"/>
          <w:color w:val="auto"/>
        </w:rPr>
      </w:pPr>
      <w:r>
        <w:rPr>
          <w:rFonts w:ascii="Times New Roman" w:cs="Times New Roman" w:eastAsia="Times New Roman" w:hAnsi="Times New Roman"/>
          <w:sz w:val="22"/>
          <w:szCs w:val="22"/>
          <w:color w:val="auto"/>
        </w:rPr>
        <w:t>Section 8.01 Conditions to Each Party’s Obligations to Effect the Closing</w:t>
      </w:r>
      <w:r>
        <w:rPr>
          <w:sz w:val="20"/>
          <w:szCs w:val="20"/>
          <w:color w:val="auto"/>
        </w:rPr>
        <w:tab/>
      </w:r>
      <w:r>
        <w:rPr>
          <w:rFonts w:ascii="Times New Roman" w:cs="Times New Roman" w:eastAsia="Times New Roman" w:hAnsi="Times New Roman"/>
          <w:sz w:val="22"/>
          <w:szCs w:val="22"/>
          <w:color w:val="auto"/>
        </w:rPr>
        <w:t>95</w:t>
      </w:r>
    </w:p>
    <w:p>
      <w:pPr>
        <w:spacing w:after="0" w:line="28" w:lineRule="exact"/>
        <w:rPr>
          <w:sz w:val="20"/>
          <w:szCs w:val="20"/>
          <w:color w:val="auto"/>
        </w:rPr>
      </w:pPr>
    </w:p>
    <w:p>
      <w:pPr>
        <w:spacing w:after="0"/>
        <w:tabs>
          <w:tab w:leader="dot" w:pos="7580" w:val="left"/>
        </w:tabs>
        <w:rPr>
          <w:sz w:val="20"/>
          <w:szCs w:val="20"/>
          <w:color w:val="auto"/>
        </w:rPr>
      </w:pPr>
      <w:r>
        <w:rPr>
          <w:rFonts w:ascii="Times New Roman" w:cs="Times New Roman" w:eastAsia="Times New Roman" w:hAnsi="Times New Roman"/>
          <w:sz w:val="22"/>
          <w:szCs w:val="22"/>
          <w:color w:val="auto"/>
        </w:rPr>
        <w:t>Section 8.02 Additional Conditions to Obligations of Purchaser</w:t>
      </w:r>
      <w:r>
        <w:rPr>
          <w:sz w:val="20"/>
          <w:szCs w:val="20"/>
          <w:color w:val="auto"/>
        </w:rPr>
        <w:tab/>
      </w:r>
      <w:r>
        <w:rPr>
          <w:rFonts w:ascii="Times New Roman" w:cs="Times New Roman" w:eastAsia="Times New Roman" w:hAnsi="Times New Roman"/>
          <w:sz w:val="19"/>
          <w:szCs w:val="19"/>
          <w:color w:val="auto"/>
        </w:rPr>
        <w:t>95</w:t>
      </w:r>
    </w:p>
    <w:p>
      <w:pPr>
        <w:spacing w:after="0" w:line="4" w:lineRule="exact"/>
        <w:rPr>
          <w:sz w:val="20"/>
          <w:szCs w:val="20"/>
          <w:color w:val="auto"/>
        </w:rPr>
      </w:pPr>
    </w:p>
    <w:p>
      <w:pPr>
        <w:spacing w:after="0"/>
        <w:tabs>
          <w:tab w:leader="dot" w:pos="7580" w:val="left"/>
        </w:tabs>
        <w:rPr>
          <w:sz w:val="20"/>
          <w:szCs w:val="20"/>
          <w:color w:val="auto"/>
        </w:rPr>
      </w:pPr>
      <w:r>
        <w:rPr>
          <w:rFonts w:ascii="Times New Roman" w:cs="Times New Roman" w:eastAsia="Times New Roman" w:hAnsi="Times New Roman"/>
          <w:sz w:val="22"/>
          <w:szCs w:val="22"/>
          <w:color w:val="auto"/>
        </w:rPr>
        <w:t>Section 8.03 Conditions to Obligations of the Seller</w:t>
      </w:r>
      <w:r>
        <w:rPr>
          <w:sz w:val="20"/>
          <w:szCs w:val="20"/>
          <w:color w:val="auto"/>
        </w:rPr>
        <w:tab/>
      </w:r>
      <w:r>
        <w:rPr>
          <w:rFonts w:ascii="Times New Roman" w:cs="Times New Roman" w:eastAsia="Times New Roman" w:hAnsi="Times New Roman"/>
          <w:sz w:val="22"/>
          <w:szCs w:val="22"/>
          <w:color w:val="auto"/>
        </w:rPr>
        <w:t>96</w:t>
      </w:r>
    </w:p>
    <w:p>
      <w:pPr>
        <w:spacing w:after="0" w:line="5" w:lineRule="exact"/>
        <w:rPr>
          <w:sz w:val="20"/>
          <w:szCs w:val="20"/>
          <w:color w:val="auto"/>
        </w:rPr>
      </w:pPr>
    </w:p>
    <w:p>
      <w:pPr>
        <w:spacing w:after="0"/>
        <w:tabs>
          <w:tab w:leader="dot" w:pos="7600" w:val="left"/>
        </w:tabs>
        <w:rPr>
          <w:sz w:val="20"/>
          <w:szCs w:val="20"/>
          <w:color w:val="auto"/>
        </w:rPr>
      </w:pPr>
      <w:r>
        <w:rPr>
          <w:rFonts w:ascii="Times New Roman" w:cs="Times New Roman" w:eastAsia="Times New Roman" w:hAnsi="Times New Roman"/>
          <w:sz w:val="22"/>
          <w:szCs w:val="22"/>
          <w:color w:val="auto"/>
        </w:rPr>
        <w:t>Section 8.04 Frustration of Closing Conditions</w:t>
      </w:r>
      <w:r>
        <w:rPr>
          <w:sz w:val="20"/>
          <w:szCs w:val="20"/>
          <w:color w:val="auto"/>
        </w:rPr>
        <w:tab/>
      </w:r>
      <w:r>
        <w:rPr>
          <w:rFonts w:ascii="Times New Roman" w:cs="Times New Roman" w:eastAsia="Times New Roman" w:hAnsi="Times New Roman"/>
          <w:sz w:val="22"/>
          <w:szCs w:val="22"/>
          <w:color w:val="auto"/>
        </w:rPr>
        <w:t>97</w:t>
      </w:r>
    </w:p>
    <w:p>
      <w:pPr>
        <w:spacing w:after="0" w:line="31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color w:val="auto"/>
        </w:rPr>
        <w:t>Article IX</w:t>
      </w:r>
    </w:p>
    <w:p>
      <w:pPr>
        <w:spacing w:after="0" w:line="220"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color w:val="auto"/>
        </w:rPr>
        <w:t>Termination</w:t>
      </w:r>
    </w:p>
    <w:p>
      <w:pPr>
        <w:spacing w:after="0" w:line="220" w:lineRule="exact"/>
        <w:rPr>
          <w:sz w:val="20"/>
          <w:szCs w:val="20"/>
          <w:color w:val="auto"/>
        </w:rPr>
      </w:pPr>
    </w:p>
    <w:p>
      <w:pPr>
        <w:spacing w:after="0"/>
        <w:tabs>
          <w:tab w:leader="dot" w:pos="7580" w:val="left"/>
        </w:tabs>
        <w:rPr>
          <w:sz w:val="20"/>
          <w:szCs w:val="20"/>
          <w:color w:val="auto"/>
        </w:rPr>
      </w:pPr>
      <w:r>
        <w:rPr>
          <w:rFonts w:ascii="Times New Roman" w:cs="Times New Roman" w:eastAsia="Times New Roman" w:hAnsi="Times New Roman"/>
          <w:sz w:val="22"/>
          <w:szCs w:val="22"/>
          <w:color w:val="auto"/>
        </w:rPr>
        <w:t>Section 9.01 Termination</w:t>
      </w:r>
      <w:r>
        <w:rPr>
          <w:sz w:val="20"/>
          <w:szCs w:val="20"/>
          <w:color w:val="auto"/>
        </w:rPr>
        <w:tab/>
      </w:r>
      <w:r>
        <w:rPr>
          <w:rFonts w:ascii="Times New Roman" w:cs="Times New Roman" w:eastAsia="Times New Roman" w:hAnsi="Times New Roman"/>
          <w:sz w:val="22"/>
          <w:szCs w:val="22"/>
          <w:color w:val="auto"/>
        </w:rPr>
        <w:t>97</w:t>
      </w:r>
    </w:p>
    <w:p>
      <w:pPr>
        <w:spacing w:after="0" w:line="28" w:lineRule="exact"/>
        <w:rPr>
          <w:sz w:val="20"/>
          <w:szCs w:val="20"/>
          <w:color w:val="auto"/>
        </w:rPr>
      </w:pPr>
    </w:p>
    <w:p>
      <w:pPr>
        <w:spacing w:after="0"/>
        <w:tabs>
          <w:tab w:leader="dot" w:pos="7580" w:val="left"/>
        </w:tabs>
        <w:rPr>
          <w:sz w:val="20"/>
          <w:szCs w:val="20"/>
          <w:color w:val="auto"/>
        </w:rPr>
      </w:pPr>
      <w:r>
        <w:rPr>
          <w:rFonts w:ascii="Times New Roman" w:cs="Times New Roman" w:eastAsia="Times New Roman" w:hAnsi="Times New Roman"/>
          <w:sz w:val="22"/>
          <w:szCs w:val="22"/>
          <w:color w:val="auto"/>
        </w:rPr>
        <w:t>Section 9.02 Effect of Termination</w:t>
      </w:r>
      <w:r>
        <w:rPr>
          <w:sz w:val="20"/>
          <w:szCs w:val="20"/>
          <w:color w:val="auto"/>
        </w:rPr>
        <w:tab/>
      </w:r>
      <w:r>
        <w:rPr>
          <w:rFonts w:ascii="Times New Roman" w:cs="Times New Roman" w:eastAsia="Times New Roman" w:hAnsi="Times New Roman"/>
          <w:sz w:val="22"/>
          <w:szCs w:val="22"/>
          <w:color w:val="auto"/>
        </w:rPr>
        <w:t>98</w:t>
      </w:r>
    </w:p>
    <w:p>
      <w:pPr>
        <w:spacing w:after="0" w:line="22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color w:val="auto"/>
        </w:rPr>
        <w:t>Article XI</w:t>
      </w:r>
    </w:p>
    <w:p>
      <w:pPr>
        <w:spacing w:after="0" w:line="23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Indemnification</w:t>
      </w:r>
    </w:p>
    <w:p>
      <w:pPr>
        <w:spacing w:after="0" w:line="220" w:lineRule="exact"/>
        <w:rPr>
          <w:sz w:val="20"/>
          <w:szCs w:val="20"/>
          <w:color w:val="auto"/>
        </w:rPr>
      </w:pPr>
    </w:p>
    <w:p>
      <w:pPr>
        <w:spacing w:after="0"/>
        <w:tabs>
          <w:tab w:leader="dot" w:pos="7640" w:val="left"/>
        </w:tabs>
        <w:rPr>
          <w:sz w:val="20"/>
          <w:szCs w:val="20"/>
          <w:color w:val="auto"/>
        </w:rPr>
      </w:pPr>
      <w:r>
        <w:rPr>
          <w:rFonts w:ascii="Times New Roman" w:cs="Times New Roman" w:eastAsia="Times New Roman" w:hAnsi="Times New Roman"/>
          <w:sz w:val="22"/>
          <w:szCs w:val="22"/>
          <w:color w:val="auto"/>
        </w:rPr>
        <w:t>Section 10.01 No Survival</w:t>
      </w:r>
      <w:r>
        <w:rPr>
          <w:sz w:val="20"/>
          <w:szCs w:val="20"/>
          <w:color w:val="auto"/>
        </w:rPr>
        <w:tab/>
      </w:r>
      <w:r>
        <w:rPr>
          <w:rFonts w:ascii="Times New Roman" w:cs="Times New Roman" w:eastAsia="Times New Roman" w:hAnsi="Times New Roman"/>
          <w:sz w:val="21"/>
          <w:szCs w:val="21"/>
          <w:color w:val="auto"/>
        </w:rPr>
        <w:t>100</w:t>
      </w:r>
    </w:p>
    <w:p>
      <w:pPr>
        <w:spacing w:after="0" w:line="28" w:lineRule="exact"/>
        <w:rPr>
          <w:sz w:val="20"/>
          <w:szCs w:val="20"/>
          <w:color w:val="auto"/>
        </w:rPr>
      </w:pPr>
    </w:p>
    <w:p>
      <w:pPr>
        <w:spacing w:after="0"/>
        <w:tabs>
          <w:tab w:leader="dot" w:pos="7640" w:val="left"/>
        </w:tabs>
        <w:rPr>
          <w:sz w:val="20"/>
          <w:szCs w:val="20"/>
          <w:color w:val="auto"/>
        </w:rPr>
      </w:pPr>
      <w:r>
        <w:rPr>
          <w:rFonts w:ascii="Times New Roman" w:cs="Times New Roman" w:eastAsia="Times New Roman" w:hAnsi="Times New Roman"/>
          <w:sz w:val="22"/>
          <w:szCs w:val="22"/>
          <w:color w:val="auto"/>
        </w:rPr>
        <w:t>Section 10.02 Indemnification by the Seller</w:t>
      </w:r>
      <w:r>
        <w:rPr>
          <w:sz w:val="20"/>
          <w:szCs w:val="20"/>
          <w:color w:val="auto"/>
        </w:rPr>
        <w:tab/>
      </w:r>
      <w:r>
        <w:rPr>
          <w:rFonts w:ascii="Times New Roman" w:cs="Times New Roman" w:eastAsia="Times New Roman" w:hAnsi="Times New Roman"/>
          <w:sz w:val="21"/>
          <w:szCs w:val="21"/>
          <w:color w:val="auto"/>
        </w:rPr>
        <w:t>100</w:t>
      </w:r>
    </w:p>
    <w:p>
      <w:pPr>
        <w:spacing w:after="0" w:line="4" w:lineRule="exact"/>
        <w:rPr>
          <w:sz w:val="20"/>
          <w:szCs w:val="20"/>
          <w:color w:val="auto"/>
        </w:rPr>
      </w:pPr>
    </w:p>
    <w:p>
      <w:pPr>
        <w:spacing w:after="0"/>
        <w:tabs>
          <w:tab w:leader="dot" w:pos="7620" w:val="left"/>
        </w:tabs>
        <w:rPr>
          <w:sz w:val="20"/>
          <w:szCs w:val="20"/>
          <w:color w:val="auto"/>
        </w:rPr>
      </w:pPr>
      <w:r>
        <w:rPr>
          <w:rFonts w:ascii="Times New Roman" w:cs="Times New Roman" w:eastAsia="Times New Roman" w:hAnsi="Times New Roman"/>
          <w:sz w:val="22"/>
          <w:szCs w:val="22"/>
          <w:color w:val="auto"/>
        </w:rPr>
        <w:t>Section 10.03 Indemnification by Purchaser</w:t>
      </w:r>
      <w:r>
        <w:rPr>
          <w:sz w:val="20"/>
          <w:szCs w:val="20"/>
          <w:color w:val="auto"/>
        </w:rPr>
        <w:tab/>
      </w:r>
      <w:r>
        <w:rPr>
          <w:rFonts w:ascii="Times New Roman" w:cs="Times New Roman" w:eastAsia="Times New Roman" w:hAnsi="Times New Roman"/>
          <w:sz w:val="21"/>
          <w:szCs w:val="21"/>
          <w:color w:val="auto"/>
        </w:rPr>
        <w:t>100</w:t>
      </w:r>
    </w:p>
    <w:p>
      <w:pPr>
        <w:spacing w:after="0" w:line="4" w:lineRule="exact"/>
        <w:rPr>
          <w:sz w:val="20"/>
          <w:szCs w:val="20"/>
          <w:color w:val="auto"/>
        </w:rPr>
      </w:pPr>
    </w:p>
    <w:p>
      <w:pPr>
        <w:spacing w:after="0"/>
        <w:tabs>
          <w:tab w:leader="dot" w:pos="7620" w:val="left"/>
        </w:tabs>
        <w:rPr>
          <w:sz w:val="20"/>
          <w:szCs w:val="20"/>
          <w:color w:val="auto"/>
        </w:rPr>
      </w:pPr>
      <w:r>
        <w:rPr>
          <w:rFonts w:ascii="Times New Roman" w:cs="Times New Roman" w:eastAsia="Times New Roman" w:hAnsi="Times New Roman"/>
          <w:sz w:val="22"/>
          <w:szCs w:val="22"/>
          <w:color w:val="auto"/>
        </w:rPr>
        <w:t>Section 10.04 Indemnification Procedures</w:t>
      </w:r>
      <w:r>
        <w:rPr>
          <w:sz w:val="20"/>
          <w:szCs w:val="20"/>
          <w:color w:val="auto"/>
        </w:rPr>
        <w:tab/>
      </w:r>
      <w:r>
        <w:rPr>
          <w:rFonts w:ascii="Times New Roman" w:cs="Times New Roman" w:eastAsia="Times New Roman" w:hAnsi="Times New Roman"/>
          <w:sz w:val="21"/>
          <w:szCs w:val="21"/>
          <w:color w:val="auto"/>
        </w:rPr>
        <w:t>101</w:t>
      </w:r>
    </w:p>
    <w:p>
      <w:pPr>
        <w:sectPr>
          <w:pgSz w:w="11900" w:h="16838" w:orient="portrait"/>
          <w:cols w:equalWidth="0" w:num="1">
            <w:col w:w="10139"/>
          </w:cols>
          <w:pgMar w:left="320" w:top="14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1"/>
          <w:szCs w:val="21"/>
          <w:color w:val="auto"/>
        </w:rPr>
        <w:t>- iii -</w:t>
      </w:r>
    </w:p>
    <w:p>
      <w:pPr>
        <w:sectPr>
          <w:pgSz w:w="11900" w:h="16838" w:orient="portrait"/>
          <w:cols w:equalWidth="0" w:num="1">
            <w:col w:w="10139"/>
          </w:cols>
          <w:pgMar w:left="320" w:top="1422" w:right="1440"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22"/>
          <w:szCs w:val="22"/>
          <w:color w:val="auto"/>
        </w:rPr>
        <w:t>Section 10.05 Indemnification of Retained Legacy Environmental Release</w:t>
      </w:r>
    </w:p>
    <w:p>
      <w:pPr>
        <w:spacing w:after="0" w:line="28" w:lineRule="exact"/>
        <w:rPr>
          <w:sz w:val="20"/>
          <w:szCs w:val="20"/>
          <w:color w:val="auto"/>
        </w:rPr>
      </w:pPr>
    </w:p>
    <w:p>
      <w:pPr>
        <w:jc w:val="right"/>
        <w:ind w:right="2119"/>
        <w:spacing w:after="0"/>
        <w:tabs>
          <w:tab w:leader="dot" w:pos="320" w:val="left"/>
        </w:tabs>
        <w:rPr>
          <w:sz w:val="20"/>
          <w:szCs w:val="20"/>
          <w:color w:val="auto"/>
        </w:rPr>
      </w:pPr>
      <w:r>
        <w:rPr>
          <w:rFonts w:ascii="Times New Roman" w:cs="Times New Roman" w:eastAsia="Times New Roman" w:hAnsi="Times New Roman"/>
          <w:sz w:val="22"/>
          <w:szCs w:val="22"/>
          <w:color w:val="auto"/>
        </w:rPr>
        <w:t>Liabilities</w:t>
      </w:r>
      <w:r>
        <w:rPr>
          <w:sz w:val="20"/>
          <w:szCs w:val="20"/>
          <w:color w:val="auto"/>
        </w:rPr>
        <w:tab/>
      </w:r>
      <w:r>
        <w:rPr>
          <w:rFonts w:ascii="Times New Roman" w:cs="Times New Roman" w:eastAsia="Times New Roman" w:hAnsi="Times New Roman"/>
          <w:sz w:val="22"/>
          <w:szCs w:val="22"/>
          <w:color w:val="auto"/>
        </w:rPr>
        <w:t>103</w:t>
      </w:r>
    </w:p>
    <w:p>
      <w:pPr>
        <w:spacing w:after="0" w:line="4" w:lineRule="exact"/>
        <w:rPr>
          <w:sz w:val="20"/>
          <w:szCs w:val="20"/>
          <w:color w:val="auto"/>
        </w:rPr>
      </w:pPr>
    </w:p>
    <w:p>
      <w:pPr>
        <w:spacing w:after="0"/>
        <w:tabs>
          <w:tab w:leader="dot" w:pos="7640" w:val="left"/>
        </w:tabs>
        <w:rPr>
          <w:sz w:val="20"/>
          <w:szCs w:val="20"/>
          <w:color w:val="auto"/>
        </w:rPr>
      </w:pPr>
      <w:r>
        <w:rPr>
          <w:rFonts w:ascii="Times New Roman" w:cs="Times New Roman" w:eastAsia="Times New Roman" w:hAnsi="Times New Roman"/>
          <w:sz w:val="22"/>
          <w:szCs w:val="22"/>
          <w:color w:val="auto"/>
        </w:rPr>
        <w:t>Section 10.06 Calculation of Indemnity Payments</w:t>
      </w:r>
      <w:r>
        <w:rPr>
          <w:sz w:val="20"/>
          <w:szCs w:val="20"/>
          <w:color w:val="auto"/>
        </w:rPr>
        <w:tab/>
      </w:r>
      <w:r>
        <w:rPr>
          <w:rFonts w:ascii="Times New Roman" w:cs="Times New Roman" w:eastAsia="Times New Roman" w:hAnsi="Times New Roman"/>
          <w:sz w:val="22"/>
          <w:szCs w:val="22"/>
          <w:color w:val="auto"/>
        </w:rPr>
        <w:t>104</w:t>
      </w:r>
    </w:p>
    <w:p>
      <w:pPr>
        <w:spacing w:after="0" w:line="5" w:lineRule="exact"/>
        <w:rPr>
          <w:sz w:val="20"/>
          <w:szCs w:val="20"/>
          <w:color w:val="auto"/>
        </w:rPr>
      </w:pPr>
    </w:p>
    <w:p>
      <w:pPr>
        <w:spacing w:after="0"/>
        <w:tabs>
          <w:tab w:leader="dot" w:pos="7620" w:val="left"/>
        </w:tabs>
        <w:rPr>
          <w:sz w:val="20"/>
          <w:szCs w:val="20"/>
          <w:color w:val="auto"/>
        </w:rPr>
      </w:pPr>
      <w:r>
        <w:rPr>
          <w:rFonts w:ascii="Times New Roman" w:cs="Times New Roman" w:eastAsia="Times New Roman" w:hAnsi="Times New Roman"/>
          <w:sz w:val="22"/>
          <w:szCs w:val="22"/>
          <w:color w:val="auto"/>
        </w:rPr>
        <w:t>Section 10.07 Additional Matters</w:t>
      </w:r>
      <w:r>
        <w:rPr>
          <w:sz w:val="20"/>
          <w:szCs w:val="20"/>
          <w:color w:val="auto"/>
        </w:rPr>
        <w:tab/>
      </w:r>
      <w:r>
        <w:rPr>
          <w:rFonts w:ascii="Times New Roman" w:cs="Times New Roman" w:eastAsia="Times New Roman" w:hAnsi="Times New Roman"/>
          <w:sz w:val="21"/>
          <w:szCs w:val="21"/>
          <w:color w:val="auto"/>
        </w:rPr>
        <w:t>105</w:t>
      </w:r>
    </w:p>
    <w:p>
      <w:pPr>
        <w:spacing w:after="0" w:line="15" w:lineRule="exact"/>
        <w:rPr>
          <w:sz w:val="20"/>
          <w:szCs w:val="20"/>
          <w:color w:val="auto"/>
        </w:rPr>
      </w:pPr>
    </w:p>
    <w:p>
      <w:pPr>
        <w:spacing w:after="0"/>
        <w:tabs>
          <w:tab w:leader="dot" w:pos="7640" w:val="left"/>
        </w:tabs>
        <w:rPr>
          <w:sz w:val="20"/>
          <w:szCs w:val="20"/>
          <w:color w:val="auto"/>
        </w:rPr>
      </w:pPr>
      <w:r>
        <w:rPr>
          <w:rFonts w:ascii="Times New Roman" w:cs="Times New Roman" w:eastAsia="Times New Roman" w:hAnsi="Times New Roman"/>
          <w:sz w:val="22"/>
          <w:szCs w:val="22"/>
          <w:color w:val="auto"/>
        </w:rPr>
        <w:t>Section 10.08 Adjustment to Purchase Price</w:t>
      </w:r>
      <w:r>
        <w:rPr>
          <w:sz w:val="20"/>
          <w:szCs w:val="20"/>
          <w:color w:val="auto"/>
        </w:rPr>
        <w:tab/>
      </w:r>
      <w:r>
        <w:rPr>
          <w:rFonts w:ascii="Times New Roman" w:cs="Times New Roman" w:eastAsia="Times New Roman" w:hAnsi="Times New Roman"/>
          <w:sz w:val="21"/>
          <w:szCs w:val="21"/>
          <w:color w:val="auto"/>
        </w:rPr>
        <w:t>105</w:t>
      </w:r>
    </w:p>
    <w:p>
      <w:pPr>
        <w:spacing w:after="0" w:line="4" w:lineRule="exact"/>
        <w:rPr>
          <w:sz w:val="20"/>
          <w:szCs w:val="20"/>
          <w:color w:val="auto"/>
        </w:rPr>
      </w:pPr>
    </w:p>
    <w:p>
      <w:pPr>
        <w:spacing w:after="0"/>
        <w:tabs>
          <w:tab w:leader="dot" w:pos="7620" w:val="left"/>
        </w:tabs>
        <w:rPr>
          <w:sz w:val="20"/>
          <w:szCs w:val="20"/>
          <w:color w:val="auto"/>
        </w:rPr>
      </w:pPr>
      <w:r>
        <w:rPr>
          <w:rFonts w:ascii="Times New Roman" w:cs="Times New Roman" w:eastAsia="Times New Roman" w:hAnsi="Times New Roman"/>
          <w:sz w:val="22"/>
          <w:szCs w:val="22"/>
          <w:color w:val="auto"/>
        </w:rPr>
        <w:t>Section 10.09 Sole and Exclusive Monetary Remedy</w:t>
      </w:r>
      <w:r>
        <w:rPr>
          <w:sz w:val="20"/>
          <w:szCs w:val="20"/>
          <w:color w:val="auto"/>
        </w:rPr>
        <w:tab/>
      </w:r>
      <w:r>
        <w:rPr>
          <w:rFonts w:ascii="Times New Roman" w:cs="Times New Roman" w:eastAsia="Times New Roman" w:hAnsi="Times New Roman"/>
          <w:sz w:val="21"/>
          <w:szCs w:val="21"/>
          <w:color w:val="auto"/>
        </w:rPr>
        <w:t>105</w:t>
      </w:r>
    </w:p>
    <w:p>
      <w:pPr>
        <w:spacing w:after="0" w:line="22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color w:val="auto"/>
        </w:rPr>
        <w:t>Article XI</w:t>
      </w:r>
    </w:p>
    <w:p>
      <w:pPr>
        <w:spacing w:after="0" w:line="22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Miscellaneous</w:t>
      </w:r>
    </w:p>
    <w:p>
      <w:pPr>
        <w:spacing w:after="0" w:line="233" w:lineRule="exact"/>
        <w:rPr>
          <w:sz w:val="20"/>
          <w:szCs w:val="20"/>
          <w:color w:val="auto"/>
        </w:rPr>
      </w:pPr>
    </w:p>
    <w:p>
      <w:pPr>
        <w:spacing w:after="0"/>
        <w:tabs>
          <w:tab w:leader="dot" w:pos="7620" w:val="left"/>
        </w:tabs>
        <w:rPr>
          <w:sz w:val="20"/>
          <w:szCs w:val="20"/>
          <w:color w:val="auto"/>
        </w:rPr>
      </w:pPr>
      <w:r>
        <w:rPr>
          <w:rFonts w:ascii="Times New Roman" w:cs="Times New Roman" w:eastAsia="Times New Roman" w:hAnsi="Times New Roman"/>
          <w:sz w:val="22"/>
          <w:szCs w:val="22"/>
          <w:color w:val="auto"/>
        </w:rPr>
        <w:t>Section 11.01 Notices</w:t>
      </w:r>
      <w:r>
        <w:rPr>
          <w:sz w:val="20"/>
          <w:szCs w:val="20"/>
          <w:color w:val="auto"/>
        </w:rPr>
        <w:tab/>
      </w:r>
      <w:r>
        <w:rPr>
          <w:rFonts w:ascii="Times New Roman" w:cs="Times New Roman" w:eastAsia="Times New Roman" w:hAnsi="Times New Roman"/>
          <w:sz w:val="21"/>
          <w:szCs w:val="21"/>
          <w:color w:val="auto"/>
        </w:rPr>
        <w:t>106</w:t>
      </w:r>
    </w:p>
    <w:p>
      <w:pPr>
        <w:spacing w:after="0" w:line="28" w:lineRule="exact"/>
        <w:rPr>
          <w:sz w:val="20"/>
          <w:szCs w:val="20"/>
          <w:color w:val="auto"/>
        </w:rPr>
      </w:pPr>
    </w:p>
    <w:p>
      <w:pPr>
        <w:spacing w:after="0"/>
        <w:tabs>
          <w:tab w:leader="dot" w:pos="7640" w:val="left"/>
        </w:tabs>
        <w:rPr>
          <w:sz w:val="20"/>
          <w:szCs w:val="20"/>
          <w:color w:val="auto"/>
        </w:rPr>
      </w:pPr>
      <w:r>
        <w:rPr>
          <w:rFonts w:ascii="Times New Roman" w:cs="Times New Roman" w:eastAsia="Times New Roman" w:hAnsi="Times New Roman"/>
          <w:sz w:val="22"/>
          <w:szCs w:val="22"/>
          <w:color w:val="auto"/>
        </w:rPr>
        <w:t>Section 11.02 Amendment</w:t>
      </w:r>
      <w:r>
        <w:rPr>
          <w:sz w:val="20"/>
          <w:szCs w:val="20"/>
          <w:color w:val="auto"/>
        </w:rPr>
        <w:tab/>
      </w:r>
      <w:r>
        <w:rPr>
          <w:rFonts w:ascii="Times New Roman" w:cs="Times New Roman" w:eastAsia="Times New Roman" w:hAnsi="Times New Roman"/>
          <w:sz w:val="21"/>
          <w:szCs w:val="21"/>
          <w:color w:val="auto"/>
        </w:rPr>
        <w:t>107</w:t>
      </w:r>
    </w:p>
    <w:p>
      <w:pPr>
        <w:spacing w:after="0" w:line="4" w:lineRule="exact"/>
        <w:rPr>
          <w:sz w:val="20"/>
          <w:szCs w:val="20"/>
          <w:color w:val="auto"/>
        </w:rPr>
      </w:pPr>
    </w:p>
    <w:p>
      <w:pPr>
        <w:spacing w:after="0"/>
        <w:tabs>
          <w:tab w:leader="dot" w:pos="7620" w:val="left"/>
        </w:tabs>
        <w:rPr>
          <w:sz w:val="20"/>
          <w:szCs w:val="20"/>
          <w:color w:val="auto"/>
        </w:rPr>
      </w:pPr>
      <w:r>
        <w:rPr>
          <w:rFonts w:ascii="Times New Roman" w:cs="Times New Roman" w:eastAsia="Times New Roman" w:hAnsi="Times New Roman"/>
          <w:sz w:val="22"/>
          <w:szCs w:val="22"/>
          <w:color w:val="auto"/>
        </w:rPr>
        <w:t>Section 11.03 Waiver</w:t>
      </w:r>
      <w:r>
        <w:rPr>
          <w:sz w:val="20"/>
          <w:szCs w:val="20"/>
          <w:color w:val="auto"/>
        </w:rPr>
        <w:tab/>
      </w:r>
      <w:r>
        <w:rPr>
          <w:rFonts w:ascii="Times New Roman" w:cs="Times New Roman" w:eastAsia="Times New Roman" w:hAnsi="Times New Roman"/>
          <w:sz w:val="21"/>
          <w:szCs w:val="21"/>
          <w:color w:val="auto"/>
        </w:rPr>
        <w:t>107</w:t>
      </w:r>
    </w:p>
    <w:p>
      <w:pPr>
        <w:spacing w:after="0" w:line="4" w:lineRule="exact"/>
        <w:rPr>
          <w:sz w:val="20"/>
          <w:szCs w:val="20"/>
          <w:color w:val="auto"/>
        </w:rPr>
      </w:pPr>
    </w:p>
    <w:p>
      <w:pPr>
        <w:spacing w:after="0"/>
        <w:tabs>
          <w:tab w:leader="dot" w:pos="7600" w:val="left"/>
        </w:tabs>
        <w:rPr>
          <w:sz w:val="20"/>
          <w:szCs w:val="20"/>
          <w:color w:val="auto"/>
        </w:rPr>
      </w:pPr>
      <w:r>
        <w:rPr>
          <w:rFonts w:ascii="Times New Roman" w:cs="Times New Roman" w:eastAsia="Times New Roman" w:hAnsi="Times New Roman"/>
          <w:sz w:val="22"/>
          <w:szCs w:val="22"/>
          <w:color w:val="auto"/>
        </w:rPr>
        <w:t>Section 11.04 Severability</w:t>
      </w:r>
      <w:r>
        <w:rPr>
          <w:sz w:val="20"/>
          <w:szCs w:val="20"/>
          <w:color w:val="auto"/>
        </w:rPr>
        <w:tab/>
      </w:r>
      <w:r>
        <w:rPr>
          <w:rFonts w:ascii="Times New Roman" w:cs="Times New Roman" w:eastAsia="Times New Roman" w:hAnsi="Times New Roman"/>
          <w:sz w:val="21"/>
          <w:szCs w:val="21"/>
          <w:color w:val="auto"/>
        </w:rPr>
        <w:t>107</w:t>
      </w:r>
    </w:p>
    <w:p>
      <w:pPr>
        <w:spacing w:after="0" w:line="4" w:lineRule="exact"/>
        <w:rPr>
          <w:sz w:val="20"/>
          <w:szCs w:val="20"/>
          <w:color w:val="auto"/>
        </w:rPr>
      </w:pPr>
    </w:p>
    <w:p>
      <w:pPr>
        <w:spacing w:after="0"/>
        <w:tabs>
          <w:tab w:leader="dot" w:pos="7640" w:val="left"/>
        </w:tabs>
        <w:rPr>
          <w:sz w:val="20"/>
          <w:szCs w:val="20"/>
          <w:color w:val="auto"/>
        </w:rPr>
      </w:pPr>
      <w:r>
        <w:rPr>
          <w:rFonts w:ascii="Times New Roman" w:cs="Times New Roman" w:eastAsia="Times New Roman" w:hAnsi="Times New Roman"/>
          <w:sz w:val="22"/>
          <w:szCs w:val="22"/>
          <w:color w:val="auto"/>
        </w:rPr>
        <w:t>Section 11.05 Counterparts</w:t>
      </w:r>
      <w:r>
        <w:rPr>
          <w:sz w:val="20"/>
          <w:szCs w:val="20"/>
          <w:color w:val="auto"/>
        </w:rPr>
        <w:tab/>
      </w:r>
      <w:r>
        <w:rPr>
          <w:rFonts w:ascii="Times New Roman" w:cs="Times New Roman" w:eastAsia="Times New Roman" w:hAnsi="Times New Roman"/>
          <w:sz w:val="21"/>
          <w:szCs w:val="21"/>
          <w:color w:val="auto"/>
        </w:rPr>
        <w:t>108</w:t>
      </w:r>
    </w:p>
    <w:p>
      <w:pPr>
        <w:spacing w:after="0" w:line="4" w:lineRule="exact"/>
        <w:rPr>
          <w:sz w:val="20"/>
          <w:szCs w:val="20"/>
          <w:color w:val="auto"/>
        </w:rPr>
      </w:pPr>
    </w:p>
    <w:p>
      <w:pPr>
        <w:spacing w:after="0"/>
        <w:tabs>
          <w:tab w:leader="dot" w:pos="7620" w:val="left"/>
        </w:tabs>
        <w:rPr>
          <w:sz w:val="20"/>
          <w:szCs w:val="20"/>
          <w:color w:val="auto"/>
        </w:rPr>
      </w:pPr>
      <w:r>
        <w:rPr>
          <w:rFonts w:ascii="Times New Roman" w:cs="Times New Roman" w:eastAsia="Times New Roman" w:hAnsi="Times New Roman"/>
          <w:sz w:val="22"/>
          <w:szCs w:val="22"/>
          <w:color w:val="auto"/>
        </w:rPr>
        <w:t>Section 11.06 Entire Agreement; Third-Party Beneficiaries</w:t>
      </w:r>
      <w:r>
        <w:rPr>
          <w:sz w:val="20"/>
          <w:szCs w:val="20"/>
          <w:color w:val="auto"/>
        </w:rPr>
        <w:tab/>
      </w:r>
      <w:r>
        <w:rPr>
          <w:rFonts w:ascii="Times New Roman" w:cs="Times New Roman" w:eastAsia="Times New Roman" w:hAnsi="Times New Roman"/>
          <w:sz w:val="21"/>
          <w:szCs w:val="21"/>
          <w:color w:val="auto"/>
        </w:rPr>
        <w:t>108</w:t>
      </w:r>
    </w:p>
    <w:p>
      <w:pPr>
        <w:spacing w:after="0" w:line="5" w:lineRule="exact"/>
        <w:rPr>
          <w:sz w:val="20"/>
          <w:szCs w:val="20"/>
          <w:color w:val="auto"/>
        </w:rPr>
      </w:pPr>
    </w:p>
    <w:p>
      <w:pPr>
        <w:spacing w:after="0"/>
        <w:tabs>
          <w:tab w:leader="dot" w:pos="7600" w:val="left"/>
        </w:tabs>
        <w:rPr>
          <w:sz w:val="20"/>
          <w:szCs w:val="20"/>
          <w:color w:val="auto"/>
        </w:rPr>
      </w:pPr>
      <w:r>
        <w:rPr>
          <w:rFonts w:ascii="Times New Roman" w:cs="Times New Roman" w:eastAsia="Times New Roman" w:hAnsi="Times New Roman"/>
          <w:sz w:val="22"/>
          <w:szCs w:val="22"/>
          <w:color w:val="auto"/>
        </w:rPr>
        <w:t>Section 11.07 Governing Law</w:t>
      </w:r>
      <w:r>
        <w:rPr>
          <w:sz w:val="20"/>
          <w:szCs w:val="20"/>
          <w:color w:val="auto"/>
        </w:rPr>
        <w:tab/>
      </w:r>
      <w:r>
        <w:rPr>
          <w:rFonts w:ascii="Times New Roman" w:cs="Times New Roman" w:eastAsia="Times New Roman" w:hAnsi="Times New Roman"/>
          <w:sz w:val="21"/>
          <w:szCs w:val="21"/>
          <w:color w:val="auto"/>
        </w:rPr>
        <w:t>108</w:t>
      </w:r>
    </w:p>
    <w:p>
      <w:pPr>
        <w:spacing w:after="0" w:line="15" w:lineRule="exact"/>
        <w:rPr>
          <w:sz w:val="20"/>
          <w:szCs w:val="20"/>
          <w:color w:val="auto"/>
        </w:rPr>
      </w:pPr>
    </w:p>
    <w:p>
      <w:pPr>
        <w:spacing w:after="0"/>
        <w:tabs>
          <w:tab w:leader="dot" w:pos="7600" w:val="left"/>
        </w:tabs>
        <w:rPr>
          <w:sz w:val="20"/>
          <w:szCs w:val="20"/>
          <w:color w:val="auto"/>
        </w:rPr>
      </w:pPr>
      <w:r>
        <w:rPr>
          <w:rFonts w:ascii="Times New Roman" w:cs="Times New Roman" w:eastAsia="Times New Roman" w:hAnsi="Times New Roman"/>
          <w:sz w:val="22"/>
          <w:szCs w:val="22"/>
          <w:color w:val="auto"/>
        </w:rPr>
        <w:t>Section 11.08 Assignment</w:t>
      </w:r>
      <w:r>
        <w:rPr>
          <w:sz w:val="20"/>
          <w:szCs w:val="20"/>
          <w:color w:val="auto"/>
        </w:rPr>
        <w:tab/>
      </w:r>
      <w:r>
        <w:rPr>
          <w:rFonts w:ascii="Times New Roman" w:cs="Times New Roman" w:eastAsia="Times New Roman" w:hAnsi="Times New Roman"/>
          <w:sz w:val="21"/>
          <w:szCs w:val="21"/>
          <w:color w:val="auto"/>
        </w:rPr>
        <w:t>109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11.09 Enforcement; Jurisdiction; Consent to Service of Process; Waiver of</w:t>
      </w:r>
    </w:p>
    <w:p>
      <w:pPr>
        <w:spacing w:after="0" w:line="4" w:lineRule="exact"/>
        <w:rPr>
          <w:sz w:val="20"/>
          <w:szCs w:val="20"/>
          <w:color w:val="auto"/>
        </w:rPr>
      </w:pPr>
    </w:p>
    <w:p>
      <w:pPr>
        <w:spacing w:after="0"/>
        <w:tabs>
          <w:tab w:leader="dot" w:pos="6380" w:val="left"/>
        </w:tabs>
        <w:rPr>
          <w:sz w:val="20"/>
          <w:szCs w:val="20"/>
          <w:color w:val="auto"/>
        </w:rPr>
      </w:pPr>
      <w:r>
        <w:rPr>
          <w:rFonts w:ascii="Times New Roman" w:cs="Times New Roman" w:eastAsia="Times New Roman" w:hAnsi="Times New Roman"/>
          <w:sz w:val="22"/>
          <w:szCs w:val="22"/>
          <w:color w:val="auto"/>
        </w:rPr>
        <w:t>Jury Trial</w:t>
      </w:r>
      <w:r>
        <w:rPr>
          <w:sz w:val="20"/>
          <w:szCs w:val="20"/>
          <w:color w:val="auto"/>
        </w:rPr>
        <w:tab/>
      </w:r>
      <w:r>
        <w:rPr>
          <w:rFonts w:ascii="Times New Roman" w:cs="Times New Roman" w:eastAsia="Times New Roman" w:hAnsi="Times New Roman"/>
          <w:sz w:val="22"/>
          <w:szCs w:val="22"/>
          <w:color w:val="auto"/>
        </w:rPr>
        <w:t>109</w:t>
      </w:r>
    </w:p>
    <w:p>
      <w:pPr>
        <w:spacing w:after="0" w:line="4" w:lineRule="exact"/>
        <w:rPr>
          <w:sz w:val="20"/>
          <w:szCs w:val="20"/>
          <w:color w:val="auto"/>
        </w:rPr>
      </w:pPr>
    </w:p>
    <w:p>
      <w:pPr>
        <w:spacing w:after="0"/>
        <w:tabs>
          <w:tab w:leader="dot" w:pos="7620" w:val="left"/>
        </w:tabs>
        <w:rPr>
          <w:sz w:val="20"/>
          <w:szCs w:val="20"/>
          <w:color w:val="auto"/>
        </w:rPr>
      </w:pPr>
      <w:r>
        <w:rPr>
          <w:rFonts w:ascii="Times New Roman" w:cs="Times New Roman" w:eastAsia="Times New Roman" w:hAnsi="Times New Roman"/>
          <w:sz w:val="22"/>
          <w:szCs w:val="22"/>
          <w:color w:val="auto"/>
        </w:rPr>
        <w:t>Section 11.10 No Recourse Against Nonparty Affiliates</w:t>
      </w:r>
      <w:r>
        <w:rPr>
          <w:sz w:val="20"/>
          <w:szCs w:val="20"/>
          <w:color w:val="auto"/>
        </w:rPr>
        <w:tab/>
      </w:r>
      <w:r>
        <w:rPr>
          <w:rFonts w:ascii="Times New Roman" w:cs="Times New Roman" w:eastAsia="Times New Roman" w:hAnsi="Times New Roman"/>
          <w:sz w:val="19"/>
          <w:szCs w:val="19"/>
          <w:color w:val="auto"/>
        </w:rPr>
        <w:t>111</w:t>
      </w:r>
    </w:p>
    <w:p>
      <w:pPr>
        <w:spacing w:after="0" w:line="5" w:lineRule="exact"/>
        <w:rPr>
          <w:sz w:val="20"/>
          <w:szCs w:val="20"/>
          <w:color w:val="auto"/>
        </w:rPr>
      </w:pPr>
    </w:p>
    <w:p>
      <w:pPr>
        <w:spacing w:after="0"/>
        <w:tabs>
          <w:tab w:leader="dot" w:pos="7620" w:val="left"/>
        </w:tabs>
        <w:rPr>
          <w:sz w:val="20"/>
          <w:szCs w:val="20"/>
          <w:color w:val="auto"/>
        </w:rPr>
      </w:pPr>
      <w:r>
        <w:rPr>
          <w:rFonts w:ascii="Times New Roman" w:cs="Times New Roman" w:eastAsia="Times New Roman" w:hAnsi="Times New Roman"/>
          <w:sz w:val="22"/>
          <w:szCs w:val="22"/>
          <w:color w:val="auto"/>
        </w:rPr>
        <w:t>Section 11.11 Release</w:t>
      </w:r>
      <w:r>
        <w:rPr>
          <w:sz w:val="20"/>
          <w:szCs w:val="20"/>
          <w:color w:val="auto"/>
        </w:rPr>
        <w:tab/>
      </w:r>
      <w:r>
        <w:rPr>
          <w:rFonts w:ascii="Times New Roman" w:cs="Times New Roman" w:eastAsia="Times New Roman" w:hAnsi="Times New Roman"/>
          <w:sz w:val="21"/>
          <w:szCs w:val="21"/>
          <w:color w:val="auto"/>
        </w:rPr>
        <w:t>112</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11.12 Non-Reliance on Estimates, Projections, Forecasts, Forward-Looking</w:t>
      </w:r>
    </w:p>
    <w:p>
      <w:pPr>
        <w:spacing w:after="0" w:line="4" w:lineRule="exact"/>
        <w:rPr>
          <w:sz w:val="20"/>
          <w:szCs w:val="20"/>
          <w:color w:val="auto"/>
        </w:rPr>
      </w:pPr>
    </w:p>
    <w:p>
      <w:pPr>
        <w:spacing w:after="0"/>
        <w:tabs>
          <w:tab w:leader="dot" w:pos="6380" w:val="left"/>
        </w:tabs>
        <w:rPr>
          <w:sz w:val="20"/>
          <w:szCs w:val="20"/>
          <w:color w:val="auto"/>
        </w:rPr>
      </w:pPr>
      <w:r>
        <w:rPr>
          <w:rFonts w:ascii="Times New Roman" w:cs="Times New Roman" w:eastAsia="Times New Roman" w:hAnsi="Times New Roman"/>
          <w:sz w:val="22"/>
          <w:szCs w:val="22"/>
          <w:color w:val="auto"/>
        </w:rPr>
        <w:t>Statements and Business Plans</w:t>
      </w:r>
      <w:r>
        <w:rPr>
          <w:sz w:val="20"/>
          <w:szCs w:val="20"/>
          <w:color w:val="auto"/>
        </w:rPr>
        <w:tab/>
      </w:r>
      <w:r>
        <w:rPr>
          <w:rFonts w:ascii="Times New Roman" w:cs="Times New Roman" w:eastAsia="Times New Roman" w:hAnsi="Times New Roman"/>
          <w:sz w:val="19"/>
          <w:szCs w:val="19"/>
          <w:color w:val="auto"/>
        </w:rPr>
        <w:t>113</w:t>
      </w:r>
    </w:p>
    <w:p>
      <w:pPr>
        <w:spacing w:after="0" w:line="4" w:lineRule="exact"/>
        <w:rPr>
          <w:sz w:val="20"/>
          <w:szCs w:val="20"/>
          <w:color w:val="auto"/>
        </w:rPr>
      </w:pPr>
    </w:p>
    <w:p>
      <w:pPr>
        <w:spacing w:after="0"/>
        <w:tabs>
          <w:tab w:leader="dot" w:pos="7600" w:val="left"/>
        </w:tabs>
        <w:rPr>
          <w:sz w:val="20"/>
          <w:szCs w:val="20"/>
          <w:color w:val="auto"/>
        </w:rPr>
      </w:pPr>
      <w:r>
        <w:rPr>
          <w:rFonts w:ascii="Times New Roman" w:cs="Times New Roman" w:eastAsia="Times New Roman" w:hAnsi="Times New Roman"/>
          <w:sz w:val="22"/>
          <w:szCs w:val="22"/>
          <w:color w:val="auto"/>
        </w:rPr>
        <w:t>Section 11.13 Legal Representation</w:t>
      </w:r>
      <w:r>
        <w:rPr>
          <w:sz w:val="20"/>
          <w:szCs w:val="20"/>
          <w:color w:val="auto"/>
        </w:rPr>
        <w:tab/>
      </w:r>
      <w:r>
        <w:rPr>
          <w:rFonts w:ascii="Times New Roman" w:cs="Times New Roman" w:eastAsia="Times New Roman" w:hAnsi="Times New Roman"/>
          <w:sz w:val="21"/>
          <w:szCs w:val="21"/>
          <w:color w:val="auto"/>
        </w:rPr>
        <w:t>113</w:t>
      </w:r>
    </w:p>
    <w:p>
      <w:pPr>
        <w:spacing w:after="0" w:line="4" w:lineRule="exact"/>
        <w:rPr>
          <w:sz w:val="20"/>
          <w:szCs w:val="20"/>
          <w:color w:val="auto"/>
        </w:rPr>
      </w:pPr>
    </w:p>
    <w:p>
      <w:pPr>
        <w:spacing w:after="0"/>
        <w:tabs>
          <w:tab w:leader="dot" w:pos="7600" w:val="left"/>
        </w:tabs>
        <w:rPr>
          <w:sz w:val="20"/>
          <w:szCs w:val="20"/>
          <w:color w:val="auto"/>
        </w:rPr>
      </w:pPr>
      <w:r>
        <w:rPr>
          <w:rFonts w:ascii="Times New Roman" w:cs="Times New Roman" w:eastAsia="Times New Roman" w:hAnsi="Times New Roman"/>
          <w:sz w:val="22"/>
          <w:szCs w:val="22"/>
          <w:color w:val="auto"/>
        </w:rPr>
        <w:t>Section 11.14 Exclusivity</w:t>
      </w:r>
      <w:r>
        <w:rPr>
          <w:sz w:val="20"/>
          <w:szCs w:val="20"/>
          <w:color w:val="auto"/>
        </w:rPr>
        <w:tab/>
      </w:r>
      <w:r>
        <w:rPr>
          <w:rFonts w:ascii="Times New Roman" w:cs="Times New Roman" w:eastAsia="Times New Roman" w:hAnsi="Times New Roman"/>
          <w:sz w:val="21"/>
          <w:szCs w:val="21"/>
          <w:color w:val="auto"/>
        </w:rPr>
        <w:t>114</w:t>
      </w:r>
    </w:p>
    <w:p>
      <w:pPr>
        <w:spacing w:after="0" w:line="5" w:lineRule="exact"/>
        <w:rPr>
          <w:sz w:val="20"/>
          <w:szCs w:val="20"/>
          <w:color w:val="auto"/>
        </w:rPr>
      </w:pPr>
    </w:p>
    <w:p>
      <w:pPr>
        <w:spacing w:after="0"/>
        <w:tabs>
          <w:tab w:leader="dot" w:pos="7620" w:val="left"/>
        </w:tabs>
        <w:rPr>
          <w:sz w:val="20"/>
          <w:szCs w:val="20"/>
          <w:color w:val="auto"/>
        </w:rPr>
      </w:pPr>
      <w:r>
        <w:rPr>
          <w:rFonts w:ascii="Times New Roman" w:cs="Times New Roman" w:eastAsia="Times New Roman" w:hAnsi="Times New Roman"/>
          <w:sz w:val="22"/>
          <w:szCs w:val="22"/>
          <w:color w:val="auto"/>
        </w:rPr>
        <w:t>Section 11.15 Financing Sources</w:t>
      </w:r>
      <w:r>
        <w:rPr>
          <w:sz w:val="20"/>
          <w:szCs w:val="20"/>
          <w:color w:val="auto"/>
        </w:rPr>
        <w:tab/>
      </w:r>
      <w:r>
        <w:rPr>
          <w:rFonts w:ascii="Times New Roman" w:cs="Times New Roman" w:eastAsia="Times New Roman" w:hAnsi="Times New Roman"/>
          <w:sz w:val="21"/>
          <w:szCs w:val="21"/>
          <w:color w:val="auto"/>
        </w:rPr>
        <w:t>115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2"/>
          <w:szCs w:val="22"/>
          <w:color w:val="auto"/>
        </w:rPr>
        <w:t>- iv -</w:t>
      </w:r>
    </w:p>
    <w:p>
      <w:pPr>
        <w:sectPr>
          <w:pgSz w:w="11900" w:h="16838" w:orient="portrait"/>
          <w:cols w:equalWidth="0" w:num="1">
            <w:col w:w="10139"/>
          </w:cols>
          <w:pgMar w:left="320" w:top="1422" w:right="1440" w:bottom="1440" w:gutter="0" w:footer="0" w:header="0"/>
        </w:sectPr>
      </w:pPr>
    </w:p>
    <w:bookmarkStart w:id="68" w:name="page69"/>
    <w:bookmarkEnd w:id="68"/>
    <w:p>
      <w:pPr>
        <w:ind w:left="5260"/>
        <w:spacing w:after="0"/>
        <w:rPr>
          <w:sz w:val="20"/>
          <w:szCs w:val="20"/>
          <w:color w:val="auto"/>
        </w:rPr>
      </w:pPr>
      <w:r>
        <w:rPr>
          <w:rFonts w:ascii="Times New Roman" w:cs="Times New Roman" w:eastAsia="Times New Roman" w:hAnsi="Times New Roman"/>
          <w:sz w:val="22"/>
          <w:szCs w:val="22"/>
          <w:u w:val="single" w:color="auto"/>
          <w:color w:val="auto"/>
        </w:rPr>
        <w:t>Exhibits</w:t>
      </w:r>
    </w:p>
    <w:p>
      <w:pPr>
        <w:spacing w:after="0" w:line="220"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2"/>
          <w:szCs w:val="22"/>
          <w:color w:val="auto"/>
        </w:rPr>
        <w:t>EXHIBIT A</w:t>
      </w:r>
      <w:r>
        <w:rPr>
          <w:sz w:val="20"/>
          <w:szCs w:val="20"/>
          <w:color w:val="auto"/>
        </w:rPr>
        <w:tab/>
      </w:r>
      <w:r>
        <w:rPr>
          <w:rFonts w:ascii="Times New Roman" w:cs="Times New Roman" w:eastAsia="Times New Roman" w:hAnsi="Times New Roman"/>
          <w:sz w:val="21"/>
          <w:szCs w:val="21"/>
          <w:color w:val="auto"/>
        </w:rPr>
        <w:t>FORM OF TRANSITION SERVICES AGREEMENT</w:t>
      </w:r>
    </w:p>
    <w:p>
      <w:pPr>
        <w:spacing w:after="0" w:line="28"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2"/>
          <w:szCs w:val="22"/>
          <w:color w:val="auto"/>
        </w:rPr>
        <w:t>EXHIBIT B</w:t>
      </w:r>
      <w:r>
        <w:rPr>
          <w:sz w:val="20"/>
          <w:szCs w:val="20"/>
          <w:color w:val="auto"/>
        </w:rPr>
        <w:tab/>
      </w:r>
      <w:r>
        <w:rPr>
          <w:rFonts w:ascii="Times New Roman" w:cs="Times New Roman" w:eastAsia="Times New Roman" w:hAnsi="Times New Roman"/>
          <w:sz w:val="21"/>
          <w:szCs w:val="21"/>
          <w:color w:val="auto"/>
        </w:rPr>
        <w:t>FORM OF BILL OF SALE</w:t>
      </w:r>
    </w:p>
    <w:p>
      <w:pPr>
        <w:spacing w:after="0" w:line="5"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2"/>
          <w:szCs w:val="22"/>
          <w:color w:val="auto"/>
        </w:rPr>
        <w:t>EXHIBIT C</w:t>
      </w:r>
      <w:r>
        <w:rPr>
          <w:sz w:val="20"/>
          <w:szCs w:val="20"/>
          <w:color w:val="auto"/>
        </w:rPr>
        <w:tab/>
      </w:r>
      <w:r>
        <w:rPr>
          <w:rFonts w:ascii="Times New Roman" w:cs="Times New Roman" w:eastAsia="Times New Roman" w:hAnsi="Times New Roman"/>
          <w:sz w:val="21"/>
          <w:szCs w:val="21"/>
          <w:color w:val="auto"/>
        </w:rPr>
        <w:t>FORM OF ASSIGNMENT AND ASSUMPTION AGREEMENT</w:t>
      </w:r>
    </w:p>
    <w:p>
      <w:pPr>
        <w:spacing w:after="0" w:line="15"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22"/>
          <w:szCs w:val="22"/>
          <w:color w:val="auto"/>
        </w:rPr>
        <w:t>EXHIBIT D</w:t>
      </w:r>
      <w:r>
        <w:rPr>
          <w:sz w:val="20"/>
          <w:szCs w:val="20"/>
          <w:color w:val="auto"/>
        </w:rPr>
        <w:tab/>
      </w:r>
      <w:r>
        <w:rPr>
          <w:rFonts w:ascii="Times New Roman" w:cs="Times New Roman" w:eastAsia="Times New Roman" w:hAnsi="Times New Roman"/>
          <w:sz w:val="21"/>
          <w:szCs w:val="21"/>
          <w:color w:val="auto"/>
        </w:rPr>
        <w:t>FORM OF TRADEMARK ASSIGNMENT AGREEMENT</w:t>
      </w:r>
    </w:p>
    <w:p>
      <w:pPr>
        <w:spacing w:after="0" w:line="4"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2"/>
          <w:szCs w:val="22"/>
          <w:color w:val="auto"/>
        </w:rPr>
        <w:t>EXHIBIT E</w:t>
      </w:r>
      <w:r>
        <w:rPr>
          <w:sz w:val="20"/>
          <w:szCs w:val="20"/>
          <w:color w:val="auto"/>
        </w:rPr>
        <w:tab/>
      </w:r>
      <w:r>
        <w:rPr>
          <w:rFonts w:ascii="Times New Roman" w:cs="Times New Roman" w:eastAsia="Times New Roman" w:hAnsi="Times New Roman"/>
          <w:sz w:val="21"/>
          <w:szCs w:val="21"/>
          <w:color w:val="auto"/>
        </w:rPr>
        <w:t>FORM OF DEED</w:t>
      </w:r>
    </w:p>
    <w:p>
      <w:pPr>
        <w:spacing w:after="0" w:line="4"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2"/>
          <w:szCs w:val="22"/>
          <w:color w:val="auto"/>
        </w:rPr>
        <w:t>EXHIBIT F</w:t>
      </w:r>
      <w:r>
        <w:rPr>
          <w:sz w:val="20"/>
          <w:szCs w:val="20"/>
          <w:color w:val="auto"/>
        </w:rPr>
        <w:tab/>
      </w:r>
      <w:r>
        <w:rPr>
          <w:rFonts w:ascii="Times New Roman" w:cs="Times New Roman" w:eastAsia="Times New Roman" w:hAnsi="Times New Roman"/>
          <w:sz w:val="21"/>
          <w:szCs w:val="21"/>
          <w:color w:val="auto"/>
        </w:rPr>
        <w:t>FORM OF LEASE ASSIGNMENT AND ASSUMPTION AGREEMENT</w:t>
      </w:r>
    </w:p>
    <w:p>
      <w:pPr>
        <w:spacing w:after="0" w:line="4"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22"/>
          <w:szCs w:val="22"/>
          <w:color w:val="auto"/>
        </w:rPr>
        <w:t>EXHIBIT G</w:t>
      </w:r>
      <w:r>
        <w:rPr>
          <w:sz w:val="20"/>
          <w:szCs w:val="20"/>
          <w:color w:val="auto"/>
        </w:rPr>
        <w:tab/>
      </w:r>
      <w:r>
        <w:rPr>
          <w:rFonts w:ascii="Times New Roman" w:cs="Times New Roman" w:eastAsia="Times New Roman" w:hAnsi="Times New Roman"/>
          <w:sz w:val="21"/>
          <w:szCs w:val="21"/>
          <w:color w:val="auto"/>
        </w:rPr>
        <w:t>FORM OF SUPPLY AGREEMENT</w:t>
      </w:r>
    </w:p>
    <w:p>
      <w:pPr>
        <w:spacing w:after="0" w:line="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EXHIBIT H</w:t>
      </w:r>
      <w:r>
        <w:rPr>
          <w:sz w:val="20"/>
          <w:szCs w:val="20"/>
          <w:color w:val="auto"/>
        </w:rPr>
        <w:tab/>
      </w:r>
      <w:r>
        <w:rPr>
          <w:rFonts w:ascii="Times New Roman" w:cs="Times New Roman" w:eastAsia="Times New Roman" w:hAnsi="Times New Roman"/>
          <w:sz w:val="21"/>
          <w:szCs w:val="21"/>
          <w:color w:val="auto"/>
        </w:rPr>
        <w:t>FORM OF PATENT AND KNOW-HOW AGREEMENT</w:t>
      </w:r>
    </w:p>
    <w:p>
      <w:pPr>
        <w:spacing w:after="0" w:line="234"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2"/>
          <w:szCs w:val="22"/>
          <w:color w:val="auto"/>
        </w:rPr>
        <w:t>ANNEX A</w:t>
      </w:r>
      <w:r>
        <w:rPr>
          <w:sz w:val="20"/>
          <w:szCs w:val="20"/>
          <w:color w:val="auto"/>
        </w:rPr>
        <w:tab/>
      </w:r>
      <w:r>
        <w:rPr>
          <w:rFonts w:ascii="Times New Roman" w:cs="Times New Roman" w:eastAsia="Times New Roman" w:hAnsi="Times New Roman"/>
          <w:sz w:val="21"/>
          <w:szCs w:val="21"/>
          <w:color w:val="auto"/>
        </w:rPr>
        <w:t>CAPITAL EXPENDITURE BUDGET</w:t>
      </w:r>
    </w:p>
    <w:p>
      <w:pPr>
        <w:spacing w:after="0" w:line="28"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2"/>
          <w:szCs w:val="22"/>
          <w:color w:val="auto"/>
        </w:rPr>
        <w:t>ANNEX B</w:t>
      </w:r>
      <w:r>
        <w:rPr>
          <w:sz w:val="20"/>
          <w:szCs w:val="20"/>
          <w:color w:val="auto"/>
        </w:rPr>
        <w:tab/>
      </w:r>
      <w:r>
        <w:rPr>
          <w:rFonts w:ascii="Times New Roman" w:cs="Times New Roman" w:eastAsia="Times New Roman" w:hAnsi="Times New Roman"/>
          <w:sz w:val="21"/>
          <w:szCs w:val="21"/>
          <w:color w:val="auto"/>
        </w:rPr>
        <w:t>ENVIRONMENTAL COVENANTS</w:t>
      </w:r>
    </w:p>
    <w:p>
      <w:pPr>
        <w:spacing w:after="0" w:line="4"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22"/>
          <w:szCs w:val="22"/>
          <w:color w:val="auto"/>
        </w:rPr>
        <w:t>ANNEX 7.21</w:t>
      </w:r>
      <w:r>
        <w:rPr>
          <w:sz w:val="20"/>
          <w:szCs w:val="20"/>
          <w:color w:val="auto"/>
        </w:rPr>
        <w:tab/>
      </w:r>
      <w:r>
        <w:rPr>
          <w:rFonts w:ascii="Times New Roman" w:cs="Times New Roman" w:eastAsia="Times New Roman" w:hAnsi="Times New Roman"/>
          <w:sz w:val="21"/>
          <w:szCs w:val="21"/>
          <w:color w:val="auto"/>
        </w:rPr>
        <w:t>HR STANDUP</w:t>
      </w:r>
    </w:p>
    <w:p>
      <w:pPr>
        <w:spacing w:after="0" w:line="4"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22"/>
          <w:szCs w:val="22"/>
          <w:color w:val="auto"/>
        </w:rPr>
        <w:t>ANNEX 7.23(B)</w:t>
      </w:r>
      <w:r>
        <w:rPr>
          <w:sz w:val="20"/>
          <w:szCs w:val="20"/>
          <w:color w:val="auto"/>
        </w:rPr>
        <w:tab/>
      </w:r>
      <w:r>
        <w:rPr>
          <w:rFonts w:ascii="Times New Roman" w:cs="Times New Roman" w:eastAsia="Times New Roman" w:hAnsi="Times New Roman"/>
          <w:sz w:val="21"/>
          <w:szCs w:val="21"/>
          <w:color w:val="auto"/>
        </w:rPr>
        <w:t>PRO FORMA PRICE CALCULATION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 i -</w:t>
      </w:r>
    </w:p>
    <w:p>
      <w:pPr>
        <w:sectPr>
          <w:pgSz w:w="11900" w:h="16838" w:orient="portrait"/>
          <w:cols w:equalWidth="0" w:num="1">
            <w:col w:w="10139"/>
          </w:cols>
          <w:pgMar w:left="320" w:top="1422" w:right="1440" w:bottom="1440" w:gutter="0" w:footer="0" w:header="0"/>
        </w:sectPr>
      </w:pPr>
    </w:p>
    <w:bookmarkStart w:id="69" w:name="page70"/>
    <w:bookmarkEnd w:id="69"/>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ASSET PURCHASE AGREEMENT</w:t>
      </w:r>
    </w:p>
    <w:p>
      <w:pPr>
        <w:spacing w:after="0" w:line="305"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This ASSET PURCHASE AGREEMENT, dated as of May 22, 2025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by and between G-3 Chickadee Purchaser, LLC, a Delaware limited liability company (“</w:t>
      </w:r>
      <w:r>
        <w:rPr>
          <w:rFonts w:ascii="Times New Roman" w:cs="Times New Roman" w:eastAsia="Times New Roman" w:hAnsi="Times New Roman"/>
          <w:sz w:val="22"/>
          <w:szCs w:val="22"/>
          <w:u w:val="single" w:color="auto"/>
          <w:color w:val="auto"/>
        </w:rPr>
        <w:t>Purchaser</w:t>
      </w:r>
      <w:r>
        <w:rPr>
          <w:rFonts w:ascii="Times New Roman" w:cs="Times New Roman" w:eastAsia="Times New Roman" w:hAnsi="Times New Roman"/>
          <w:sz w:val="22"/>
          <w:szCs w:val="22"/>
          <w:color w:val="auto"/>
        </w:rPr>
        <w:t>”), and The Goodyear Tire &amp; Rubber Company, an Ohio corporation (the “</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xml:space="preserve">”). Certain terms used in this Agreement are defined in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and the other Seller Entities conduct the Business and own or have legal rights to the Transferred Assets.</w:t>
      </w:r>
    </w:p>
    <w:p>
      <w:pPr>
        <w:spacing w:after="0" w:line="219" w:lineRule="exact"/>
        <w:rPr>
          <w:rFonts w:ascii="Times New Roman" w:cs="Times New Roman" w:eastAsia="Times New Roman" w:hAnsi="Times New Roman"/>
          <w:sz w:val="22"/>
          <w:szCs w:val="22"/>
          <w:color w:val="auto"/>
        </w:rPr>
      </w:pPr>
    </w:p>
    <w:p>
      <w:pPr>
        <w:ind w:left="1300" w:hanging="644"/>
        <w:spacing w:after="0" w:line="253" w:lineRule="auto"/>
        <w:tabs>
          <w:tab w:leader="none" w:pos="1122"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terms and subject to the conditions set forth in this Agreement, Seller desires to sell, transfer, assign and deliver, and cause the other Seller Entities to sell, transfer, assign and deliver, the Transferred Assets to Purchaser, and Purchaser desires to (a) purchase, acquire, assume and accept from Seller and the other Seller Entities, all of Seller’s and the other Seller Entities’ rights, titles and interests in and to all of the Transferred Assets and (b) assume the Assumed Liabilities.</w:t>
      </w:r>
    </w:p>
    <w:p>
      <w:pPr>
        <w:spacing w:after="0" w:line="178" w:lineRule="exact"/>
        <w:rPr>
          <w:rFonts w:ascii="Times New Roman" w:cs="Times New Roman" w:eastAsia="Times New Roman" w:hAnsi="Times New Roman"/>
          <w:sz w:val="22"/>
          <w:szCs w:val="22"/>
          <w:color w:val="auto"/>
        </w:rPr>
      </w:pPr>
    </w:p>
    <w:p>
      <w:pPr>
        <w:ind w:left="1300" w:hanging="644"/>
        <w:spacing w:after="0" w:line="252" w:lineRule="auto"/>
        <w:tabs>
          <w:tab w:leader="none" w:pos="1071"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Concurrently with the execution of this Agreement, as a condition and inducement to the Seller’s willingness to enter into this Agreement, Purchaser or an Affiliate thereof has duly executed and delivered to the Seller (a) the Financing Commitment Letters and (b) a Limited Guaranty, dated as of the date of this Agreement, in favor of the Seller (the “</w:t>
      </w:r>
      <w:r>
        <w:rPr>
          <w:rFonts w:ascii="Times New Roman" w:cs="Times New Roman" w:eastAsia="Times New Roman" w:hAnsi="Times New Roman"/>
          <w:sz w:val="22"/>
          <w:szCs w:val="22"/>
          <w:u w:val="single" w:color="auto"/>
          <w:color w:val="auto"/>
        </w:rPr>
        <w:t>Limited Guaranty</w:t>
      </w:r>
      <w:r>
        <w:rPr>
          <w:rFonts w:ascii="Times New Roman" w:cs="Times New Roman" w:eastAsia="Times New Roman" w:hAnsi="Times New Roman"/>
          <w:sz w:val="22"/>
          <w:szCs w:val="22"/>
          <w:color w:val="auto"/>
        </w:rPr>
        <w:t>”).</w:t>
      </w:r>
    </w:p>
    <w:p>
      <w:pPr>
        <w:spacing w:after="0" w:line="192"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Supply Agreement is fundamental to the object of the parties in entering into this Agreement.</w:t>
      </w:r>
    </w:p>
    <w:p>
      <w:pPr>
        <w:spacing w:after="0" w:line="219" w:lineRule="exact"/>
        <w:rPr>
          <w:rFonts w:ascii="Times New Roman" w:cs="Times New Roman" w:eastAsia="Times New Roman" w:hAnsi="Times New Roman"/>
          <w:sz w:val="22"/>
          <w:szCs w:val="22"/>
          <w:color w:val="auto"/>
        </w:rPr>
      </w:pPr>
    </w:p>
    <w:p>
      <w:pPr>
        <w:ind w:left="1300" w:right="20" w:hanging="644"/>
        <w:spacing w:after="0" w:line="271" w:lineRule="auto"/>
        <w:tabs>
          <w:tab w:leader="none" w:pos="1072"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Supply Agreement is part of the material consideration provided by the Seller to Purchaser for entering into this Agreement, without which Purchaser would not have entered into this Agreement.</w:t>
      </w:r>
    </w:p>
    <w:p>
      <w:pPr>
        <w:spacing w:after="0" w:line="157" w:lineRule="exact"/>
        <w:rPr>
          <w:rFonts w:ascii="Times New Roman" w:cs="Times New Roman" w:eastAsia="Times New Roman" w:hAnsi="Times New Roman"/>
          <w:sz w:val="22"/>
          <w:szCs w:val="22"/>
          <w:color w:val="auto"/>
        </w:rPr>
      </w:pPr>
    </w:p>
    <w:p>
      <w:pPr>
        <w:ind w:left="1300" w:right="20" w:hanging="644"/>
        <w:spacing w:after="0" w:line="271" w:lineRule="auto"/>
        <w:tabs>
          <w:tab w:leader="none" w:pos="1124"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consideration of the foregoing and the representations, warranties, covenants and agreements contained in this Agreement, and intending to be legally bound hereby, Purchaser and Seller hereby agree as follows: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Definitions; Interpretation</w:t>
      </w:r>
    </w:p>
    <w:p>
      <w:pPr>
        <w:spacing w:after="0" w:line="220" w:lineRule="exact"/>
        <w:rPr>
          <w:sz w:val="20"/>
          <w:szCs w:val="20"/>
          <w:color w:val="auto"/>
        </w:rPr>
      </w:pPr>
    </w:p>
    <w:p>
      <w:pPr>
        <w:ind w:left="1380"/>
        <w:spacing w:after="0"/>
        <w:tabs>
          <w:tab w:leader="none" w:pos="2660" w:val="left"/>
        </w:tabs>
        <w:rPr>
          <w:sz w:val="20"/>
          <w:szCs w:val="20"/>
          <w:color w:val="auto"/>
        </w:rPr>
      </w:pPr>
      <w:r>
        <w:rPr>
          <w:rFonts w:ascii="Times New Roman" w:cs="Times New Roman" w:eastAsia="Times New Roman" w:hAnsi="Times New Roman"/>
          <w:sz w:val="22"/>
          <w:szCs w:val="22"/>
          <w:color w:val="auto"/>
        </w:rPr>
        <w:t>Section 1.01</w:t>
      </w:r>
      <w:r>
        <w:rPr>
          <w:sz w:val="20"/>
          <w:szCs w:val="20"/>
          <w:color w:val="auto"/>
        </w:rPr>
        <w:tab/>
      </w:r>
      <w:r>
        <w:rPr>
          <w:rFonts w:ascii="Times New Roman" w:cs="Times New Roman" w:eastAsia="Times New Roman" w:hAnsi="Times New Roman"/>
          <w:sz w:val="21"/>
          <w:szCs w:val="21"/>
          <w:u w:val="single" w:color="auto"/>
          <w:color w:val="auto"/>
        </w:rPr>
        <w:t>Definitions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ABL Commitment Letter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5.04(a)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Accounting Principles</w:t>
      </w:r>
      <w:r>
        <w:rPr>
          <w:rFonts w:ascii="Times New Roman" w:cs="Times New Roman" w:eastAsia="Times New Roman" w:hAnsi="Times New Roman"/>
          <w:sz w:val="22"/>
          <w:szCs w:val="22"/>
          <w:color w:val="auto"/>
        </w:rPr>
        <w:t xml:space="preserve">” means the accounting policies, principles, practices, assumptions, conventions and methods set forth on </w:t>
      </w:r>
      <w:r>
        <w:rPr>
          <w:rFonts w:ascii="Times New Roman" w:cs="Times New Roman" w:eastAsia="Times New Roman" w:hAnsi="Times New Roman"/>
          <w:sz w:val="22"/>
          <w:szCs w:val="22"/>
          <w:u w:val="single" w:color="auto"/>
          <w:color w:val="auto"/>
        </w:rPr>
        <w:t>Section 1.01(a)</w:t>
      </w:r>
      <w:r>
        <w:rPr>
          <w:rFonts w:ascii="Times New Roman" w:cs="Times New Roman" w:eastAsia="Times New Roman" w:hAnsi="Times New Roman"/>
          <w:sz w:val="22"/>
          <w:szCs w:val="22"/>
          <w:color w:val="auto"/>
        </w:rPr>
        <w:t xml:space="preserve"> of the Disclosure Letter.</w:t>
      </w:r>
    </w:p>
    <w:p>
      <w:pPr>
        <w:sectPr>
          <w:pgSz w:w="11900" w:h="16838" w:orient="portrait"/>
          <w:cols w:equalWidth="0" w:num="1">
            <w:col w:w="11240"/>
          </w:cols>
          <w:pgMar w:left="320" w:top="1440" w:right="339" w:bottom="1440" w:gutter="0" w:footer="0" w:header="0"/>
        </w:sectPr>
      </w:pPr>
    </w:p>
    <w:bookmarkStart w:id="70" w:name="page71"/>
    <w:bookmarkEnd w:id="70"/>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xml:space="preserve">” means, as to any Person, any other Person that, directly or indirectly, controls, or is controlled by, or is under common control with, such Person. For this purpose, “control” (including, with its correlative meanings, “controlled by” and “under common control with”) means the possession, directly or indirectly, of the power to direct or cause the direction of management or policies of a Person, whether through the ownership of securities or partnership or other ownership interests, by Contract or otherwise. Notwithstanding the foregoing, Purchaser and its Subsidiaries shall not be considered Affiliates of any portfolio company of any investment fund affiliated with Gemspring Capital Management, LLC (a) prior to the Closing and (b) following the Closing so long as such portfolio company or investment fund does not directly or indirectly operate or assist in the operation of the Business (except Purchaser and its Subsidiaries shall be considered an Affiliate of any portfolio company of any investment fund affiliated with Gemspring Capital Management, LLC for purposes of </w:t>
      </w:r>
      <w:r>
        <w:rPr>
          <w:rFonts w:ascii="Times New Roman" w:cs="Times New Roman" w:eastAsia="Times New Roman" w:hAnsi="Times New Roman"/>
          <w:sz w:val="22"/>
          <w:szCs w:val="22"/>
          <w:u w:val="single" w:color="auto"/>
          <w:color w:val="auto"/>
        </w:rPr>
        <w:t>Section 11.10</w:t>
      </w:r>
      <w:r>
        <w:rPr>
          <w:rFonts w:ascii="Times New Roman" w:cs="Times New Roman" w:eastAsia="Times New Roman" w:hAnsi="Times New Roman"/>
          <w:sz w:val="22"/>
          <w:szCs w:val="22"/>
          <w:color w:val="auto"/>
        </w:rPr>
        <w:t xml:space="preserve"> and, except as otherwise stated therein, </w:t>
      </w:r>
      <w:r>
        <w:rPr>
          <w:rFonts w:ascii="Times New Roman" w:cs="Times New Roman" w:eastAsia="Times New Roman" w:hAnsi="Times New Roman"/>
          <w:sz w:val="22"/>
          <w:szCs w:val="22"/>
          <w:u w:val="single" w:color="auto"/>
          <w:color w:val="auto"/>
        </w:rPr>
        <w:t>Section 11.11</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Alternative Proposal</w:t>
      </w:r>
      <w:r>
        <w:rPr>
          <w:rFonts w:ascii="Times New Roman" w:cs="Times New Roman" w:eastAsia="Times New Roman" w:hAnsi="Times New Roman"/>
          <w:sz w:val="22"/>
          <w:szCs w:val="22"/>
          <w:color w:val="auto"/>
        </w:rPr>
        <w:t>” means in each case, with any Person other than Purchaser and its Affiliates (a) any merger, consolidation, share exchange, business combination, issuance of securities, recapitalization, tender offer, exchange offer, asset purchase or other similar transaction in which a Person or “group” (as defined in the United States Securities Exchange Act of 1934, as amended from time to time, and the rules and regulations promulgated thereunder) of Persons directly or indirectly acquires beneficial or record ownership of securities of any Person that owns the Business or any material portion of its consolidated assets, or (b) any sale, lease, license, transfer or disposition of any material portion of the consolidated assets of the Business, other than sales of inventory in the ordinary course of business.</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Ancillary Agreements</w:t>
      </w:r>
      <w:r>
        <w:rPr>
          <w:rFonts w:ascii="Times New Roman" w:cs="Times New Roman" w:eastAsia="Times New Roman" w:hAnsi="Times New Roman"/>
          <w:sz w:val="22"/>
          <w:szCs w:val="22"/>
          <w:color w:val="auto"/>
        </w:rPr>
        <w:t>” means the agreements entered into in connection with this Agreement, including the Assignment and Assumption Agreement, the Trademark Assignment Agreement, the Patent and Know-How Agreement, the Deeds, the Lease Assignment and Assumption Agreement, the Transition Services Agreement, the Supply Agreement, the Limited Guaranty and the Equity Commitment Letter.</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Antitrust Laws</w:t>
      </w:r>
      <w:r>
        <w:rPr>
          <w:rFonts w:ascii="Times New Roman" w:cs="Times New Roman" w:eastAsia="Times New Roman" w:hAnsi="Times New Roman"/>
          <w:sz w:val="22"/>
          <w:szCs w:val="22"/>
          <w:color w:val="auto"/>
        </w:rPr>
        <w:t>” means the Sherman Act, the Clayton Act, the HSR Act, the Federal Trade Commission Act, all applicable foreign antitrust Laws and all other applicable Laws issued by a Governmental Authority that are designed or intended to prohibit, restrict or regulate actions having the purpose or effect of monopolization or restraint of trade or lessening of competition through merger or acquisition.</w:t>
      </w:r>
    </w:p>
    <w:p>
      <w:pPr>
        <w:spacing w:after="0" w:line="17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Archwood R&amp;D Facility</w:t>
      </w:r>
      <w:r>
        <w:rPr>
          <w:rFonts w:ascii="Times New Roman" w:cs="Times New Roman" w:eastAsia="Times New Roman" w:hAnsi="Times New Roman"/>
          <w:sz w:val="22"/>
          <w:szCs w:val="22"/>
          <w:color w:val="auto"/>
        </w:rPr>
        <w:t>” means Seller’s chemical research and development facility located at 1485 E Archwood Ave, Akron, OH 44306.</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Assumed Benefit Plans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2.02(a)(xv)</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Bayport Plant</w:t>
      </w:r>
      <w:r>
        <w:rPr>
          <w:rFonts w:ascii="Times New Roman" w:cs="Times New Roman" w:eastAsia="Times New Roman" w:hAnsi="Times New Roman"/>
          <w:sz w:val="22"/>
          <w:szCs w:val="22"/>
          <w:color w:val="auto"/>
        </w:rPr>
        <w:t>” means Seller’s chemical plant located at 13441 Bay Area Blvd., Pasadena, TX 77507.</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Beaumont Plant</w:t>
      </w:r>
      <w:r>
        <w:rPr>
          <w:rFonts w:ascii="Times New Roman" w:cs="Times New Roman" w:eastAsia="Times New Roman" w:hAnsi="Times New Roman"/>
          <w:sz w:val="22"/>
          <w:szCs w:val="22"/>
          <w:color w:val="auto"/>
        </w:rPr>
        <w:t>” means Seller’s chemical plant located at 11357 I-10, Beaumont, TX 77705.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- 2 -</w:t>
      </w:r>
    </w:p>
    <w:p>
      <w:pPr>
        <w:sectPr>
          <w:pgSz w:w="11900" w:h="16838" w:orient="portrait"/>
          <w:cols w:equalWidth="0" w:num="1">
            <w:col w:w="11240"/>
          </w:cols>
          <w:pgMar w:left="320" w:top="1422" w:right="339" w:bottom="1440" w:gutter="0" w:footer="0" w:header="0"/>
        </w:sectPr>
      </w:pPr>
    </w:p>
    <w:bookmarkStart w:id="71" w:name="page72"/>
    <w:bookmarkEnd w:id="71"/>
    <w:p>
      <w:pPr>
        <w:jc w:val="both"/>
        <w:ind w:firstLine="1296"/>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Business</w:t>
      </w:r>
      <w:r>
        <w:rPr>
          <w:rFonts w:ascii="Times New Roman" w:cs="Times New Roman" w:eastAsia="Times New Roman" w:hAnsi="Times New Roman"/>
          <w:sz w:val="21"/>
          <w:szCs w:val="21"/>
          <w:color w:val="auto"/>
        </w:rPr>
        <w:t xml:space="preserve">” means all operations and business-related activities conducted by the Seller Group during the preceding twenty four (24) month period prior to the Closing Date (i) in connection with the Polymer Chemicals, including (a) the development, production, formulation, invention, process know-how, know-how, manufacturing, improvements, marketing, sale and distribution of the Polymer Chemicals (or any modifications thereof, and any polymers or monomers produced or developed by the Seller Group that can reasonably be expected to compete with or be a substitute thereof) and any polymers or monomers based on the chemistries and technologies of the Polymer Chemicals and associated process technologies, and technology licensing and production consulting business activities by the Seller Group relating to the Polymer Chemicals, (b) research activities at the In-Scope Facilities (including in respect of new product developments and joint development arrangements with third parties), as set forth in </w:t>
      </w:r>
      <w:r>
        <w:rPr>
          <w:rFonts w:ascii="Times New Roman" w:cs="Times New Roman" w:eastAsia="Times New Roman" w:hAnsi="Times New Roman"/>
          <w:sz w:val="21"/>
          <w:szCs w:val="21"/>
          <w:u w:val="single" w:color="auto"/>
          <w:color w:val="auto"/>
        </w:rPr>
        <w:t>Section 1.01(j)</w:t>
      </w:r>
      <w:r>
        <w:rPr>
          <w:rFonts w:ascii="Times New Roman" w:cs="Times New Roman" w:eastAsia="Times New Roman" w:hAnsi="Times New Roman"/>
          <w:sz w:val="21"/>
          <w:szCs w:val="21"/>
          <w:color w:val="auto"/>
        </w:rPr>
        <w:t xml:space="preserve"> of this Disclosure Letter, and (c) the development, production, formulation, improvement, manufacturing, marketing, sale, and distribution of goods and services marketed, sold, or distributed under any Trademark transferred hereunder; and (ii) in the Beaumont Plant and the Houston Plant;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term “Business” shall not include any Retained Businesses, including any Know-How that is located at or used at the Beaumont Plant or the Houston Plant, in each case, that is primarily or exclusively related to any of the Retained Businesses.</w:t>
      </w:r>
    </w:p>
    <w:p>
      <w:pPr>
        <w:spacing w:after="0" w:line="17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Confidential Information</w:t>
      </w:r>
      <w:r>
        <w:rPr>
          <w:rFonts w:ascii="Times New Roman" w:cs="Times New Roman" w:eastAsia="Times New Roman" w:hAnsi="Times New Roman"/>
          <w:sz w:val="22"/>
          <w:szCs w:val="22"/>
          <w:color w:val="auto"/>
        </w:rPr>
        <w:t>” means all proprietary and confidential information of Seller and its Affiliates concerning the Business, including the following information: (i) financial statements, financial projections and budgets, historical and projected sales, business plans, the names and backgrounds of personnel, customer lists and customer information, personnel training materials, marketing plans or market expansion proposals and sales techniques; (ii) product specifications, discoveries, improvements, processes, marketing and service methods or techniques, formulae, designs, styles, specifications, data bases, Software, Know-How, strategies, current and anticipated customer requirements, price lists, market studies, and any other information, however documented, that is a trade secret under applicable Law; and (iii) notes, analyses, compilations, studies, summaries, and other material prepared containing, or based, in whole or in part, on any information included in the foregoing.</w:t>
      </w:r>
    </w:p>
    <w:p>
      <w:pPr>
        <w:spacing w:after="0" w:line="180"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 day except a Saturday, a Sunday or other day on which the SEC, banks in the City of New York or the State of Delaware are authorized or required by Law to be closed.</w:t>
      </w:r>
    </w:p>
    <w:p>
      <w:pPr>
        <w:spacing w:after="0" w:line="171"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Employee</w:t>
      </w:r>
      <w:r>
        <w:rPr>
          <w:rFonts w:ascii="Times New Roman" w:cs="Times New Roman" w:eastAsia="Times New Roman" w:hAnsi="Times New Roman"/>
          <w:sz w:val="22"/>
          <w:szCs w:val="22"/>
          <w:color w:val="auto"/>
        </w:rPr>
        <w:t xml:space="preserve">” means each employee of the Seller Group (a) who, as of the Closing Date, primarily or exclusively dedicates his or her working time to providing services to the Business or (b) who is set forth on </w:t>
      </w:r>
      <w:r>
        <w:rPr>
          <w:rFonts w:ascii="Times New Roman" w:cs="Times New Roman" w:eastAsia="Times New Roman" w:hAnsi="Times New Roman"/>
          <w:sz w:val="22"/>
          <w:szCs w:val="22"/>
          <w:u w:val="single" w:color="auto"/>
          <w:color w:val="auto"/>
        </w:rPr>
        <w:t>Section 1.01(b)</w:t>
      </w:r>
      <w:r>
        <w:rPr>
          <w:rFonts w:ascii="Times New Roman" w:cs="Times New Roman" w:eastAsia="Times New Roman" w:hAnsi="Times New Roman"/>
          <w:sz w:val="22"/>
          <w:szCs w:val="22"/>
          <w:color w:val="auto"/>
        </w:rPr>
        <w:t xml:space="preserve"> of the Disclosure Letter, including in all cases, each such employee who as of the Closing Date is on leave of absence (including medical leave, personal leave, military leave, workers compensation leave, short-term disability and long-term disability) or paid or unpaid time off;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individual set forth in </w:t>
      </w:r>
      <w:r>
        <w:rPr>
          <w:rFonts w:ascii="Times New Roman" w:cs="Times New Roman" w:eastAsia="Times New Roman" w:hAnsi="Times New Roman"/>
          <w:sz w:val="22"/>
          <w:szCs w:val="22"/>
          <w:u w:val="single" w:color="auto"/>
          <w:color w:val="auto"/>
        </w:rPr>
        <w:t>Section 1.01(c)</w:t>
      </w:r>
      <w:r>
        <w:rPr>
          <w:rFonts w:ascii="Times New Roman" w:cs="Times New Roman" w:eastAsia="Times New Roman" w:hAnsi="Times New Roman"/>
          <w:sz w:val="22"/>
          <w:szCs w:val="22"/>
          <w:color w:val="auto"/>
        </w:rPr>
        <w:t xml:space="preserve"> of the Disclosure Letter shall not be a “Business Employee”.</w:t>
      </w:r>
    </w:p>
    <w:p>
      <w:pPr>
        <w:spacing w:after="0" w:line="20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Environmental Liabilities</w:t>
      </w:r>
      <w:r>
        <w:rPr>
          <w:rFonts w:ascii="Times New Roman" w:cs="Times New Roman" w:eastAsia="Times New Roman" w:hAnsi="Times New Roman"/>
          <w:sz w:val="22"/>
          <w:szCs w:val="22"/>
          <w:color w:val="auto"/>
        </w:rPr>
        <w:t>” means Liabilities (whether arising from facts or circumstances that occurred before, during or after the Closing) that arise under, result from, or relate to (a) any Environmental Law to the extent applicable to and arising out of the operation of the Business or the Transferred Real Property, (b) any Release of a Hazardous Material at, on, under or emanating to or from a Transferred Real Property, or (c) any use, disposal, existence, transportation, or other handling of, or exposure of any Person to, Hazardous Materials by the Business at the Transferred Real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- 3 -</w:t>
      </w:r>
    </w:p>
    <w:p>
      <w:pPr>
        <w:sectPr>
          <w:pgSz w:w="11900" w:h="16838" w:orient="portrait"/>
          <w:cols w:equalWidth="0" w:num="1">
            <w:col w:w="11240"/>
          </w:cols>
          <w:pgMar w:left="320" w:top="1422" w:right="339" w:bottom="1440" w:gutter="0" w:footer="0" w:header="0"/>
        </w:sectPr>
      </w:pPr>
    </w:p>
    <w:bookmarkStart w:id="72" w:name="page73"/>
    <w:bookmarkEnd w:id="72"/>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w:t>
      </w:r>
      <w:r>
        <w:rPr>
          <w:rFonts w:ascii="Times New Roman" w:cs="Times New Roman" w:eastAsia="Times New Roman" w:hAnsi="Times New Roman"/>
          <w:sz w:val="22"/>
          <w:szCs w:val="22"/>
          <w:color w:val="auto"/>
        </w:rPr>
        <w:t>” means, as determined in accordance with the Accounting Principles, all cash and cash equivalents, short term investments and marketable securities of a Person, excluding any Restricted Cash.</w:t>
      </w:r>
    </w:p>
    <w:p>
      <w:pPr>
        <w:spacing w:after="0" w:line="15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CBA</w:t>
      </w:r>
      <w:r>
        <w:rPr>
          <w:rFonts w:ascii="Times New Roman" w:cs="Times New Roman" w:eastAsia="Times New Roman" w:hAnsi="Times New Roman"/>
          <w:sz w:val="22"/>
          <w:szCs w:val="22"/>
          <w:color w:val="auto"/>
        </w:rPr>
        <w:t>” means a collective bargaining, works council or other labor union contract or labor arrangement covering any Business Employees.</w:t>
      </w:r>
    </w:p>
    <w:p>
      <w:pPr>
        <w:spacing w:after="0" w:line="144"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Working Capital</w:t>
      </w:r>
      <w:r>
        <w:rPr>
          <w:rFonts w:ascii="Times New Roman" w:cs="Times New Roman" w:eastAsia="Times New Roman" w:hAnsi="Times New Roman"/>
          <w:sz w:val="22"/>
          <w:szCs w:val="22"/>
          <w:color w:val="auto"/>
        </w:rPr>
        <w:t xml:space="preserve">” means (a) Current Assets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(b) Current Liabilities, in each case determined as of the Effective Time.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w:t>
      </w:r>
    </w:p>
    <w:p>
      <w:pPr>
        <w:spacing w:after="0" w:line="22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Compliant</w:t>
      </w:r>
      <w:r>
        <w:rPr>
          <w:rFonts w:ascii="Times New Roman" w:cs="Times New Roman" w:eastAsia="Times New Roman" w:hAnsi="Times New Roman"/>
          <w:sz w:val="22"/>
          <w:szCs w:val="22"/>
          <w:color w:val="auto"/>
        </w:rPr>
        <w:t>” means with respect to any Financing Information that such Financing Information, taken as a whole, does not contain any untrue statement of a material fact or omit to state any material fact necessary in order to make such Financing Information not misleading, in light of the circumstances under which the statements contained in such Financing Information were made.</w:t>
      </w:r>
    </w:p>
    <w:p>
      <w:pPr>
        <w:spacing w:after="0" w:line="17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Consent</w:t>
      </w:r>
      <w:r>
        <w:rPr>
          <w:rFonts w:ascii="Times New Roman" w:cs="Times New Roman" w:eastAsia="Times New Roman" w:hAnsi="Times New Roman"/>
          <w:sz w:val="22"/>
          <w:szCs w:val="22"/>
          <w:color w:val="auto"/>
        </w:rPr>
        <w:t>” means any consent, approval or authorization of, notice to or designation, registration, declaration or filing with, any third party, including Permits.</w:t>
      </w:r>
    </w:p>
    <w:p>
      <w:pPr>
        <w:spacing w:after="0" w:line="15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w:t>
      </w:r>
      <w:r>
        <w:rPr>
          <w:rFonts w:ascii="Times New Roman" w:cs="Times New Roman" w:eastAsia="Times New Roman" w:hAnsi="Times New Roman"/>
          <w:sz w:val="22"/>
          <w:szCs w:val="22"/>
          <w:color w:val="auto"/>
        </w:rPr>
        <w:t>” means any written or oral contract, purchase order, letter of intent, promise, obligation, tender, commitment, loan, credit agreement, mortgage, note, deed, lease, license or other legally binding agreement.</w:t>
      </w:r>
    </w:p>
    <w:p>
      <w:pPr>
        <w:spacing w:after="0" w:line="14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Controlled Group Liability</w:t>
      </w:r>
      <w:r>
        <w:rPr>
          <w:rFonts w:ascii="Times New Roman" w:cs="Times New Roman" w:eastAsia="Times New Roman" w:hAnsi="Times New Roman"/>
          <w:sz w:val="22"/>
          <w:szCs w:val="22"/>
          <w:color w:val="auto"/>
        </w:rPr>
        <w:t>” means any and all Liabilities (a) under any Multiemployer Plan, (b) under Title IV of ERISA, (c) under Section 302 of ERISA or Sections 412 and 4971 of the Code, and (d) as a result of the failure to comply with the continuation of coverage requirements of ERISA Section 601 et seq., and Section 4980B of the Code.</w:t>
      </w:r>
    </w:p>
    <w:p>
      <w:pPr>
        <w:spacing w:after="0" w:line="17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Current Assets</w:t>
      </w:r>
      <w:r>
        <w:rPr>
          <w:rFonts w:ascii="Times New Roman" w:cs="Times New Roman" w:eastAsia="Times New Roman" w:hAnsi="Times New Roman"/>
          <w:sz w:val="22"/>
          <w:szCs w:val="22"/>
          <w:color w:val="auto"/>
        </w:rPr>
        <w:t xml:space="preserve">” means the current assets of the Business, using the line items that are specifically listed on the sample calculation set forth in </w:t>
      </w:r>
      <w:r>
        <w:rPr>
          <w:rFonts w:ascii="Times New Roman" w:cs="Times New Roman" w:eastAsia="Times New Roman" w:hAnsi="Times New Roman"/>
          <w:sz w:val="22"/>
          <w:szCs w:val="22"/>
          <w:u w:val="single" w:color="auto"/>
          <w:color w:val="auto"/>
        </w:rPr>
        <w:t>Section 1.01(d)</w:t>
      </w:r>
      <w:r>
        <w:rPr>
          <w:rFonts w:ascii="Times New Roman" w:cs="Times New Roman" w:eastAsia="Times New Roman" w:hAnsi="Times New Roman"/>
          <w:sz w:val="22"/>
          <w:szCs w:val="22"/>
          <w:color w:val="auto"/>
        </w:rPr>
        <w:t xml:space="preserve"> of the Disclosure Letter, excluding all Income Tax assets and deferred Tax assets, and calculated in accordance with the Accounting Principles. For the avoidance of doubt, Excluded Assets shall be excluded from “Current Assets” and, to the extent the sample calculation set forth in </w:t>
      </w:r>
      <w:r>
        <w:rPr>
          <w:rFonts w:ascii="Times New Roman" w:cs="Times New Roman" w:eastAsia="Times New Roman" w:hAnsi="Times New Roman"/>
          <w:sz w:val="22"/>
          <w:szCs w:val="22"/>
          <w:u w:val="single" w:color="auto"/>
          <w:color w:val="auto"/>
        </w:rPr>
        <w:t>Section 1.01(d)</w:t>
      </w:r>
      <w:r>
        <w:rPr>
          <w:rFonts w:ascii="Times New Roman" w:cs="Times New Roman" w:eastAsia="Times New Roman" w:hAnsi="Times New Roman"/>
          <w:sz w:val="22"/>
          <w:szCs w:val="22"/>
          <w:color w:val="auto"/>
        </w:rPr>
        <w:t xml:space="preserve"> of the Disclosure Letter conflicts with the Accounting Principles, the Accounting Principles shall prevail.</w:t>
      </w:r>
    </w:p>
    <w:p>
      <w:pPr>
        <w:spacing w:after="0" w:line="17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Current Liabilities</w:t>
      </w:r>
      <w:r>
        <w:rPr>
          <w:rFonts w:ascii="Times New Roman" w:cs="Times New Roman" w:eastAsia="Times New Roman" w:hAnsi="Times New Roman"/>
          <w:sz w:val="22"/>
          <w:szCs w:val="22"/>
          <w:color w:val="auto"/>
        </w:rPr>
        <w:t xml:space="preserve">” means the current liabilities of the Business, using the line items that are specifically listed on the sample calculation set forth in </w:t>
      </w:r>
      <w:r>
        <w:rPr>
          <w:rFonts w:ascii="Times New Roman" w:cs="Times New Roman" w:eastAsia="Times New Roman" w:hAnsi="Times New Roman"/>
          <w:sz w:val="22"/>
          <w:szCs w:val="22"/>
          <w:u w:val="single" w:color="auto"/>
          <w:color w:val="auto"/>
        </w:rPr>
        <w:t>Section 1.01(d)</w:t>
      </w:r>
      <w:r>
        <w:rPr>
          <w:rFonts w:ascii="Times New Roman" w:cs="Times New Roman" w:eastAsia="Times New Roman" w:hAnsi="Times New Roman"/>
          <w:sz w:val="22"/>
          <w:szCs w:val="22"/>
          <w:color w:val="auto"/>
        </w:rPr>
        <w:t xml:space="preserve"> of the Disclosure Letter, excluding all Income Tax liabilities and deferred Tax liabilities, and calculated in accordance with the Accounting Principles. For the avoidance of doubt, Retained Liabilities shall be excluded from “Current Liabilities” and, to the extent the sample calculation set forth in </w:t>
      </w:r>
      <w:r>
        <w:rPr>
          <w:rFonts w:ascii="Times New Roman" w:cs="Times New Roman" w:eastAsia="Times New Roman" w:hAnsi="Times New Roman"/>
          <w:sz w:val="22"/>
          <w:szCs w:val="22"/>
          <w:u w:val="single" w:color="auto"/>
          <w:color w:val="auto"/>
        </w:rPr>
        <w:t>Section 1.01(d)</w:t>
      </w:r>
      <w:r>
        <w:rPr>
          <w:rFonts w:ascii="Times New Roman" w:cs="Times New Roman" w:eastAsia="Times New Roman" w:hAnsi="Times New Roman"/>
          <w:sz w:val="22"/>
          <w:szCs w:val="22"/>
          <w:color w:val="auto"/>
        </w:rPr>
        <w:t xml:space="preserve"> of the Disclosure Letter conflicts with the Accounting Principles, the Accounting Principles shall prevail.</w:t>
      </w:r>
    </w:p>
    <w:p>
      <w:pPr>
        <w:spacing w:after="0" w:line="179"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Domain Names</w:t>
      </w:r>
      <w:r>
        <w:rPr>
          <w:rFonts w:ascii="Times New Roman" w:cs="Times New Roman" w:eastAsia="Times New Roman" w:hAnsi="Times New Roman"/>
          <w:sz w:val="22"/>
          <w:szCs w:val="22"/>
          <w:color w:val="auto"/>
        </w:rPr>
        <w:t>” means Internet domain names, uniform resource locators, internet protocol addresses, and other names and locators associated with the Internet, and all worldwide rights in, arising out of, or associated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- 4 -</w:t>
      </w:r>
    </w:p>
    <w:p>
      <w:pPr>
        <w:sectPr>
          <w:pgSz w:w="11900" w:h="16838" w:orient="portrait"/>
          <w:cols w:equalWidth="0" w:num="1">
            <w:col w:w="11240"/>
          </w:cols>
          <w:pgMar w:left="320" w:top="1422" w:right="339" w:bottom="1440" w:gutter="0" w:footer="0" w:header="0"/>
        </w:sectPr>
      </w:pPr>
    </w:p>
    <w:bookmarkStart w:id="73" w:name="page74"/>
    <w:bookmarkEnd w:id="73"/>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Dual Use Specifications</w:t>
      </w:r>
      <w:r>
        <w:rPr>
          <w:rFonts w:ascii="Times New Roman" w:cs="Times New Roman" w:eastAsia="Times New Roman" w:hAnsi="Times New Roman"/>
          <w:sz w:val="22"/>
          <w:szCs w:val="22"/>
          <w:color w:val="auto"/>
        </w:rPr>
        <w:t>” means all specifications related to any products that Seller Entities make, sell, offer to sell, export, distribute or otherwise make available to any third Person and any Seller Entity.</w:t>
      </w:r>
    </w:p>
    <w:p>
      <w:pPr>
        <w:spacing w:after="0" w:line="158"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Laws</w:t>
      </w:r>
      <w:r>
        <w:rPr>
          <w:rFonts w:ascii="Times New Roman" w:cs="Times New Roman" w:eastAsia="Times New Roman" w:hAnsi="Times New Roman"/>
          <w:sz w:val="22"/>
          <w:szCs w:val="22"/>
          <w:color w:val="auto"/>
        </w:rPr>
        <w:t>” means all applicable Laws relating to pollution or the protection of the environment or natural resources or, to the extent related to exposure to Hazardous Materials, public or occupational health and safety.</w:t>
      </w:r>
    </w:p>
    <w:p>
      <w:pPr>
        <w:spacing w:after="0" w:line="144"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Permit</w:t>
      </w:r>
      <w:r>
        <w:rPr>
          <w:rFonts w:ascii="Times New Roman" w:cs="Times New Roman" w:eastAsia="Times New Roman" w:hAnsi="Times New Roman"/>
          <w:sz w:val="22"/>
          <w:szCs w:val="22"/>
          <w:color w:val="auto"/>
        </w:rPr>
        <w:t>” means any Permit required under any Environmental Law to conduct the Business or to occupy the Transferred Real Property.</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 as amended.</w:t>
      </w:r>
    </w:p>
    <w:p>
      <w:pPr>
        <w:spacing w:after="0" w:line="220"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Estimated Adjustment Amount</w:t>
      </w:r>
      <w:r>
        <w:rPr>
          <w:rFonts w:ascii="Times New Roman" w:cs="Times New Roman" w:eastAsia="Times New Roman" w:hAnsi="Times New Roman"/>
          <w:sz w:val="22"/>
          <w:szCs w:val="22"/>
          <w:color w:val="auto"/>
        </w:rPr>
        <w:t xml:space="preserve">” means the amount (which may be positive or negative) equal to (a) Estimated Working Capital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(b) Target Working Capital.</w:t>
      </w:r>
    </w:p>
    <w:p>
      <w:pPr>
        <w:spacing w:after="0" w:line="144"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Adjustment Amount</w:t>
      </w:r>
      <w:r>
        <w:rPr>
          <w:rFonts w:ascii="Times New Roman" w:cs="Times New Roman" w:eastAsia="Times New Roman" w:hAnsi="Times New Roman"/>
          <w:sz w:val="22"/>
          <w:szCs w:val="22"/>
          <w:color w:val="auto"/>
        </w:rPr>
        <w:t xml:space="preserve">” means the amount (which may be positive or negative) equal to (a) Closing Working Capital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(b) Target Working Capital.</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Purchase Price</w:t>
      </w:r>
      <w:r>
        <w:rPr>
          <w:rFonts w:ascii="Times New Roman" w:cs="Times New Roman" w:eastAsia="Times New Roman" w:hAnsi="Times New Roman"/>
          <w:sz w:val="22"/>
          <w:szCs w:val="22"/>
          <w:color w:val="auto"/>
        </w:rPr>
        <w:t xml:space="preserve">” means (a) the Purchase Price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the Final Adjustment Amount (which Final Adjustment Amount may be positive or negative)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(c) the HR Standup Amount.</w:t>
      </w:r>
    </w:p>
    <w:p>
      <w:pPr>
        <w:spacing w:after="0" w:line="158"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Statements</w:t>
      </w:r>
      <w:r>
        <w:rPr>
          <w:rFonts w:ascii="Times New Roman" w:cs="Times New Roman" w:eastAsia="Times New Roman" w:hAnsi="Times New Roman"/>
          <w:sz w:val="22"/>
          <w:szCs w:val="22"/>
          <w:color w:val="auto"/>
        </w:rPr>
        <w:t>” means the following financial statements of the Business: (a) the unaudited combined statement of net assets of the Business as of each of December 31, 2024, December 31, 2023 and December 31, 2022, and the related unaudited combined statements of profit and loss for each of the fiscal years then ended; and (b) the unaudited combined statement of net assets of the Business as of March 31, 2025 and the related unaudited combined statement of profit and loss for the three (3) month period then ended (the financial statements set forth in clause (b), collectively, the “</w:t>
      </w:r>
      <w:r>
        <w:rPr>
          <w:rFonts w:ascii="Times New Roman" w:cs="Times New Roman" w:eastAsia="Times New Roman" w:hAnsi="Times New Roman"/>
          <w:sz w:val="22"/>
          <w:szCs w:val="22"/>
          <w:u w:val="single" w:color="auto"/>
          <w:color w:val="auto"/>
        </w:rPr>
        <w:t>Interim Financial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Statements</w:t>
      </w:r>
      <w:r>
        <w:rPr>
          <w:rFonts w:ascii="Times New Roman" w:cs="Times New Roman" w:eastAsia="Times New Roman" w:hAnsi="Times New Roman"/>
          <w:sz w:val="22"/>
          <w:szCs w:val="22"/>
          <w:color w:val="auto"/>
        </w:rPr>
        <w:t>”).</w:t>
      </w:r>
    </w:p>
    <w:p>
      <w:pPr>
        <w:spacing w:after="0" w:line="19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Financing Information</w:t>
      </w:r>
      <w:r>
        <w:rPr>
          <w:rFonts w:ascii="Times New Roman" w:cs="Times New Roman" w:eastAsia="Times New Roman" w:hAnsi="Times New Roman"/>
          <w:sz w:val="22"/>
          <w:szCs w:val="22"/>
          <w:color w:val="auto"/>
        </w:rPr>
        <w:t xml:space="preserve">” means any financial information and other pertinent information regarding the Business, the Shared Contracts and Transferred Assets furnished to Purchaser in accordance with </w:t>
      </w:r>
      <w:r>
        <w:rPr>
          <w:rFonts w:ascii="Times New Roman" w:cs="Times New Roman" w:eastAsia="Times New Roman" w:hAnsi="Times New Roman"/>
          <w:sz w:val="22"/>
          <w:szCs w:val="22"/>
          <w:u w:val="single" w:color="auto"/>
          <w:color w:val="auto"/>
        </w:rPr>
        <w:t>Section 7.19(e)(i)</w:t>
      </w:r>
      <w:r>
        <w:rPr>
          <w:rFonts w:ascii="Times New Roman" w:cs="Times New Roman" w:eastAsia="Times New Roman" w:hAnsi="Times New Roman"/>
          <w:sz w:val="22"/>
          <w:szCs w:val="22"/>
          <w:color w:val="auto"/>
        </w:rPr>
        <w:t>, including any such information that is used by Purchaser in any lender and investor presentations, rating agency presentations, bank information memoranda, bank books, confidential information memoranda, marketing materials and other similar documents.</w:t>
      </w:r>
    </w:p>
    <w:p>
      <w:pPr>
        <w:spacing w:after="0" w:line="179"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Financing Sources</w:t>
      </w:r>
      <w:r>
        <w:rPr>
          <w:rFonts w:ascii="Times New Roman" w:cs="Times New Roman" w:eastAsia="Times New Roman" w:hAnsi="Times New Roman"/>
          <w:sz w:val="22"/>
          <w:szCs w:val="22"/>
          <w:color w:val="auto"/>
        </w:rPr>
        <w:t>” means, collectively, each Person that has committed to provide or arrange all or any part of the Debt Financing or any Alternate Financing (including each Person party to any Debt Commitment Letter, to any joinder agreements, credit agreements or other Definitive Agreements relating thereto, but excluding, for the avoidance of doubt, Purchaser and its Affiliates), in each case, together with each Affiliate thereof and each officer, director, employee, partner, controlling person, advisor, attorney, agent and representative of each such Person or Affiliate and their respective successors and assigns.</w:t>
      </w:r>
    </w:p>
    <w:p>
      <w:pPr>
        <w:spacing w:after="0" w:line="181"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Fraud</w:t>
      </w:r>
      <w:r>
        <w:rPr>
          <w:rFonts w:ascii="Times New Roman" w:cs="Times New Roman" w:eastAsia="Times New Roman" w:hAnsi="Times New Roman"/>
          <w:sz w:val="22"/>
          <w:szCs w:val="22"/>
          <w:color w:val="auto"/>
        </w:rPr>
        <w:t xml:space="preserve">” means, with respect to any Person, common law fraud under the laws of the State of Delaware in respect of the representations and warranties set forth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the certificates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- 5 -</w:t>
      </w:r>
    </w:p>
    <w:p>
      <w:pPr>
        <w:sectPr>
          <w:pgSz w:w="11900" w:h="16838" w:orient="portrait"/>
          <w:cols w:equalWidth="0" w:num="1">
            <w:col w:w="11240"/>
          </w:cols>
          <w:pgMar w:left="320" w:top="1422" w:right="339" w:bottom="1440" w:gutter="0" w:footer="0" w:header="0"/>
        </w:sectPr>
      </w:pPr>
    </w:p>
    <w:bookmarkStart w:id="74" w:name="page75"/>
    <w:bookmarkEnd w:id="74"/>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delivered pursuant to </w:t>
      </w:r>
      <w:r>
        <w:rPr>
          <w:rFonts w:ascii="Times New Roman" w:cs="Times New Roman" w:eastAsia="Times New Roman" w:hAnsi="Times New Roman"/>
          <w:sz w:val="22"/>
          <w:szCs w:val="22"/>
          <w:u w:val="single" w:color="auto"/>
          <w:color w:val="auto"/>
        </w:rPr>
        <w:t>Section 8.02</w:t>
      </w:r>
      <w:r>
        <w:rPr>
          <w:rFonts w:ascii="Times New Roman" w:cs="Times New Roman" w:eastAsia="Times New Roman" w:hAnsi="Times New Roman"/>
          <w:sz w:val="22"/>
          <w:szCs w:val="22"/>
          <w:color w:val="auto"/>
        </w:rPr>
        <w:t xml:space="preserve"> or the certificates delivered pursuant to </w:t>
      </w:r>
      <w:r>
        <w:rPr>
          <w:rFonts w:ascii="Times New Roman" w:cs="Times New Roman" w:eastAsia="Times New Roman" w:hAnsi="Times New Roman"/>
          <w:sz w:val="22"/>
          <w:szCs w:val="22"/>
          <w:u w:val="single" w:color="auto"/>
          <w:color w:val="auto"/>
        </w:rPr>
        <w:t>Section 8.03</w:t>
      </w:r>
      <w:r>
        <w:rPr>
          <w:rFonts w:ascii="Times New Roman" w:cs="Times New Roman" w:eastAsia="Times New Roman" w:hAnsi="Times New Roman"/>
          <w:sz w:val="22"/>
          <w:szCs w:val="22"/>
          <w:color w:val="auto"/>
        </w:rPr>
        <w:t>. For the avoidance of doubt, the term “Fraud” does not include any claim for equitable fraud, promissory fraud, unfair dealings fraud, or any torts (including a claim for fraud) based on negligence or recklessness.</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generally accepted accounting principles in the United States.</w:t>
      </w:r>
    </w:p>
    <w:p>
      <w:pPr>
        <w:spacing w:after="0" w:line="22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any government, court, regulatory or administrative agency, commission or authority or other legislative, executive or judicial governmental entity (including any political division, legislature, administrative authority, agency or commission or public or private arbitrator or arbitral body), or any self-regulated organization or other body or Person lawfully empowered to exercise regulatory, taxing or other governmental authority, whether federal, state or local, domestic, foreign, national, supranational or multinational.</w:t>
      </w:r>
    </w:p>
    <w:p>
      <w:pPr>
        <w:spacing w:after="0" w:line="17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Hazardous Material</w:t>
      </w:r>
      <w:r>
        <w:rPr>
          <w:rFonts w:ascii="Times New Roman" w:cs="Times New Roman" w:eastAsia="Times New Roman" w:hAnsi="Times New Roman"/>
          <w:sz w:val="22"/>
          <w:szCs w:val="22"/>
          <w:color w:val="auto"/>
        </w:rPr>
        <w:t>” means any material, substance or waste for which Liability or standards of conduct may be imposed under any Environmental Law, or that is otherwise listed, classified, defined or regulated in relevant form, quantity or concentration as hazardous or toxic (or words of similar meaning or import) pursuant to any Environmental Law, including any petroleum or petroleum products or byproducts, per- or polyfluoroalkyl substances, polychlorinated biphenyls, mold, noise, odor, lead, or asbestos.</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Houston Plant</w:t>
      </w:r>
      <w:r>
        <w:rPr>
          <w:rFonts w:ascii="Times New Roman" w:cs="Times New Roman" w:eastAsia="Times New Roman" w:hAnsi="Times New Roman"/>
          <w:sz w:val="22"/>
          <w:szCs w:val="22"/>
          <w:color w:val="auto"/>
        </w:rPr>
        <w:t>” means Seller’s chemical plant located at 2000 Goodyear Dr., Houston, TX 77017.</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HSR Act</w:t>
      </w:r>
      <w:r>
        <w:rPr>
          <w:rFonts w:ascii="Times New Roman" w:cs="Times New Roman" w:eastAsia="Times New Roman" w:hAnsi="Times New Roman"/>
          <w:sz w:val="22"/>
          <w:szCs w:val="22"/>
          <w:color w:val="auto"/>
        </w:rPr>
        <w:t>” means the Hart-Scott-Rodino Antitrust Improvements Act of 1976 and the rules and regulations promulgated thereunder.</w:t>
      </w:r>
    </w:p>
    <w:p>
      <w:pPr>
        <w:spacing w:after="0" w:line="158"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Income Tax</w:t>
      </w:r>
      <w:r>
        <w:rPr>
          <w:rFonts w:ascii="Times New Roman" w:cs="Times New Roman" w:eastAsia="Times New Roman" w:hAnsi="Times New Roman"/>
          <w:sz w:val="22"/>
          <w:szCs w:val="22"/>
          <w:color w:val="auto"/>
        </w:rPr>
        <w:t>” means any Tax imposed on or measured by reference (in whole or in part) to gross or net income, profits or capital gains (however denominated).</w:t>
      </w:r>
    </w:p>
    <w:p>
      <w:pPr>
        <w:spacing w:after="0" w:line="171"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means, without duplication, all Liabilities (including principal, accrued interest, prepayment penalties or premiums, breakage costs, and commitment or other fees and costs and expenses related thereto), with respect to any Person, in respect of (a) all indebtedness of such Person for borrowed money, (b) all obligations of such Person evidenced by notes, bonds, debentures, mortgages or other similar instruments, (c) all reimbursement obligations of such Person under letters of credit, bank guarantees or similar facilities, but only to the extent drawn upon, (d) any leases that have been recorded or are required to be recorded as finance leases in accordance with the Accounting Principles, but excluding any operating leases, (e) all obligations under Seller Benefit Plans that are not Assumed Benefit Plans, (f) interest rate or currency swap arrangements, hedging arrangements and any other derivative instruments or arrangements, in each case assuming such instruments or arrangements were terminated as of immediately prior to Closing, (g) the deferred purchase price of property, assets or securities including the full amount of “earn-outs”, seller notes, purchase price adjustments, and similar payment obligations (whether contingent or otherwise) and, if applicable, the employer portion of any payroll Taxes or similar Taxes due in connection with any such payments, (h) all unpaid bonuses (except to the extent actually included in Current Liabilities in the calculation of Estimated Working Capital and Closing Working Capital, as applicable), severance, or unfunded deferred compensation, and the employer portion of any applicable Taxes related thereto, and (i) all guarantees and other obligations in respect to Indebtedness of others referred to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- 6 -</w:t>
      </w:r>
    </w:p>
    <w:p>
      <w:pPr>
        <w:sectPr>
          <w:pgSz w:w="11900" w:h="16838" w:orient="portrait"/>
          <w:cols w:equalWidth="0" w:num="1">
            <w:col w:w="11240"/>
          </w:cols>
          <w:pgMar w:left="320" w:top="1422" w:right="339" w:bottom="1440" w:gutter="0" w:footer="0" w:header="0"/>
        </w:sectPr>
      </w:pPr>
    </w:p>
    <w:bookmarkStart w:id="75" w:name="page76"/>
    <w:bookmarkEnd w:id="75"/>
    <w:p>
      <w:pPr>
        <w:jc w:val="both"/>
        <w:spacing w:after="0" w:line="271" w:lineRule="auto"/>
        <w:rPr>
          <w:sz w:val="20"/>
          <w:szCs w:val="20"/>
          <w:color w:val="auto"/>
        </w:rPr>
      </w:pPr>
      <w:r>
        <w:rPr>
          <w:rFonts w:ascii="Times New Roman" w:cs="Times New Roman" w:eastAsia="Times New Roman" w:hAnsi="Times New Roman"/>
          <w:sz w:val="22"/>
          <w:szCs w:val="22"/>
          <w:color w:val="auto"/>
        </w:rPr>
        <w:t>clauses (a) through (h) above guaranteed directly or indirectly in any manner by such Person or that are otherwise secured by any Lien on any Transferred Asset.</w:t>
      </w:r>
    </w:p>
    <w:p>
      <w:pPr>
        <w:spacing w:after="0" w:line="15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Independent Expert</w:t>
      </w:r>
      <w:r>
        <w:rPr>
          <w:rFonts w:ascii="Times New Roman" w:cs="Times New Roman" w:eastAsia="Times New Roman" w:hAnsi="Times New Roman"/>
          <w:sz w:val="22"/>
          <w:szCs w:val="22"/>
          <w:color w:val="auto"/>
        </w:rPr>
        <w:t>” means Grant Thornton LLP, or if such Person is unable or unwilling to serve, another nationally recognized independent or neutral and impartial accounting, consulting, valuation or dispute resolution firm or individual accounting expert with significant experience related to purchase price adjustment disputes relating to transactions of a similar nature reasonably agreed upon by Purchaser and the Seller in writing.</w:t>
      </w:r>
    </w:p>
    <w:p>
      <w:pPr>
        <w:spacing w:after="0" w:line="17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Information Security and Privacy Requirements</w:t>
      </w:r>
      <w:r>
        <w:rPr>
          <w:rFonts w:ascii="Times New Roman" w:cs="Times New Roman" w:eastAsia="Times New Roman" w:hAnsi="Times New Roman"/>
          <w:sz w:val="22"/>
          <w:szCs w:val="22"/>
          <w:color w:val="auto"/>
        </w:rPr>
        <w:t>” means (a) all applicable Laws and any Seller Entity’s own rules, policies and procedures concerning the privacy, data protection or security of Personally Identifiable Information, including, to the extent applicable, the EU General Data Protection Regulation, federal, local and state data security and data privacy laws, (b) industry and self-regulatory standards to which the Seller and its Subsidiaries are bound or otherwise hold themselves out as compliant with (including the Payment Card Industry Data Security Standard, to the extent applicable) and (c) applicable provisions relating to the privacy, data protection or security of Personally Identifiable Information under Contracts into which any Seller Entity has entered into or by which it is otherwise bound.</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In-Scope Facilities</w:t>
      </w:r>
      <w:r>
        <w:rPr>
          <w:rFonts w:ascii="Times New Roman" w:cs="Times New Roman" w:eastAsia="Times New Roman" w:hAnsi="Times New Roman"/>
          <w:sz w:val="22"/>
          <w:szCs w:val="22"/>
          <w:color w:val="auto"/>
        </w:rPr>
        <w:t>” means the Archwood R&amp;D Facility, Beaumont Plant, and Houston Plant.</w:t>
      </w:r>
    </w:p>
    <w:p>
      <w:pPr>
        <w:spacing w:after="0" w:line="23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means all intellectual property and proprietary rights, whether registered or unregistered, including all such rights in and to the following, worldwide and in any and all countries: (a) Patents, (b) Trademarks, (c) copyrights and all works of authorship (whether or not copyrightable) (“</w:t>
      </w:r>
      <w:r>
        <w:rPr>
          <w:rFonts w:ascii="Times New Roman" w:cs="Times New Roman" w:eastAsia="Times New Roman" w:hAnsi="Times New Roman"/>
          <w:sz w:val="22"/>
          <w:szCs w:val="22"/>
          <w:u w:val="single" w:color="auto"/>
          <w:color w:val="auto"/>
        </w:rPr>
        <w:t>Copyrights</w:t>
      </w:r>
      <w:r>
        <w:rPr>
          <w:rFonts w:ascii="Times New Roman" w:cs="Times New Roman" w:eastAsia="Times New Roman" w:hAnsi="Times New Roman"/>
          <w:sz w:val="22"/>
          <w:szCs w:val="22"/>
          <w:color w:val="auto"/>
        </w:rPr>
        <w:t>”), and applications and registrations and renewals therefor, (d) Know-How, (e) Domain Names and (f) Software, data and databases.</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means the Internal Revenue Service.</w:t>
      </w:r>
    </w:p>
    <w:p>
      <w:pPr>
        <w:spacing w:after="0" w:line="233"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Know-How</w:t>
      </w:r>
      <w:r>
        <w:rPr>
          <w:rFonts w:ascii="Times New Roman" w:cs="Times New Roman" w:eastAsia="Times New Roman" w:hAnsi="Times New Roman"/>
          <w:sz w:val="22"/>
          <w:szCs w:val="22"/>
          <w:color w:val="auto"/>
        </w:rPr>
        <w:t>” means all proprietary compound structures, synthesis, formulation and manufacturing methods, test methods, operations, technologies, forecasts and business and scientific plans, including without limitation, trade secrets, other tangible materials, ideas, inventions (whether or not patentable or reduced to practice), invention reports, practices, methods, manufacturing methods, protocols, formulae, specifications, knowledge, know-how, technical know-how, processes, procedures, assays, skills, experience, techniques, information, algorithms, data and results of experimentation and testing, whether patentable or otherwise.</w:t>
      </w:r>
    </w:p>
    <w:p>
      <w:pPr>
        <w:spacing w:after="0" w:line="18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Knowledge</w:t>
      </w:r>
      <w:r>
        <w:rPr>
          <w:rFonts w:ascii="Times New Roman" w:cs="Times New Roman" w:eastAsia="Times New Roman" w:hAnsi="Times New Roman"/>
          <w:sz w:val="22"/>
          <w:szCs w:val="22"/>
          <w:color w:val="auto"/>
        </w:rPr>
        <w:t xml:space="preserve">” means (a) with respect to Purchaser, the actual knowledge (after and assuming reasonable due inquiry of each applicable individual’s direct reports) of the individuals listed on </w:t>
      </w:r>
      <w:r>
        <w:rPr>
          <w:rFonts w:ascii="Times New Roman" w:cs="Times New Roman" w:eastAsia="Times New Roman" w:hAnsi="Times New Roman"/>
          <w:sz w:val="22"/>
          <w:szCs w:val="22"/>
          <w:u w:val="single" w:color="auto"/>
          <w:color w:val="auto"/>
        </w:rPr>
        <w:t>Section 1.01(e)</w:t>
      </w:r>
      <w:r>
        <w:rPr>
          <w:rFonts w:ascii="Times New Roman" w:cs="Times New Roman" w:eastAsia="Times New Roman" w:hAnsi="Times New Roman"/>
          <w:sz w:val="22"/>
          <w:szCs w:val="22"/>
          <w:color w:val="auto"/>
        </w:rPr>
        <w:t xml:space="preserve"> of the Disclosure Letter under the caption “Knowledge of Purchaser”, and (b) with respect to the Seller, the actual knowledge (after and assuming reasonable due inquiry of each applicable individual’s direct reports) of the individuals listed on </w:t>
      </w:r>
      <w:r>
        <w:rPr>
          <w:rFonts w:ascii="Times New Roman" w:cs="Times New Roman" w:eastAsia="Times New Roman" w:hAnsi="Times New Roman"/>
          <w:sz w:val="22"/>
          <w:szCs w:val="22"/>
          <w:u w:val="single" w:color="auto"/>
          <w:color w:val="auto"/>
        </w:rPr>
        <w:t>Section 1.01(e)</w:t>
      </w:r>
      <w:r>
        <w:rPr>
          <w:rFonts w:ascii="Times New Roman" w:cs="Times New Roman" w:eastAsia="Times New Roman" w:hAnsi="Times New Roman"/>
          <w:sz w:val="22"/>
          <w:szCs w:val="22"/>
          <w:color w:val="auto"/>
        </w:rPr>
        <w:t xml:space="preserve"> of the Disclosure Letter under the caption “Knowledge of the Seller”.</w:t>
      </w:r>
    </w:p>
    <w:p>
      <w:pPr>
        <w:spacing w:after="0" w:line="194"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Legacy Environmental Release Liabilities</w:t>
      </w:r>
      <w:r>
        <w:rPr>
          <w:rFonts w:ascii="Times New Roman" w:cs="Times New Roman" w:eastAsia="Times New Roman" w:hAnsi="Times New Roman"/>
          <w:sz w:val="22"/>
          <w:szCs w:val="22"/>
          <w:color w:val="auto"/>
        </w:rPr>
        <w:t>” means Liabilities related to the investigation, sampling, monitoring, removal or remediation of, or corrective or response actions related to, Hazardous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- 7 -</w:t>
      </w:r>
    </w:p>
    <w:p>
      <w:pPr>
        <w:sectPr>
          <w:pgSz w:w="11900" w:h="16838" w:orient="portrait"/>
          <w:cols w:equalWidth="0" w:num="1">
            <w:col w:w="11240"/>
          </w:cols>
          <w:pgMar w:left="320" w:top="1422" w:right="339" w:bottom="1440" w:gutter="0" w:footer="0" w:header="0"/>
        </w:sectPr>
      </w:pPr>
    </w:p>
    <w:bookmarkStart w:id="76" w:name="page77"/>
    <w:bookmarkEnd w:id="76"/>
    <w:p>
      <w:pPr>
        <w:jc w:val="both"/>
        <w:spacing w:after="0" w:line="271" w:lineRule="auto"/>
        <w:rPr>
          <w:sz w:val="20"/>
          <w:szCs w:val="20"/>
          <w:color w:val="auto"/>
        </w:rPr>
      </w:pPr>
      <w:r>
        <w:rPr>
          <w:rFonts w:ascii="Times New Roman" w:cs="Times New Roman" w:eastAsia="Times New Roman" w:hAnsi="Times New Roman"/>
          <w:sz w:val="22"/>
          <w:szCs w:val="22"/>
          <w:color w:val="auto"/>
        </w:rPr>
        <w:t>Materials under Environmental Laws which result from or relate to the Release of Hazardous Materials that existed or occurred prior to the Closing Date at, on, under or from the Houston Plant or the Beaumont Plant.</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 Protective Provisions</w:t>
      </w:r>
      <w:r>
        <w:rPr>
          <w:rFonts w:ascii="Times New Roman" w:cs="Times New Roman" w:eastAsia="Times New Roman" w:hAnsi="Times New Roman"/>
          <w:sz w:val="22"/>
          <w:szCs w:val="22"/>
          <w:color w:val="auto"/>
        </w:rPr>
        <w:t xml:space="preserve">” means the provisions set forth in </w:t>
      </w:r>
      <w:r>
        <w:rPr>
          <w:rFonts w:ascii="Times New Roman" w:cs="Times New Roman" w:eastAsia="Times New Roman" w:hAnsi="Times New Roman"/>
          <w:sz w:val="22"/>
          <w:szCs w:val="22"/>
          <w:u w:val="single" w:color="auto"/>
          <w:color w:val="auto"/>
        </w:rPr>
        <w:t>Section 9.02(c)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11.02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11.03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11.06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11.07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11.09</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11.15</w:t>
      </w:r>
      <w:r>
        <w:rPr>
          <w:rFonts w:ascii="Times New Roman" w:cs="Times New Roman" w:eastAsia="Times New Roman" w:hAnsi="Times New Roman"/>
          <w:sz w:val="22"/>
          <w:szCs w:val="22"/>
          <w:color w:val="auto"/>
        </w:rPr>
        <w:t>, in each case, as such provisions relate to the Debt Financing and the Financing Sources.</w:t>
      </w:r>
    </w:p>
    <w:p>
      <w:pPr>
        <w:spacing w:after="0" w:line="16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Liabilities</w:t>
      </w:r>
      <w:r>
        <w:rPr>
          <w:rFonts w:ascii="Times New Roman" w:cs="Times New Roman" w:eastAsia="Times New Roman" w:hAnsi="Times New Roman"/>
          <w:sz w:val="22"/>
          <w:szCs w:val="22"/>
          <w:color w:val="auto"/>
        </w:rPr>
        <w:t>” means any debts, liabilities, obligations, commitments, claims, non-compliances or complaints, of whatever kind or nature, whether accrued or unaccrued, known or unknown, fixed or contingent, determined or determinable.</w:t>
      </w:r>
    </w:p>
    <w:p>
      <w:pPr>
        <w:spacing w:after="0" w:line="158"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any pledge, lien, charge, encumbrance, easement, license, hypothecation, right of first refusal, security interest or other similar restriction.</w:t>
      </w:r>
    </w:p>
    <w:p>
      <w:pPr>
        <w:spacing w:after="0" w:line="144"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Loss</w:t>
      </w:r>
      <w:r>
        <w:rPr>
          <w:rFonts w:ascii="Times New Roman" w:cs="Times New Roman" w:eastAsia="Times New Roman" w:hAnsi="Times New Roman"/>
          <w:sz w:val="22"/>
          <w:szCs w:val="22"/>
          <w:color w:val="auto"/>
        </w:rPr>
        <w:t>” means any loss, Liability, claim, Tax, damage, penalty, fine, assessment, charge, cost or expense (including amounts paid in settlement or compromise), including reasonable legal fees and expenses.</w:t>
      </w:r>
    </w:p>
    <w:p>
      <w:pPr>
        <w:spacing w:after="0" w:line="158"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Adverse Effect</w:t>
      </w:r>
      <w:r>
        <w:rPr>
          <w:rFonts w:ascii="Times New Roman" w:cs="Times New Roman" w:eastAsia="Times New Roman" w:hAnsi="Times New Roman"/>
          <w:sz w:val="21"/>
          <w:szCs w:val="21"/>
          <w:color w:val="auto"/>
        </w:rPr>
        <w:t>” means any Effect that, individually or in the aggregate with any other Effects, (i) has had or would reasonably be expected to have a material adverse effect on the assets, liabilities, results of operations or financial condition of the Business, taken as a whole, or (ii) would prevent or materially impair Seller from consummating the Transactions as and when contemplated herein, but, solely for purposes of the foregoing clause (i), the determination of whether a Material Adverse Effect has occurred will not include any facts, conditions, circumstances, occurrences, effects, changes, events or developments (each, an “</w:t>
      </w:r>
      <w:r>
        <w:rPr>
          <w:rFonts w:ascii="Times New Roman" w:cs="Times New Roman" w:eastAsia="Times New Roman" w:hAnsi="Times New Roman"/>
          <w:sz w:val="21"/>
          <w:szCs w:val="21"/>
          <w:u w:val="single" w:color="auto"/>
          <w:color w:val="auto"/>
        </w:rPr>
        <w:t>Effect</w:t>
      </w:r>
      <w:r>
        <w:rPr>
          <w:rFonts w:ascii="Times New Roman" w:cs="Times New Roman" w:eastAsia="Times New Roman" w:hAnsi="Times New Roman"/>
          <w:sz w:val="21"/>
          <w:szCs w:val="21"/>
          <w:color w:val="auto"/>
        </w:rPr>
        <w:t>” and together, the “</w:t>
      </w:r>
      <w:r>
        <w:rPr>
          <w:rFonts w:ascii="Times New Roman" w:cs="Times New Roman" w:eastAsia="Times New Roman" w:hAnsi="Times New Roman"/>
          <w:sz w:val="21"/>
          <w:szCs w:val="21"/>
          <w:u w:val="single" w:color="auto"/>
          <w:color w:val="auto"/>
        </w:rPr>
        <w:t>Effects</w:t>
      </w:r>
      <w:r>
        <w:rPr>
          <w:rFonts w:ascii="Times New Roman" w:cs="Times New Roman" w:eastAsia="Times New Roman" w:hAnsi="Times New Roman"/>
          <w:sz w:val="21"/>
          <w:szCs w:val="21"/>
          <w:color w:val="auto"/>
        </w:rPr>
        <w:t>”) to the extent attributable to (a) any changes in general United States or global economic conditions, (b) any changes in conditions generally affecting any of the industries in which the Business operates, (c) securities, credit, financial or other capital markets conditions, in each case, in the United States or any foreign jurisdiction, (d) any failure by the Business to meet any internal or published projections, forecasts, estimates or predictions in respect of revenues, earnings or other financial or operating metrics for any period (although any Effects that have given rise or contributed to any such failure that are not otherwise excluded from the definition of Material Adverse Effect may be taken into account in determining whether there has been a Material Adverse Effect), (e) the execution and delivery of this Agreement or the announcement (except to the extent initiated by a member of the Seller Group in breach of this Agreement or the Confidentiality Agreement) or consummation of the Transactions, including the impact thereof on the relationships, contractual or otherwise, of the Business with employees, labor unions, customers, suppliers or partners (provided that this clause</w:t>
      </w:r>
    </w:p>
    <w:p>
      <w:pPr>
        <w:spacing w:after="0" w:line="3" w:lineRule="exact"/>
        <w:rPr>
          <w:sz w:val="20"/>
          <w:szCs w:val="20"/>
          <w:color w:val="auto"/>
        </w:rPr>
      </w:pPr>
    </w:p>
    <w:p>
      <w:pPr>
        <w:jc w:val="both"/>
        <w:ind w:firstLine="8"/>
        <w:spacing w:after="0" w:line="245" w:lineRule="auto"/>
        <w:tabs>
          <w:tab w:leader="none" w:pos="312"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shall not apply to any representation or warranty related to the execution, delivery or performance of this Agreement, non-contravention of Law, Judgment or Contract or any condition related thereto), (f) the performance by Seller of its obligations under this Agreement (other than the performance by Seller of its obligations under </w:t>
      </w:r>
      <w:r>
        <w:rPr>
          <w:rFonts w:ascii="Times New Roman" w:cs="Times New Roman" w:eastAsia="Times New Roman" w:hAnsi="Times New Roman"/>
          <w:sz w:val="22"/>
          <w:szCs w:val="22"/>
          <w:u w:val="single" w:color="auto"/>
          <w:color w:val="auto"/>
        </w:rPr>
        <w:t>Section 6.01(a)</w:t>
      </w:r>
      <w:r>
        <w:rPr>
          <w:rFonts w:ascii="Times New Roman" w:cs="Times New Roman" w:eastAsia="Times New Roman" w:hAnsi="Times New Roman"/>
          <w:sz w:val="22"/>
          <w:szCs w:val="22"/>
          <w:color w:val="auto"/>
        </w:rPr>
        <w:t>) or any action taken by or at the express written request of Purchaser, (g) any change in GAAP (or authoritative interpretations thereof) or in any applicable Law, including any Laws governing any tax, trade or tariff policy of any Governmental Authority, (h) regulatory, legislative, political or geopolitical conditions, the outbreak or escalation of hostilities, any acts of war (whether or not declared), civil disobedience, sabotage or terrorism, cyberterrorism or cyberattack, (i) the impact of health conditions (including any public health emergency, epidemic, pandemic or disease outbreak) or other force majeure events (including any outbreaks, hurricanes, tornados, floods, earthquakes or other natural disasters), (j) any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9" w:lineRule="exact"/>
        <w:rPr>
          <w:rFonts w:ascii="Times New Roman" w:cs="Times New Roman" w:eastAsia="Times New Roman" w:hAnsi="Times New Roman"/>
          <w:sz w:val="22"/>
          <w:szCs w:val="22"/>
          <w:color w:val="auto"/>
        </w:rPr>
      </w:pPr>
    </w:p>
    <w:p>
      <w:pPr>
        <w:ind w:left="360" w:hanging="136"/>
        <w:spacing w:after="0"/>
        <w:tabs>
          <w:tab w:leader="none" w:pos="360"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8 -</w:t>
      </w:r>
    </w:p>
    <w:p>
      <w:pPr>
        <w:sectPr>
          <w:pgSz w:w="11900" w:h="16838" w:orient="portrait"/>
          <w:cols w:equalWidth="0" w:num="1">
            <w:col w:w="11240"/>
          </w:cols>
          <w:pgMar w:left="320" w:top="1422" w:right="339" w:bottom="1440" w:gutter="0" w:footer="0" w:header="0"/>
        </w:sectPr>
      </w:pPr>
    </w:p>
    <w:bookmarkStart w:id="77" w:name="page78"/>
    <w:bookmarkEnd w:id="77"/>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Law (including any pronouncement or guideline having the effect of Law) issued by a Governmental Authority providing for business closures, “sheltering-in-place”, “stay-at-home” or other restrictions that relate to, or arise out of, health conditions (including any public health emergency, epidemic, pandemic or disease outbreak) or any change in such Law, pronouncement or guideline or authoritative interpretation thereof, or (k) the escalation or worsening of any Effect described in the foregoing clauses (h) or (i) which are existing on the date of this Agreement; except, in the cases of the foregoing clauses </w:t>
      </w: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 (i)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(j)</w:t>
      </w:r>
      <w:r>
        <w:rPr>
          <w:rFonts w:ascii="Times New Roman" w:cs="Times New Roman" w:eastAsia="Times New Roman" w:hAnsi="Times New Roman"/>
          <w:sz w:val="22"/>
          <w:szCs w:val="22"/>
          <w:color w:val="auto"/>
        </w:rPr>
        <w:t>, to the extent such Effect has a disproportionate adverse effect on the Business, taken as a whole, relative to other participants in the industries in which the Business operates (in which case only such incremental disproportionate impact or impacts may be taken into account in determining whether there has been or would reasonably be expected to be a Material Adverse Effect).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Multiemployer Plan</w:t>
      </w:r>
      <w:r>
        <w:rPr>
          <w:rFonts w:ascii="Times New Roman" w:cs="Times New Roman" w:eastAsia="Times New Roman" w:hAnsi="Times New Roman"/>
          <w:sz w:val="22"/>
          <w:szCs w:val="22"/>
          <w:color w:val="auto"/>
        </w:rPr>
        <w:t>” means a “multiemployer plan” within the meaning of Section 3(37) or 4001(a)(3)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ERISA.</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Niagara Falls Plant</w:t>
      </w:r>
      <w:r>
        <w:rPr>
          <w:rFonts w:ascii="Times New Roman" w:cs="Times New Roman" w:eastAsia="Times New Roman" w:hAnsi="Times New Roman"/>
          <w:sz w:val="22"/>
          <w:szCs w:val="22"/>
          <w:color w:val="auto"/>
        </w:rPr>
        <w:t>” means Seller’s chemical plant located at 5500 Goodyear Dr., Niagara Falls, NY 14304.</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Transferred Patents</w:t>
      </w:r>
      <w:r>
        <w:rPr>
          <w:rFonts w:ascii="Times New Roman" w:cs="Times New Roman" w:eastAsia="Times New Roman" w:hAnsi="Times New Roman"/>
          <w:sz w:val="22"/>
          <w:szCs w:val="22"/>
          <w:color w:val="auto"/>
        </w:rPr>
        <w:t xml:space="preserve">” means certain patents and patent applications set forth on </w:t>
      </w:r>
      <w:r>
        <w:rPr>
          <w:rFonts w:ascii="Times New Roman" w:cs="Times New Roman" w:eastAsia="Times New Roman" w:hAnsi="Times New Roman"/>
          <w:sz w:val="22"/>
          <w:szCs w:val="22"/>
          <w:u w:val="single" w:color="auto"/>
          <w:color w:val="auto"/>
        </w:rPr>
        <w:t>Section 1.01(m)</w:t>
      </w:r>
      <w:r>
        <w:rPr>
          <w:rFonts w:ascii="Times New Roman" w:cs="Times New Roman" w:eastAsia="Times New Roman" w:hAnsi="Times New Roman"/>
          <w:sz w:val="22"/>
          <w:szCs w:val="22"/>
          <w:color w:val="auto"/>
        </w:rPr>
        <w:t xml:space="preserve"> of the Disclosure Letter.</w:t>
      </w:r>
    </w:p>
    <w:p>
      <w:pPr>
        <w:spacing w:after="0" w:line="17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Out-of-Scope Facilities</w:t>
      </w:r>
      <w:r>
        <w:rPr>
          <w:rFonts w:ascii="Times New Roman" w:cs="Times New Roman" w:eastAsia="Times New Roman" w:hAnsi="Times New Roman"/>
          <w:sz w:val="22"/>
          <w:szCs w:val="22"/>
          <w:color w:val="auto"/>
        </w:rPr>
        <w:t>” means all of the Seller Groups’ facilities other than the In-Scope Facilities, including, without limitation, the Bayport Plant and Niagara Falls Plant.</w:t>
      </w:r>
    </w:p>
    <w:p>
      <w:pPr>
        <w:spacing w:after="0" w:line="158"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Patents</w:t>
      </w:r>
      <w:r>
        <w:rPr>
          <w:rFonts w:ascii="Times New Roman" w:cs="Times New Roman" w:eastAsia="Times New Roman" w:hAnsi="Times New Roman"/>
          <w:sz w:val="22"/>
          <w:szCs w:val="22"/>
          <w:color w:val="auto"/>
        </w:rPr>
        <w:t>” means issued patents (including utility patents, plant patent, and design patents), patent applications, utility models and applications for utility models, and: (i) all divisionals, continuations and continuations-in-part, and foreign counterpart applications related to any of the foregoing, (ii) all patents issuing on any patent applications included in any of the foregoing, (iii) all reissues, patent disclosures, reexaminations, extensions, divisions, renewals, provisionals, continued prosecution applications, requests for continued examination, and registrations of or to any of the foregoing, and (iv) all foreign counterparts related to any of the foregoing.</w:t>
      </w:r>
    </w:p>
    <w:p>
      <w:pPr>
        <w:spacing w:after="0" w:line="181"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Lien</w:t>
      </w:r>
      <w:r>
        <w:rPr>
          <w:rFonts w:ascii="Times New Roman" w:cs="Times New Roman" w:eastAsia="Times New Roman" w:hAnsi="Times New Roman"/>
          <w:sz w:val="22"/>
          <w:szCs w:val="22"/>
          <w:color w:val="auto"/>
        </w:rPr>
        <w:t>” means (a) Liens for Taxes, assessments or other charges by Governmental Authorities not yet due and payable, or the amount or validity of which is being contested in good faith by the Seller Group through appropriate proceeding and for which an adequate reserve has been established on the Interim Financial Statements in accordance with GAAP, (b) mechanics’, materialmen’s, carriers’, workmen’s, warehouseman’s, repairmen’s, landlords’ and similar Liens arising under applicable Law granted or which arise in the ordinary course of business, (c) Liens arising under purchase price conditional sales contracts or equipment leases with third parties entered into in the ordinary course of business, (d) terms, conditions and restrictions under leases, subleases, licenses or occupancy agreements, including statutory Liens of landlords, none of which materially interferes with, or detract from the value of, the present use of the related real property or operation thereon, (e) easements, covenants, rights-of-way and other similar restrictions of record, none of which materially interferes with, or detract from the value of, the present use of the related real property or operation thereon, (f) requirements of zoning, building, land use and other similar Laws regulating the use or occupancy of real property or the activities conducted thereon and which are not violated by the current use or occupancy of such real property or the operation of the Business or any violation of which would not be material to the Business, (g) Liens created by Purchaser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- 9 -</w:t>
      </w:r>
    </w:p>
    <w:p>
      <w:pPr>
        <w:sectPr>
          <w:pgSz w:w="11900" w:h="16838" w:orient="portrait"/>
          <w:cols w:equalWidth="0" w:num="1">
            <w:col w:w="11240"/>
          </w:cols>
          <w:pgMar w:left="320" w:top="1422" w:right="339" w:bottom="1440" w:gutter="0" w:footer="0" w:header="0"/>
        </w:sectPr>
      </w:pPr>
    </w:p>
    <w:bookmarkStart w:id="78" w:name="page79"/>
    <w:bookmarkEnd w:id="78"/>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any of its Affiliates, (h) non-exclusive licenses of any Intellectual Property granted by Seller in the ordinary course of business, and (i) any matters shown by a current, accurate survey or physical inspection of real property.</w:t>
      </w:r>
    </w:p>
    <w:p>
      <w:pPr>
        <w:spacing w:after="0" w:line="15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 individual, corporation, limited liability company, partnership, joint venture, association, trust, unincorporated organization or any other entity, including a Governmental Authority.</w:t>
      </w:r>
    </w:p>
    <w:p>
      <w:pPr>
        <w:spacing w:after="0" w:line="144"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Personally Identifiable Information</w:t>
      </w:r>
      <w:r>
        <w:rPr>
          <w:rFonts w:ascii="Times New Roman" w:cs="Times New Roman" w:eastAsia="Times New Roman" w:hAnsi="Times New Roman"/>
          <w:sz w:val="22"/>
          <w:szCs w:val="22"/>
          <w:color w:val="auto"/>
        </w:rPr>
        <w:t>” means (a) any information relating to an identified or identifiable natural person and (b) any data that constitutes personal information, personally-identifiable information, or personal data under any Contract, Law or privacy policy applicable to any Seller Entity; an “</w:t>
      </w:r>
      <w:r>
        <w:rPr>
          <w:rFonts w:ascii="Times New Roman" w:cs="Times New Roman" w:eastAsia="Times New Roman" w:hAnsi="Times New Roman"/>
          <w:sz w:val="22"/>
          <w:szCs w:val="22"/>
          <w:u w:val="single" w:color="auto"/>
          <w:color w:val="auto"/>
        </w:rPr>
        <w:t>identifiable natural person</w:t>
      </w:r>
      <w:r>
        <w:rPr>
          <w:rFonts w:ascii="Times New Roman" w:cs="Times New Roman" w:eastAsia="Times New Roman" w:hAnsi="Times New Roman"/>
          <w:sz w:val="22"/>
          <w:szCs w:val="22"/>
          <w:color w:val="auto"/>
        </w:rPr>
        <w:t>”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p>
      <w:pPr>
        <w:spacing w:after="0" w:line="181" w:lineRule="exact"/>
        <w:rPr>
          <w:sz w:val="20"/>
          <w:szCs w:val="20"/>
          <w:color w:val="auto"/>
        </w:rPr>
      </w:pPr>
    </w:p>
    <w:p>
      <w:pPr>
        <w:ind w:left="1300"/>
        <w:spacing w:after="0"/>
        <w:tabs>
          <w:tab w:leader="none" w:pos="3460" w:val="left"/>
          <w:tab w:leader="none" w:pos="4180" w:val="left"/>
          <w:tab w:leader="none" w:pos="4660" w:val="left"/>
          <w:tab w:leader="none" w:pos="5680" w:val="left"/>
          <w:tab w:leader="none" w:pos="6820" w:val="left"/>
          <w:tab w:leader="none" w:pos="7300" w:val="left"/>
          <w:tab w:leader="none" w:pos="8420" w:val="left"/>
          <w:tab w:leader="none" w:pos="8760" w:val="left"/>
          <w:tab w:leader="none" w:pos="9200" w:val="left"/>
          <w:tab w:leader="none" w:pos="10400" w:val="left"/>
        </w:tabs>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Polymer  Chemicals</w:t>
      </w:r>
      <w:r>
        <w:rPr>
          <w:rFonts w:ascii="Times New Roman" w:cs="Times New Roman" w:eastAsia="Times New Roman" w:hAnsi="Times New Roman"/>
          <w:sz w:val="22"/>
          <w:szCs w:val="22"/>
          <w:color w:val="auto"/>
        </w:rPr>
        <w:t>”</w:t>
        <w:tab/>
        <w:t>means</w:t>
        <w:tab/>
        <w:t>any</w:t>
        <w:tab/>
        <w:t>polymers,</w:t>
        <w:tab/>
        <w:t>monomers,</w:t>
        <w:tab/>
        <w:t>and</w:t>
        <w:tab/>
        <w:t>derivatives</w:t>
        <w:tab/>
        <w:t>of</w:t>
        <w:tab/>
        <w:t>C5</w:t>
        <w:tab/>
        <w:t>chemistries,</w:t>
      </w:r>
      <w:r>
        <w:rPr>
          <w:sz w:val="20"/>
          <w:szCs w:val="20"/>
          <w:color w:val="auto"/>
        </w:rPr>
        <w:tab/>
      </w:r>
      <w:r>
        <w:rPr>
          <w:rFonts w:ascii="Times New Roman" w:cs="Times New Roman" w:eastAsia="Times New Roman" w:hAnsi="Times New Roman"/>
          <w:sz w:val="21"/>
          <w:szCs w:val="21"/>
          <w:color w:val="auto"/>
        </w:rPr>
        <w:t>including</w:t>
      </w:r>
    </w:p>
    <w:p>
      <w:pPr>
        <w:spacing w:after="0" w:line="28" w:lineRule="exact"/>
        <w:rPr>
          <w:sz w:val="20"/>
          <w:szCs w:val="20"/>
          <w:color w:val="auto"/>
        </w:rPr>
      </w:pPr>
    </w:p>
    <w:p>
      <w:pPr>
        <w:jc w:val="both"/>
        <w:ind w:firstLine="8"/>
        <w:spacing w:after="0" w:line="246" w:lineRule="auto"/>
        <w:tabs>
          <w:tab w:leader="none" w:pos="341"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polybutadiene rubber family; (b) solution styrene butadiene rubber (including functionalized solution styrene butadiene rubber); (c) isoprene and polyisoprene rubber; (d) emulsion styrene butadiene rubber; (e) food grade emulsion styrene butadiene rubber, butyl and polyisobutylene; (f) high-solids latex; (g) dicyclopentadienes (DCPD), and (h) products categorized as “C5 monomers,” including piperylene (PIPs) and isoprene products. For the avoidance of doubt, “Polymer Chemicals” shall not include any third-party polymer information or third-party polymer materials held by the Seller Group in its ordinary course of business.</w:t>
      </w:r>
    </w:p>
    <w:p>
      <w:pPr>
        <w:spacing w:after="0" w:line="189"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Post-Closing Tax Period</w:t>
      </w:r>
      <w:r>
        <w:rPr>
          <w:rFonts w:ascii="Times New Roman" w:cs="Times New Roman" w:eastAsia="Times New Roman" w:hAnsi="Times New Roman"/>
          <w:sz w:val="22"/>
          <w:szCs w:val="22"/>
          <w:color w:val="auto"/>
        </w:rPr>
        <w:t>” means any taxable period beginning after the Closing Date and the portion of any Straddle Period beginning after the Closing Date.</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Potential Transferred Patents</w:t>
      </w:r>
      <w:r>
        <w:rPr>
          <w:rFonts w:ascii="Times New Roman" w:cs="Times New Roman" w:eastAsia="Times New Roman" w:hAnsi="Times New Roman"/>
          <w:sz w:val="22"/>
          <w:szCs w:val="22"/>
          <w:color w:val="auto"/>
        </w:rPr>
        <w:t>” means the Patents set forth on Section 1.01(l) of the Disclosure Letter.</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Pre-Closing Tax Period</w:t>
      </w:r>
      <w:r>
        <w:rPr>
          <w:rFonts w:ascii="Times New Roman" w:cs="Times New Roman" w:eastAsia="Times New Roman" w:hAnsi="Times New Roman"/>
          <w:sz w:val="22"/>
          <w:szCs w:val="22"/>
          <w:color w:val="auto"/>
        </w:rPr>
        <w:t>” means any taxable period ending on or before the Closing Date and the portion of any Straddle Period ending on the Closing Date.</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Purchaser Fundamental Representations</w:t>
      </w:r>
      <w:r>
        <w:rPr>
          <w:rFonts w:ascii="Times New Roman" w:cs="Times New Roman" w:eastAsia="Times New Roman" w:hAnsi="Times New Roman"/>
          <w:sz w:val="22"/>
          <w:szCs w:val="22"/>
          <w:color w:val="auto"/>
        </w:rPr>
        <w:t xml:space="preserve">” means </w:t>
      </w:r>
      <w:r>
        <w:rPr>
          <w:rFonts w:ascii="Times New Roman" w:cs="Times New Roman" w:eastAsia="Times New Roman" w:hAnsi="Times New Roman"/>
          <w:sz w:val="22"/>
          <w:szCs w:val="22"/>
          <w:u w:val="single" w:color="auto"/>
          <w:color w:val="auto"/>
        </w:rPr>
        <w:t>Section 5.01</w:t>
      </w:r>
      <w:r>
        <w:rPr>
          <w:rFonts w:ascii="Times New Roman" w:cs="Times New Roman" w:eastAsia="Times New Roman" w:hAnsi="Times New Roman"/>
          <w:sz w:val="22"/>
          <w:szCs w:val="22"/>
          <w:color w:val="auto"/>
        </w:rPr>
        <w:t xml:space="preserve"> (Organization; Standing), </w:t>
      </w:r>
      <w:r>
        <w:rPr>
          <w:rFonts w:ascii="Times New Roman" w:cs="Times New Roman" w:eastAsia="Times New Roman" w:hAnsi="Times New Roman"/>
          <w:sz w:val="22"/>
          <w:szCs w:val="22"/>
          <w:u w:val="single" w:color="auto"/>
          <w:color w:val="auto"/>
        </w:rPr>
        <w:t>Section 5.02</w:t>
      </w:r>
      <w:r>
        <w:rPr>
          <w:rFonts w:ascii="Times New Roman" w:cs="Times New Roman" w:eastAsia="Times New Roman" w:hAnsi="Times New Roman"/>
          <w:sz w:val="22"/>
          <w:szCs w:val="22"/>
          <w:color w:val="auto"/>
        </w:rPr>
        <w:t xml:space="preserve"> (Authority), and </w:t>
      </w:r>
      <w:r>
        <w:rPr>
          <w:rFonts w:ascii="Times New Roman" w:cs="Times New Roman" w:eastAsia="Times New Roman" w:hAnsi="Times New Roman"/>
          <w:sz w:val="22"/>
          <w:szCs w:val="22"/>
          <w:u w:val="single" w:color="auto"/>
          <w:color w:val="auto"/>
        </w:rPr>
        <w:t>Section 5.06</w:t>
      </w:r>
      <w:r>
        <w:rPr>
          <w:rFonts w:ascii="Times New Roman" w:cs="Times New Roman" w:eastAsia="Times New Roman" w:hAnsi="Times New Roman"/>
          <w:sz w:val="22"/>
          <w:szCs w:val="22"/>
          <w:color w:val="auto"/>
        </w:rPr>
        <w:t xml:space="preserve"> (Brokers and Other Advisors).</w:t>
      </w:r>
    </w:p>
    <w:p>
      <w:pPr>
        <w:spacing w:after="0" w:line="17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Purchaser Material Adverse Effect</w:t>
      </w:r>
      <w:r>
        <w:rPr>
          <w:rFonts w:ascii="Times New Roman" w:cs="Times New Roman" w:eastAsia="Times New Roman" w:hAnsi="Times New Roman"/>
          <w:sz w:val="22"/>
          <w:szCs w:val="22"/>
          <w:color w:val="auto"/>
        </w:rPr>
        <w:t>” means any effect or change that, individually or in the aggregate, prevents or materially impairs Purchaser from consummating the Transactions, in each case, as and when contemplated herein.</w:t>
      </w:r>
    </w:p>
    <w:p>
      <w:pPr>
        <w:spacing w:after="0" w:line="15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Records</w:t>
      </w:r>
      <w:r>
        <w:rPr>
          <w:rFonts w:ascii="Times New Roman" w:cs="Times New Roman" w:eastAsia="Times New Roman" w:hAnsi="Times New Roman"/>
          <w:sz w:val="22"/>
          <w:szCs w:val="22"/>
          <w:color w:val="auto"/>
        </w:rPr>
        <w:t xml:space="preserve">” means all documents, instruments, books and records (excluding any corporate books and records, except to the extent relating primarily or exclusively to the Business), including all Tax records, Tax Returns and Tax related work papers, books of account, financial, accounting and personnel records, invoices, customers’ and suppliers’ lists, other distribution lists, sales and purchase records and operating, production and other manuals, in any form or medium;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Records shall not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- 10 -</w:t>
      </w:r>
    </w:p>
    <w:p>
      <w:pPr>
        <w:sectPr>
          <w:pgSz w:w="11900" w:h="16838" w:orient="portrait"/>
          <w:cols w:equalWidth="0" w:num="1">
            <w:col w:w="11240"/>
          </w:cols>
          <w:pgMar w:left="320" w:top="1422"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22"/>
          <w:szCs w:val="22"/>
          <w:color w:val="auto"/>
        </w:rPr>
        <w:t>any attorney work product to the extent relating to an ongoing or threatened Action that is an Excluded Business Claim.</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means any release, spill, emission, leaking, pumping, dumping, injection, pouring, deposit, discharge, dispersal, leaching, escaping or migration on, into or through the environment (including ambient or indoor air, surface water, groundwater, sediments, land surface or subsurface strata).</w:t>
      </w:r>
    </w:p>
    <w:p>
      <w:pPr>
        <w:spacing w:after="0" w:line="167"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Representatives</w:t>
      </w:r>
      <w:r>
        <w:rPr>
          <w:rFonts w:ascii="Times New Roman" w:cs="Times New Roman" w:eastAsia="Times New Roman" w:hAnsi="Times New Roman"/>
          <w:sz w:val="22"/>
          <w:szCs w:val="22"/>
          <w:color w:val="auto"/>
        </w:rPr>
        <w:t>” means, with respect to any Person, its officers, directors, employees, consultants, agents, financial advisors, investment bankers, attorneys, accountants, other advisors and other representatives.</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Cash</w:t>
      </w:r>
      <w:r>
        <w:rPr>
          <w:rFonts w:ascii="Times New Roman" w:cs="Times New Roman" w:eastAsia="Times New Roman" w:hAnsi="Times New Roman"/>
          <w:sz w:val="22"/>
          <w:szCs w:val="22"/>
          <w:color w:val="auto"/>
        </w:rPr>
        <w:t>” means (a) cash held in third-party escrows, (b) any security or similar deposits, (c) any customer deposits or (d) insurance proceeds in respect of a condemnation, casualty, loss or other material damage to any of the Transferred Assets prior to the Closing Date that has not been used to repair or replace such condemned or damaged property.</w:t>
      </w:r>
    </w:p>
    <w:p>
      <w:pPr>
        <w:spacing w:after="0" w:line="16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Retained Businesses</w:t>
      </w:r>
      <w:r>
        <w:rPr>
          <w:rFonts w:ascii="Times New Roman" w:cs="Times New Roman" w:eastAsia="Times New Roman" w:hAnsi="Times New Roman"/>
          <w:sz w:val="22"/>
          <w:szCs w:val="22"/>
          <w:color w:val="auto"/>
        </w:rPr>
        <w:t>” means all businesses, operations and activities conducted by the Seller Group (including the Retained Chemicals Business) other than the Business.</w:t>
      </w:r>
    </w:p>
    <w:p>
      <w:pPr>
        <w:spacing w:after="0" w:line="15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Retained Chemicals Business</w:t>
      </w:r>
      <w:r>
        <w:rPr>
          <w:rFonts w:ascii="Times New Roman" w:cs="Times New Roman" w:eastAsia="Times New Roman" w:hAnsi="Times New Roman"/>
          <w:sz w:val="22"/>
          <w:szCs w:val="22"/>
          <w:color w:val="auto"/>
        </w:rPr>
        <w:t>” means, all of the Seller Group’s business, operations and commercial activities related to the following products: (a) Hydroquinone; (b) META and PARA DIPB; (c) Acetone; (d) Antioxidants; (e) POLYSTAY 100 (NAILAX); (f) POLYSTAY 100AZ; and (g) POLYSTAY 200.</w:t>
      </w:r>
    </w:p>
    <w:p>
      <w:pPr>
        <w:spacing w:after="0" w:line="18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Safety Data Sheets</w:t>
      </w:r>
      <w:r>
        <w:rPr>
          <w:rFonts w:ascii="Times New Roman" w:cs="Times New Roman" w:eastAsia="Times New Roman" w:hAnsi="Times New Roman"/>
          <w:sz w:val="22"/>
          <w:szCs w:val="22"/>
          <w:color w:val="auto"/>
        </w:rPr>
        <w:t>” means all safety data sheets (SDS) available on goodyearchemical.com on or after the date hereof, or in Seller Entities possession or control, and otherwise related to, or used or held for use in, or necessary for, the conduct of the Business.</w:t>
      </w:r>
    </w:p>
    <w:p>
      <w:pPr>
        <w:spacing w:after="0" w:line="173"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Benefit Plan</w:t>
      </w:r>
      <w:r>
        <w:rPr>
          <w:rFonts w:ascii="Times New Roman" w:cs="Times New Roman" w:eastAsia="Times New Roman" w:hAnsi="Times New Roman"/>
          <w:sz w:val="22"/>
          <w:szCs w:val="22"/>
          <w:color w:val="auto"/>
        </w:rPr>
        <w:t>” means any “employee pension benefit plan” (as defined in Section 3(2) of ERISA, whether or not subject to ERISA), “employee welfare benefit plan” (as defined in Section 3(1) of ERISA, whether or not subject to ERISA) or retirement, pension, profit sharing, deferred compensation, bonus, incentive, compensation, benefit, stock or stock-based compensation, phantom equity, employment, consulting, change in control, retention, Code Section 125, vacation, severance, separation pay, health, welfare, disability, death benefit, hospitalization, medical or other benefit or compensation plan, Contract, policy, program, agreement, arrangement or understanding (each, an “</w:t>
      </w:r>
      <w:r>
        <w:rPr>
          <w:rFonts w:ascii="Times New Roman" w:cs="Times New Roman" w:eastAsia="Times New Roman" w:hAnsi="Times New Roman"/>
          <w:sz w:val="22"/>
          <w:szCs w:val="22"/>
          <w:u w:val="single" w:color="auto"/>
          <w:color w:val="auto"/>
        </w:rPr>
        <w:t>Employee Benefit Plan</w:t>
      </w:r>
      <w:r>
        <w:rPr>
          <w:rFonts w:ascii="Times New Roman" w:cs="Times New Roman" w:eastAsia="Times New Roman" w:hAnsi="Times New Roman"/>
          <w:sz w:val="22"/>
          <w:szCs w:val="22"/>
          <w:color w:val="auto"/>
        </w:rPr>
        <w:t>” and collectively, “</w:t>
      </w:r>
      <w:r>
        <w:rPr>
          <w:rFonts w:ascii="Times New Roman" w:cs="Times New Roman" w:eastAsia="Times New Roman" w:hAnsi="Times New Roman"/>
          <w:sz w:val="22"/>
          <w:szCs w:val="22"/>
          <w:u w:val="single" w:color="auto"/>
          <w:color w:val="auto"/>
        </w:rPr>
        <w:t>Employee Benefit Plans</w:t>
      </w:r>
      <w:r>
        <w:rPr>
          <w:rFonts w:ascii="Times New Roman" w:cs="Times New Roman" w:eastAsia="Times New Roman" w:hAnsi="Times New Roman"/>
          <w:sz w:val="22"/>
          <w:szCs w:val="22"/>
          <w:color w:val="auto"/>
        </w:rPr>
        <w:t>”), in each case, that is sponsored, contributed to or maintained by any member of the Seller Group for the benefit of any current or former Business Employee or with respect to which the Business has or could reasonably be expected to have any Liability.</w:t>
      </w:r>
    </w:p>
    <w:p>
      <w:pPr>
        <w:spacing w:after="0" w:line="18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Consolidated Group</w:t>
      </w:r>
      <w:r>
        <w:rPr>
          <w:rFonts w:ascii="Times New Roman" w:cs="Times New Roman" w:eastAsia="Times New Roman" w:hAnsi="Times New Roman"/>
          <w:sz w:val="22"/>
          <w:szCs w:val="22"/>
          <w:color w:val="auto"/>
        </w:rPr>
        <w:t>” means any consolidated, combined or unitary Tax group that includes Seller or any of its Affiliates.</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Deferred Compensation Plan</w:t>
      </w:r>
      <w:r>
        <w:rPr>
          <w:rFonts w:ascii="Times New Roman" w:cs="Times New Roman" w:eastAsia="Times New Roman" w:hAnsi="Times New Roman"/>
          <w:sz w:val="22"/>
          <w:szCs w:val="22"/>
          <w:color w:val="auto"/>
        </w:rPr>
        <w:t>” means each of The Goodyear Tire &amp; Rubber Company Deferred Compensation Plan for Executives and The Goodyear Tire &amp; Rubber Company Defined Contribution Excess Benefit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- 11 -</w:t>
      </w:r>
    </w:p>
    <w:p>
      <w:pPr>
        <w:sectPr>
          <w:pgSz w:w="11900" w:h="16838" w:orient="portrait"/>
          <w:cols w:equalWidth="0" w:num="1">
            <w:col w:w="11240"/>
          </w:cols>
          <w:pgMar w:left="320" w:top="1422" w:right="339" w:bottom="1440" w:gutter="0" w:footer="0" w:header="0"/>
        </w:sectPr>
      </w:pPr>
    </w:p>
    <w:bookmarkStart w:id="80" w:name="page81"/>
    <w:bookmarkEnd w:id="80"/>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Entities</w:t>
      </w:r>
      <w:r>
        <w:rPr>
          <w:rFonts w:ascii="Times New Roman" w:cs="Times New Roman" w:eastAsia="Times New Roman" w:hAnsi="Times New Roman"/>
          <w:sz w:val="22"/>
          <w:szCs w:val="22"/>
          <w:color w:val="auto"/>
        </w:rPr>
        <w:t>” means Seller and all of the Affiliates of Seller that own or hold the rights, titles, or interests in, to or under the Transferred Assets or the Shared Contracts or are otherwise subject to any Assumed Liabilities.</w:t>
      </w:r>
    </w:p>
    <w:p>
      <w:pPr>
        <w:spacing w:after="0" w:line="15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Fundamental Representations</w:t>
      </w:r>
      <w:r>
        <w:rPr>
          <w:rFonts w:ascii="Times New Roman" w:cs="Times New Roman" w:eastAsia="Times New Roman" w:hAnsi="Times New Roman"/>
          <w:sz w:val="22"/>
          <w:szCs w:val="22"/>
          <w:color w:val="auto"/>
        </w:rPr>
        <w:t xml:space="preserve">” means </w:t>
      </w:r>
      <w:r>
        <w:rPr>
          <w:rFonts w:ascii="Times New Roman" w:cs="Times New Roman" w:eastAsia="Times New Roman" w:hAnsi="Times New Roman"/>
          <w:sz w:val="22"/>
          <w:szCs w:val="22"/>
          <w:u w:val="single" w:color="auto"/>
          <w:color w:val="auto"/>
        </w:rPr>
        <w:t>Section 4.01(a)</w:t>
      </w:r>
      <w:r>
        <w:rPr>
          <w:rFonts w:ascii="Times New Roman" w:cs="Times New Roman" w:eastAsia="Times New Roman" w:hAnsi="Times New Roman"/>
          <w:sz w:val="22"/>
          <w:szCs w:val="22"/>
          <w:color w:val="auto"/>
        </w:rPr>
        <w:t xml:space="preserve"> (Organization),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xml:space="preserve"> (Authority; Binding Effect), </w:t>
      </w:r>
      <w:r>
        <w:rPr>
          <w:rFonts w:ascii="Times New Roman" w:cs="Times New Roman" w:eastAsia="Times New Roman" w:hAnsi="Times New Roman"/>
          <w:sz w:val="22"/>
          <w:szCs w:val="22"/>
          <w:u w:val="single" w:color="auto"/>
          <w:color w:val="auto"/>
        </w:rPr>
        <w:t>Section 4.03(a)(i)</w:t>
      </w:r>
      <w:r>
        <w:rPr>
          <w:rFonts w:ascii="Times New Roman" w:cs="Times New Roman" w:eastAsia="Times New Roman" w:hAnsi="Times New Roman"/>
          <w:sz w:val="22"/>
          <w:szCs w:val="22"/>
          <w:color w:val="auto"/>
        </w:rPr>
        <w:t xml:space="preserve"> (Noncontravention of Organizational Documents), and </w:t>
      </w:r>
      <w:r>
        <w:rPr>
          <w:rFonts w:ascii="Times New Roman" w:cs="Times New Roman" w:eastAsia="Times New Roman" w:hAnsi="Times New Roman"/>
          <w:sz w:val="22"/>
          <w:szCs w:val="22"/>
          <w:u w:val="single" w:color="auto"/>
          <w:color w:val="auto"/>
        </w:rPr>
        <w:t>Section 4.17</w:t>
      </w:r>
      <w:r>
        <w:rPr>
          <w:rFonts w:ascii="Times New Roman" w:cs="Times New Roman" w:eastAsia="Times New Roman" w:hAnsi="Times New Roman"/>
          <w:sz w:val="22"/>
          <w:szCs w:val="22"/>
          <w:color w:val="auto"/>
        </w:rPr>
        <w:t xml:space="preserve"> (Brokers and Other Advisors).</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Group</w:t>
      </w:r>
      <w:r>
        <w:rPr>
          <w:rFonts w:ascii="Times New Roman" w:cs="Times New Roman" w:eastAsia="Times New Roman" w:hAnsi="Times New Roman"/>
          <w:sz w:val="22"/>
          <w:szCs w:val="22"/>
          <w:color w:val="auto"/>
        </w:rPr>
        <w:t>” means, collectively, Seller and each of its Affiliates.</w:t>
      </w:r>
    </w:p>
    <w:p>
      <w:pPr>
        <w:spacing w:after="0" w:line="220"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Indebtedness</w:t>
      </w:r>
      <w:r>
        <w:rPr>
          <w:rFonts w:ascii="Times New Roman" w:cs="Times New Roman" w:eastAsia="Times New Roman" w:hAnsi="Times New Roman"/>
          <w:sz w:val="22"/>
          <w:szCs w:val="22"/>
          <w:color w:val="auto"/>
        </w:rPr>
        <w:t>” means the senior credit facilities and senior notes of the Seller, as set forth in more detail in the Seller’s filings made with the U.S. Securities and Exchange Commission from time to time.</w:t>
      </w:r>
    </w:p>
    <w:p>
      <w:pPr>
        <w:spacing w:after="0" w:line="15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Retained Trademarks</w:t>
      </w:r>
      <w:r>
        <w:rPr>
          <w:rFonts w:ascii="Times New Roman" w:cs="Times New Roman" w:eastAsia="Times New Roman" w:hAnsi="Times New Roman"/>
          <w:sz w:val="22"/>
          <w:szCs w:val="22"/>
          <w:color w:val="auto"/>
        </w:rPr>
        <w:t>” means the Trademarks and any Domain Names incorporating or containing the term “GOODYEAR”, the term “GOODYEAR (and winged foot design)”, the winged foot design, the blimp design or other Seller Group Trademarks related to the Retained Business, owned by or licensed to any member of the Seller Group, whether or not registered, in each case, that are used by or in connection with any of the Retained Businesses, all rights to which and the goodwill represented thereby, and any Trademarks or Domain Names that are confusingly similar to any of the foregoing.</w:t>
      </w:r>
    </w:p>
    <w:p>
      <w:pPr>
        <w:spacing w:after="0" w:line="179"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Shared Contracts</w:t>
      </w:r>
      <w:r>
        <w:rPr>
          <w:rFonts w:ascii="Times New Roman" w:cs="Times New Roman" w:eastAsia="Times New Roman" w:hAnsi="Times New Roman"/>
          <w:sz w:val="22"/>
          <w:szCs w:val="22"/>
          <w:color w:val="auto"/>
        </w:rPr>
        <w:t xml:space="preserve">” means any Contract to which any member of Seller Group is a party or by which any member of Seller Group is bound that, in each case, relates to the Business and also relates to any Retained Businesses, including, but not limited to, shared Contracts set forth on </w:t>
      </w:r>
      <w:r>
        <w:rPr>
          <w:rFonts w:ascii="Times New Roman" w:cs="Times New Roman" w:eastAsia="Times New Roman" w:hAnsi="Times New Roman"/>
          <w:sz w:val="22"/>
          <w:szCs w:val="22"/>
          <w:u w:val="single" w:color="auto"/>
          <w:color w:val="auto"/>
        </w:rPr>
        <w:t>Section 1.01(f)</w:t>
      </w:r>
      <w:r>
        <w:rPr>
          <w:rFonts w:ascii="Times New Roman" w:cs="Times New Roman" w:eastAsia="Times New Roman" w:hAnsi="Times New Roman"/>
          <w:sz w:val="22"/>
          <w:szCs w:val="22"/>
          <w:color w:val="auto"/>
        </w:rPr>
        <w:t xml:space="preserve"> of the Disclosure Letter.</w:t>
      </w:r>
    </w:p>
    <w:p>
      <w:pPr>
        <w:spacing w:after="0" w:line="16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Shared Services and Assets</w:t>
      </w:r>
      <w:r>
        <w:rPr>
          <w:rFonts w:ascii="Times New Roman" w:cs="Times New Roman" w:eastAsia="Times New Roman" w:hAnsi="Times New Roman"/>
          <w:sz w:val="22"/>
          <w:szCs w:val="22"/>
          <w:color w:val="auto"/>
        </w:rPr>
        <w:t xml:space="preserve">” means the assets and services that any member of Seller Group provides or makes available, both (a) to the Business, and (b) to any Retained Businesses, in each case, to the extent the assets and services are (i) provided under the Transition Services Agreement or (ii) are assets and services that are otherwise set forth in </w:t>
      </w:r>
      <w:r>
        <w:rPr>
          <w:rFonts w:ascii="Times New Roman" w:cs="Times New Roman" w:eastAsia="Times New Roman" w:hAnsi="Times New Roman"/>
          <w:sz w:val="22"/>
          <w:szCs w:val="22"/>
          <w:u w:val="single" w:color="auto"/>
          <w:color w:val="auto"/>
        </w:rPr>
        <w:t>Section 1.01(g)</w:t>
      </w:r>
      <w:r>
        <w:rPr>
          <w:rFonts w:ascii="Times New Roman" w:cs="Times New Roman" w:eastAsia="Times New Roman" w:hAnsi="Times New Roman"/>
          <w:sz w:val="22"/>
          <w:szCs w:val="22"/>
          <w:color w:val="auto"/>
        </w:rPr>
        <w:t xml:space="preserve"> of the Disclosure Letter, and in all cases, notwithstanding the foregoing, excluding any Shared Contracts and other assets and services primarily related to the Business.</w:t>
      </w:r>
    </w:p>
    <w:p>
      <w:pPr>
        <w:spacing w:after="0" w:line="17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Software</w:t>
      </w:r>
      <w:r>
        <w:rPr>
          <w:rFonts w:ascii="Times New Roman" w:cs="Times New Roman" w:eastAsia="Times New Roman" w:hAnsi="Times New Roman"/>
          <w:sz w:val="22"/>
          <w:szCs w:val="22"/>
          <w:color w:val="auto"/>
        </w:rPr>
        <w:t>” means all (a) computer programs, including any software implementations of algorithms, models and methodologies, whether in source code or object code, (b) databases and compilations, including any data and collection of data, whether machine readable or otherwise and (c) descriptions, flow-charts, and other work product used to design, plan, organize and develop any of the foregoing.</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Straddle Period</w:t>
      </w:r>
      <w:r>
        <w:rPr>
          <w:rFonts w:ascii="Times New Roman" w:cs="Times New Roman" w:eastAsia="Times New Roman" w:hAnsi="Times New Roman"/>
          <w:sz w:val="22"/>
          <w:szCs w:val="22"/>
          <w:color w:val="auto"/>
        </w:rPr>
        <w:t>” means any taxable period that includes but does not end on the Closing Date.</w:t>
      </w:r>
    </w:p>
    <w:p>
      <w:pPr>
        <w:spacing w:after="0" w:line="22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when used with respect to any Person, means any corporation, limited liability company, partnership, association, trust or other entity of which securities or other ownership interests representing more than 50% of the ordinary voting power (or, in the case of a partnership, more than 50%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- 12 -</w:t>
      </w:r>
    </w:p>
    <w:p>
      <w:pPr>
        <w:sectPr>
          <w:pgSz w:w="11900" w:h="16838" w:orient="portrait"/>
          <w:cols w:equalWidth="0" w:num="1">
            <w:col w:w="11240"/>
          </w:cols>
          <w:pgMar w:left="320" w:top="1422" w:right="339" w:bottom="1440" w:gutter="0" w:footer="0" w:header="0"/>
        </w:sectPr>
      </w:pPr>
    </w:p>
    <w:bookmarkStart w:id="81" w:name="page82"/>
    <w:bookmarkEnd w:id="81"/>
    <w:p>
      <w:pPr>
        <w:jc w:val="both"/>
        <w:spacing w:after="0" w:line="271" w:lineRule="auto"/>
        <w:rPr>
          <w:sz w:val="20"/>
          <w:szCs w:val="20"/>
          <w:color w:val="auto"/>
        </w:rPr>
      </w:pPr>
      <w:r>
        <w:rPr>
          <w:rFonts w:ascii="Times New Roman" w:cs="Times New Roman" w:eastAsia="Times New Roman" w:hAnsi="Times New Roman"/>
          <w:sz w:val="22"/>
          <w:szCs w:val="22"/>
          <w:color w:val="auto"/>
        </w:rPr>
        <w:t>the general partnership interests) are, as of such date, owned by such Person or one or more Subsidiaries of such Person or by such Person and one or more Subsidiaries of such Person.</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Target Working Capital</w:t>
      </w:r>
      <w:r>
        <w:rPr>
          <w:rFonts w:ascii="Times New Roman" w:cs="Times New Roman" w:eastAsia="Times New Roman" w:hAnsi="Times New Roman"/>
          <w:sz w:val="22"/>
          <w:szCs w:val="22"/>
          <w:color w:val="auto"/>
        </w:rPr>
        <w:t>” means $123,000,000.</w:t>
      </w:r>
    </w:p>
    <w:p>
      <w:pPr>
        <w:spacing w:after="0" w:line="233"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w:t>
      </w:r>
      <w:r>
        <w:rPr>
          <w:rFonts w:ascii="Times New Roman" w:cs="Times New Roman" w:eastAsia="Times New Roman" w:hAnsi="Times New Roman"/>
          <w:sz w:val="22"/>
          <w:szCs w:val="22"/>
          <w:color w:val="auto"/>
        </w:rPr>
        <w:t>” means any U.S. federal, state or local or non-U.S. tax, assessment, fee, levy, duty, tariff, impost, withholding or other similar charge in the nature of a tax imposed by a Governmental Authority, including any income, gross receipts, property, sales, use, capital stock, social security, value added, goods and services, profits, license, payroll, employment, excise, premium, property, capital gains, transfer, stamp, environmental, customs, duties, alternative or add-on minimum, estimated, escheat or unclaimed property, capital, capital gain, franchise or occupation tax, assessment, levy, duty, tariff, impost, withholding or other similar charge in the nature of a tax, together with any interest, penalty and addition thereto.</w:t>
      </w:r>
    </w:p>
    <w:p>
      <w:pPr>
        <w:spacing w:after="0" w:line="181"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Action</w:t>
      </w:r>
      <w:r>
        <w:rPr>
          <w:rFonts w:ascii="Times New Roman" w:cs="Times New Roman" w:eastAsia="Times New Roman" w:hAnsi="Times New Roman"/>
          <w:sz w:val="22"/>
          <w:szCs w:val="22"/>
          <w:color w:val="auto"/>
        </w:rPr>
        <w:t>” means any audit, examination, contest, litigation or other proceeding with or against any Governmental Authority responsible for the imposition, collection or administration of any Tax.</w:t>
      </w:r>
    </w:p>
    <w:p>
      <w:pPr>
        <w:spacing w:after="0" w:line="15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Return</w:t>
      </w:r>
      <w:r>
        <w:rPr>
          <w:rFonts w:ascii="Times New Roman" w:cs="Times New Roman" w:eastAsia="Times New Roman" w:hAnsi="Times New Roman"/>
          <w:sz w:val="22"/>
          <w:szCs w:val="22"/>
          <w:color w:val="auto"/>
        </w:rPr>
        <w:t>” means any return, form, statement, report, information return, disclosure, claim or declaration, including any supplement, schedule or attachment thereto and any amendment thereof, with respect to Taxes that is filed or required to be filed with a Governmental Authority.</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Technical Data Sheets</w:t>
      </w:r>
      <w:r>
        <w:rPr>
          <w:rFonts w:ascii="Times New Roman" w:cs="Times New Roman" w:eastAsia="Times New Roman" w:hAnsi="Times New Roman"/>
          <w:sz w:val="21"/>
          <w:szCs w:val="21"/>
          <w:color w:val="auto"/>
        </w:rPr>
        <w:t>” means all technical data sheets (TDS) available on goodyearchemical.com on or after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hereof.</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Loan Commitment Letter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5.04(a)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Third-Party Specifications</w:t>
      </w:r>
      <w:r>
        <w:rPr>
          <w:rFonts w:ascii="Times New Roman" w:cs="Times New Roman" w:eastAsia="Times New Roman" w:hAnsi="Times New Roman"/>
          <w:sz w:val="22"/>
          <w:szCs w:val="22"/>
          <w:color w:val="auto"/>
        </w:rPr>
        <w:t>” means all specifications related to any products that Seller Entities make, sell, offer to sell, export, distribute or otherwise make available to any third Person.</w:t>
      </w:r>
    </w:p>
    <w:p>
      <w:pPr>
        <w:spacing w:after="0" w:line="17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Top Customer</w:t>
      </w:r>
      <w:r>
        <w:rPr>
          <w:rFonts w:ascii="Times New Roman" w:cs="Times New Roman" w:eastAsia="Times New Roman" w:hAnsi="Times New Roman"/>
          <w:sz w:val="22"/>
          <w:szCs w:val="22"/>
          <w:color w:val="auto"/>
        </w:rPr>
        <w:t>” means (i) Seller and any of its Affiliates and (ii) any other customer whose gross purchases from the Business in either (a) calendar year 2023, (b) calendar year 2024, or (c) the three (3)-month period ended March 31, 2025 places such customer within the top ten (10) customers (excluding Seller and any of its Affiliates) to the Business, taken as a whole, during either such period.</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Top Distributor</w:t>
      </w:r>
      <w:r>
        <w:rPr>
          <w:rFonts w:ascii="Times New Roman" w:cs="Times New Roman" w:eastAsia="Times New Roman" w:hAnsi="Times New Roman"/>
          <w:sz w:val="21"/>
          <w:szCs w:val="21"/>
          <w:color w:val="auto"/>
        </w:rPr>
        <w:t>” means a distributor from whom the aggregate dollar amounts received by the Business in either</w:t>
      </w:r>
    </w:p>
    <w:p>
      <w:pPr>
        <w:spacing w:after="0" w:line="41" w:lineRule="exact"/>
        <w:rPr>
          <w:sz w:val="20"/>
          <w:szCs w:val="20"/>
          <w:color w:val="auto"/>
        </w:rPr>
      </w:pPr>
    </w:p>
    <w:p>
      <w:pPr>
        <w:ind w:right="20" w:firstLine="8"/>
        <w:spacing w:after="0" w:line="259" w:lineRule="auto"/>
        <w:tabs>
          <w:tab w:leader="none" w:pos="309"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calendar year 2023, (b) calendar year 2024, or (c) the three (3)-month period ended March 31, 2025 places such distributor within the top ten (10) distributors to the Business, taken as a whole, during either such period.</w:t>
      </w:r>
    </w:p>
    <w:p>
      <w:pPr>
        <w:spacing w:after="0" w:line="17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Top Supplier</w:t>
      </w:r>
      <w:r>
        <w:rPr>
          <w:rFonts w:ascii="Times New Roman" w:cs="Times New Roman" w:eastAsia="Times New Roman" w:hAnsi="Times New Roman"/>
          <w:sz w:val="22"/>
          <w:szCs w:val="22"/>
          <w:color w:val="auto"/>
        </w:rPr>
        <w:t>” means a supplier whose gross sales to the Business in either (a) calendar year 2023, (b) calendar year 2024, or (c) the three (3)-month period ended March 31, 2025 places such supplier within the top ten (10) suppliers to the Business, taken as a whole, during either such period.</w:t>
      </w:r>
    </w:p>
    <w:p>
      <w:pPr>
        <w:spacing w:after="0" w:line="17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Trademarks</w:t>
      </w:r>
      <w:r>
        <w:rPr>
          <w:rFonts w:ascii="Times New Roman" w:cs="Times New Roman" w:eastAsia="Times New Roman" w:hAnsi="Times New Roman"/>
          <w:sz w:val="22"/>
          <w:szCs w:val="22"/>
          <w:color w:val="auto"/>
        </w:rPr>
        <w:t>” means trademarks, service marks, logos and design marks, trade dress, trade names, fictitious and other business names, slogans, Domain Names, and brand names, and product and technology designations, or any other indicator of source or origin, together with all goodwill associated with any of the foregoing, and any and all common law rights, registrations, and applications therefor.</w:t>
      </w:r>
    </w:p>
    <w:p>
      <w:pPr>
        <w:sectPr>
          <w:pgSz w:w="11900" w:h="16838" w:orient="portrait"/>
          <w:cols w:equalWidth="0" w:num="1">
            <w:col w:w="11240"/>
          </w:cols>
          <w:pgMar w:left="320" w:top="14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- 13 -</w:t>
      </w:r>
    </w:p>
    <w:p>
      <w:pPr>
        <w:sectPr>
          <w:pgSz w:w="11900" w:h="16838" w:orient="portrait"/>
          <w:cols w:equalWidth="0" w:num="1">
            <w:col w:w="11240"/>
          </w:cols>
          <w:pgMar w:left="320" w:top="1422" w:right="339" w:bottom="1440" w:gutter="0" w:footer="0" w:header="0"/>
          <w:type w:val="continuous"/>
        </w:sectPr>
      </w:pPr>
    </w:p>
    <w:bookmarkStart w:id="82" w:name="page83"/>
    <w:bookmarkEnd w:id="82"/>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Documents</w:t>
      </w:r>
      <w:r>
        <w:rPr>
          <w:rFonts w:ascii="Times New Roman" w:cs="Times New Roman" w:eastAsia="Times New Roman" w:hAnsi="Times New Roman"/>
          <w:sz w:val="22"/>
          <w:szCs w:val="22"/>
          <w:color w:val="auto"/>
        </w:rPr>
        <w:t>” means, collectively, this Agreement and the agreements and instruments executed and delivered in connection with the Transactions, including the Ancillary Agreements and the other documents and agreements contemplated hereby and thereby.</w:t>
      </w:r>
    </w:p>
    <w:p>
      <w:pPr>
        <w:spacing w:after="0" w:line="18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Transactions</w:t>
      </w:r>
      <w:r>
        <w:rPr>
          <w:rFonts w:ascii="Times New Roman" w:cs="Times New Roman" w:eastAsia="Times New Roman" w:hAnsi="Times New Roman"/>
          <w:sz w:val="22"/>
          <w:szCs w:val="22"/>
          <w:color w:val="auto"/>
        </w:rPr>
        <w:t>” means the consummation of the purchase and sale of the Transferred Assets and the assumption of the Assumed Liabilities and the other transactions contemplated by this Agreement and the other Transaction Documents.</w:t>
      </w:r>
    </w:p>
    <w:p>
      <w:pPr>
        <w:spacing w:after="0" w:line="15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Transferred Copyrights</w:t>
      </w:r>
      <w:r>
        <w:rPr>
          <w:rFonts w:ascii="Times New Roman" w:cs="Times New Roman" w:eastAsia="Times New Roman" w:hAnsi="Times New Roman"/>
          <w:sz w:val="22"/>
          <w:szCs w:val="22"/>
          <w:color w:val="auto"/>
        </w:rPr>
        <w:t xml:space="preserve">” means as of the Closing Date, (a) all Copyrights set forth in </w:t>
      </w:r>
      <w:r>
        <w:rPr>
          <w:rFonts w:ascii="Times New Roman" w:cs="Times New Roman" w:eastAsia="Times New Roman" w:hAnsi="Times New Roman"/>
          <w:sz w:val="22"/>
          <w:szCs w:val="22"/>
          <w:u w:val="single" w:color="auto"/>
          <w:color w:val="auto"/>
        </w:rPr>
        <w:t>Section 1.01(h)</w:t>
      </w:r>
      <w:r>
        <w:rPr>
          <w:rFonts w:ascii="Times New Roman" w:cs="Times New Roman" w:eastAsia="Times New Roman" w:hAnsi="Times New Roman"/>
          <w:sz w:val="22"/>
          <w:szCs w:val="22"/>
          <w:color w:val="auto"/>
        </w:rPr>
        <w:t xml:space="preserve"> of the Disclosure Letter and (b) all other Copyrights primarily or exclusively related to, or used or held for use, in each case, primarily or exclusively, in the Business, including all Copyrights in the Transferred Software.</w:t>
      </w:r>
    </w:p>
    <w:p>
      <w:pPr>
        <w:spacing w:after="0" w:line="18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Transferred Employee</w:t>
      </w:r>
      <w:r>
        <w:rPr>
          <w:rFonts w:ascii="Times New Roman" w:cs="Times New Roman" w:eastAsia="Times New Roman" w:hAnsi="Times New Roman"/>
          <w:sz w:val="22"/>
          <w:szCs w:val="22"/>
          <w:color w:val="auto"/>
        </w:rPr>
        <w:t xml:space="preserve">” means each Offer Employee who, as of the Closing Date (or, if applicable, such later date that such employee commences employment with Purchaser or one of its Affiliates), (a) accepts Purchaser’s or one of its Affiliate’s offer of employment pursuant to </w:t>
      </w:r>
      <w:r>
        <w:rPr>
          <w:rFonts w:ascii="Times New Roman" w:cs="Times New Roman" w:eastAsia="Times New Roman" w:hAnsi="Times New Roman"/>
          <w:sz w:val="22"/>
          <w:szCs w:val="22"/>
          <w:u w:val="single" w:color="auto"/>
          <w:color w:val="auto"/>
        </w:rPr>
        <w:t>Section 7.06(b)</w:t>
      </w:r>
      <w:r>
        <w:rPr>
          <w:rFonts w:ascii="Times New Roman" w:cs="Times New Roman" w:eastAsia="Times New Roman" w:hAnsi="Times New Roman"/>
          <w:sz w:val="22"/>
          <w:szCs w:val="22"/>
          <w:color w:val="auto"/>
        </w:rPr>
        <w:t xml:space="preserve"> and (b) commences employment with Purchaser or one of its Affiliates.</w:t>
      </w:r>
    </w:p>
    <w:p>
      <w:pPr>
        <w:spacing w:after="0" w:line="17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Transferred Intellectual Property</w:t>
      </w:r>
      <w:r>
        <w:rPr>
          <w:rFonts w:ascii="Times New Roman" w:cs="Times New Roman" w:eastAsia="Times New Roman" w:hAnsi="Times New Roman"/>
          <w:sz w:val="22"/>
          <w:szCs w:val="22"/>
          <w:color w:val="auto"/>
        </w:rPr>
        <w:t>” means (a) the Transferred Patents, (b) the Transferred Trademarks, (c) the Transferred Copyrights, (d) the Transferred Know-How and (e) the Transferred Software, and (f) any other Intellectual Property owned by any member of the Seller Group and developed for, or primarily or exclusively related to, or used or held for use in the Business.</w:t>
      </w:r>
    </w:p>
    <w:p>
      <w:pPr>
        <w:spacing w:after="0" w:line="176"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Transferred Know-How</w:t>
      </w:r>
      <w:r>
        <w:rPr>
          <w:rFonts w:ascii="Times New Roman" w:cs="Times New Roman" w:eastAsia="Times New Roman" w:hAnsi="Times New Roman"/>
          <w:sz w:val="21"/>
          <w:szCs w:val="21"/>
          <w:color w:val="auto"/>
        </w:rPr>
        <w:t xml:space="preserve">” means, as of Closing, Know-How that is (a) located at or used at, and primarily or exclusively related to the Business at the In-Scope Facilities, including the Transferred R&amp;D Know-How, (b) included, described, or embodied in any specifications or data sheets (whether or not publicly available) related to Polymer Chemicals or the Products, including the Technical Data Sheets or Third-Party Specifications, or (c) otherwise in the possession or control of any member of the Seller Group, and primarily or exclusively related to, or used or held for use by, the Business, including the Know-How embodied in, or covered by, the Products (as defined in the Supply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 Transferred Know-How shall not include any Know-How that is primarily or exclusively relating to any of the Retained Businesses and (ii) Transferred Know-How shall exclude the specification limits set forth in the Specifications (as defined in the Supply Agreement) and Dual Use Specifications, but shall include any Know-How related to the manufacturing, formulation, or other technical aspects of the Products that may be reflected in such Specifications (as defined in the Supply Agreement) and Dual Use Specifications.</w:t>
      </w:r>
    </w:p>
    <w:p>
      <w:pPr>
        <w:spacing w:after="0" w:line="172"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Transferred Patents</w:t>
      </w:r>
      <w:r>
        <w:rPr>
          <w:rFonts w:ascii="Times New Roman" w:cs="Times New Roman" w:eastAsia="Times New Roman" w:hAnsi="Times New Roman"/>
          <w:sz w:val="22"/>
          <w:szCs w:val="22"/>
          <w:color w:val="auto"/>
        </w:rPr>
        <w:t xml:space="preserve">” means, to the extent owned by any member of the Seller Entities, (a) all Patent rights set forth in </w:t>
      </w:r>
      <w:r>
        <w:rPr>
          <w:rFonts w:ascii="Times New Roman" w:cs="Times New Roman" w:eastAsia="Times New Roman" w:hAnsi="Times New Roman"/>
          <w:sz w:val="22"/>
          <w:szCs w:val="22"/>
          <w:u w:val="single" w:color="auto"/>
          <w:color w:val="auto"/>
        </w:rPr>
        <w:t>Section 1.01(i)</w:t>
      </w:r>
      <w:r>
        <w:rPr>
          <w:rFonts w:ascii="Times New Roman" w:cs="Times New Roman" w:eastAsia="Times New Roman" w:hAnsi="Times New Roman"/>
          <w:sz w:val="22"/>
          <w:szCs w:val="22"/>
          <w:color w:val="auto"/>
        </w:rPr>
        <w:t xml:space="preserve"> of the Disclosure Letter and (b) all other Patent rights primarily related to, or used or held for use in, the Business.</w:t>
      </w:r>
    </w:p>
    <w:p>
      <w:pPr>
        <w:spacing w:after="0" w:line="17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Transferred R&amp;D Know-How</w:t>
      </w:r>
      <w:r>
        <w:rPr>
          <w:rFonts w:ascii="Times New Roman" w:cs="Times New Roman" w:eastAsia="Times New Roman" w:hAnsi="Times New Roman"/>
          <w:sz w:val="22"/>
          <w:szCs w:val="22"/>
          <w:color w:val="auto"/>
        </w:rPr>
        <w:t xml:space="preserve">” means as of Closing, Know-How that is owned, possessed, or controlled by any member of the Seller Entities for its research and development projects at the Archwood R&amp;D Facility related to Polymer Chemicals as set forth in </w:t>
      </w:r>
      <w:r>
        <w:rPr>
          <w:rFonts w:ascii="Times New Roman" w:cs="Times New Roman" w:eastAsia="Times New Roman" w:hAnsi="Times New Roman"/>
          <w:sz w:val="22"/>
          <w:szCs w:val="22"/>
          <w:u w:val="single" w:color="auto"/>
          <w:color w:val="auto"/>
        </w:rPr>
        <w:t>Section 1.01(j)</w:t>
      </w:r>
      <w:r>
        <w:rPr>
          <w:rFonts w:ascii="Times New Roman" w:cs="Times New Roman" w:eastAsia="Times New Roman" w:hAnsi="Times New Roman"/>
          <w:sz w:val="22"/>
          <w:szCs w:val="22"/>
          <w:color w:val="auto"/>
        </w:rPr>
        <w:t xml:space="preserve"> of the Disclosure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- 14 -</w:t>
      </w:r>
    </w:p>
    <w:p>
      <w:pPr>
        <w:sectPr>
          <w:pgSz w:w="11900" w:h="16838" w:orient="portrait"/>
          <w:cols w:equalWidth="0" w:num="1">
            <w:col w:w="11240"/>
          </w:cols>
          <w:pgMar w:left="320" w:top="1422" w:right="339" w:bottom="1440" w:gutter="0" w:footer="0" w:header="0"/>
        </w:sectPr>
      </w:pPr>
    </w:p>
    <w:bookmarkStart w:id="83" w:name="page84"/>
    <w:bookmarkEnd w:id="83"/>
    <w:p>
      <w:pPr>
        <w:jc w:val="both"/>
        <w:ind w:firstLine="1296"/>
        <w:spacing w:after="0" w:line="27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Transferred Trademarks</w:t>
      </w:r>
      <w:r>
        <w:rPr>
          <w:rFonts w:ascii="Times New Roman" w:cs="Times New Roman" w:eastAsia="Times New Roman" w:hAnsi="Times New Roman"/>
          <w:sz w:val="21"/>
          <w:szCs w:val="21"/>
          <w:color w:val="auto"/>
        </w:rPr>
        <w:t xml:space="preserve">” means as of Closing, other than Seller Retained Trademarks, and to the extent owned by Seller or its Affiliates, (a) all Trademarks set forth in </w:t>
      </w:r>
      <w:r>
        <w:rPr>
          <w:rFonts w:ascii="Times New Roman" w:cs="Times New Roman" w:eastAsia="Times New Roman" w:hAnsi="Times New Roman"/>
          <w:sz w:val="21"/>
          <w:szCs w:val="21"/>
          <w:u w:val="single" w:color="auto"/>
          <w:color w:val="auto"/>
        </w:rPr>
        <w:t>Section 1.01(k)</w:t>
      </w:r>
      <w:r>
        <w:rPr>
          <w:rFonts w:ascii="Times New Roman" w:cs="Times New Roman" w:eastAsia="Times New Roman" w:hAnsi="Times New Roman"/>
          <w:sz w:val="21"/>
          <w:szCs w:val="21"/>
          <w:color w:val="auto"/>
        </w:rPr>
        <w:t xml:space="preserve"> of the Disclosure Letter and (b) all other Trademarks primarily or exclusively related to, or used or held for use, in each case primarily or exclusively, in connection with, the Business.</w:t>
      </w:r>
    </w:p>
    <w:p>
      <w:pPr>
        <w:spacing w:after="0" w:line="169"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Transition Services Agreement</w:t>
      </w:r>
      <w:r>
        <w:rPr>
          <w:rFonts w:ascii="Times New Roman" w:cs="Times New Roman" w:eastAsia="Times New Roman" w:hAnsi="Times New Roman"/>
          <w:sz w:val="22"/>
          <w:szCs w:val="22"/>
          <w:color w:val="auto"/>
        </w:rPr>
        <w:t xml:space="preserve">” means the transition services agreement, substantially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to be dated as of the Closing Date between Seller, on the one hand, and Purchaser, on the other hand.</w:t>
      </w:r>
    </w:p>
    <w:p>
      <w:pPr>
        <w:spacing w:after="0" w:line="15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Willful Breach</w:t>
      </w:r>
      <w:r>
        <w:rPr>
          <w:rFonts w:ascii="Times New Roman" w:cs="Times New Roman" w:eastAsia="Times New Roman" w:hAnsi="Times New Roman"/>
          <w:sz w:val="22"/>
          <w:szCs w:val="22"/>
          <w:color w:val="auto"/>
        </w:rPr>
        <w:t>” means a material breach of, or failure to perform any of the covenants or other agreements contained in, this Agreement that is a consequence of an act or failure to act by the breaching or non-performing party with actual knowledge, or knowledge that a Person acting reasonably under the circumstances should have, that such party’s act or failure to act (including acts or failures to act by a party’s Representative at the direction of such party) would, or would reasonably be expected to, result in or constitute a breach of or failure of performance under this Agreement.</w:t>
      </w:r>
    </w:p>
    <w:p>
      <w:pPr>
        <w:spacing w:after="0" w:line="179" w:lineRule="exact"/>
        <w:rPr>
          <w:sz w:val="20"/>
          <w:szCs w:val="20"/>
          <w:color w:val="auto"/>
        </w:rPr>
      </w:pPr>
    </w:p>
    <w:p>
      <w:pPr>
        <w:ind w:left="80" w:right="2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1.02 </w:t>
      </w:r>
      <w:r>
        <w:rPr>
          <w:rFonts w:ascii="Times New Roman" w:cs="Times New Roman" w:eastAsia="Times New Roman" w:hAnsi="Times New Roman"/>
          <w:sz w:val="22"/>
          <w:szCs w:val="22"/>
          <w:u w:val="single" w:color="auto"/>
          <w:color w:val="auto"/>
        </w:rPr>
        <w:t>Other Defined Terms</w:t>
      </w:r>
      <w:r>
        <w:rPr>
          <w:rFonts w:ascii="Times New Roman" w:cs="Times New Roman" w:eastAsia="Times New Roman" w:hAnsi="Times New Roman"/>
          <w:sz w:val="22"/>
          <w:szCs w:val="22"/>
          <w:color w:val="auto"/>
        </w:rPr>
        <w:t>. The following terms are defined in the Section of this Agreement set forth after such term in the table below:</w:t>
      </w:r>
    </w:p>
    <w:p>
      <w:pPr>
        <w:sectPr>
          <w:pgSz w:w="11900" w:h="16838" w:orient="portrait"/>
          <w:cols w:equalWidth="0" w:num="1">
            <w:col w:w="11240"/>
          </w:cols>
          <w:pgMar w:left="320" w:top="1422" w:right="339" w:bottom="1440" w:gutter="0" w:footer="0" w:header="0"/>
        </w:sect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u w:val="single" w:color="auto"/>
          <w:color w:val="auto"/>
        </w:rPr>
        <w:t>Terms Not Defined in Section 1.01</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u w:val="single" w:color="auto"/>
          <w:color w:val="auto"/>
        </w:rPr>
        <w:t>Acquisition Engagement</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u w:val="single" w:color="auto"/>
          <w:color w:val="auto"/>
        </w:rPr>
        <w:t>Action</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u w:val="single" w:color="auto"/>
          <w:color w:val="auto"/>
        </w:rPr>
        <w:t>Affiliate Agreement</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u w:val="single" w:color="auto"/>
          <w:color w:val="auto"/>
        </w:rPr>
        <w:t>Agreement</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u w:val="single" w:color="auto"/>
          <w:color w:val="auto"/>
        </w:rPr>
        <w:t>Allocation Schedule</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u w:val="single" w:color="auto"/>
          <w:color w:val="auto"/>
        </w:rPr>
        <w:t>Announcement</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u w:val="single" w:color="auto"/>
          <w:color w:val="auto"/>
        </w:rPr>
        <w:t>Assumed Employee Liabilities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u w:val="single" w:color="auto"/>
          <w:color w:val="auto"/>
        </w:rPr>
        <w:t>Assumed Liabilities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u w:val="single" w:color="auto"/>
          <w:color w:val="auto"/>
        </w:rPr>
        <w:t>Business DC Plan</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u w:val="single" w:color="auto"/>
          <w:color w:val="auto"/>
        </w:rPr>
        <w:t>Closing</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u w:val="single" w:color="auto"/>
          <w:color w:val="auto"/>
        </w:rPr>
        <w:t>Closing Date</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u w:val="single" w:color="auto"/>
          <w:color w:val="auto"/>
        </w:rPr>
        <w:t>Closing Purchase Price</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u w:val="single" w:color="auto"/>
          <w:color w:val="auto"/>
        </w:rPr>
        <w:t>Closing Statement</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u w:val="single" w:color="auto"/>
          <w:color w:val="auto"/>
        </w:rPr>
        <w:t>Confidentiality Agreement</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u w:val="single" w:color="auto"/>
          <w:color w:val="auto"/>
        </w:rPr>
        <w:t>Continuation Period</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u w:val="single" w:color="auto"/>
          <w:color w:val="auto"/>
        </w:rPr>
        <w:t>Contracting Parties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u w:val="single" w:color="auto"/>
          <w:color w:val="auto"/>
        </w:rPr>
        <w:t>Credit Support Items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u w:val="single" w:color="auto"/>
          <w:color w:val="auto"/>
        </w:rPr>
        <w:t>DC Employees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u w:val="single" w:color="auto"/>
          <w:color w:val="auto"/>
        </w:rPr>
        <w:t>Deed</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u w:val="single" w:color="auto"/>
          <w:color w:val="auto"/>
        </w:rPr>
        <w:t>Delayed Transferred Asset</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u w:val="single" w:color="auto"/>
          <w:color w:val="auto"/>
        </w:rPr>
        <w:t>Delayed Transferred Asset Arrangement</w:t>
      </w: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u w:val="single" w:color="auto"/>
          <w:color w:val="auto"/>
        </w:rPr>
        <w:t>Disclosure Letter</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u w:val="single" w:color="auto"/>
          <w:color w:val="auto"/>
        </w:rPr>
        <w:t>DOJ</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Section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11.13(a)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4.08</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7.09(b)</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Preamble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3.04(a)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7.02(a)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2.03(a)(vii)</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2.03(a)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7.06(d)(i)</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3.01</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3.01</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2.06</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2.08(a)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7.03(b)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7.06(c)(i)</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11.10</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4.06(e)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7.06(d)(i)</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3.03(a)(iv)</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2.04(a)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2.04(a)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IV</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7.01(b)</w:t>
      </w:r>
    </w:p>
    <w:p>
      <w:pPr>
        <w:spacing w:after="0" w:line="200" w:lineRule="exact"/>
        <w:rPr>
          <w:sz w:val="20"/>
          <w:szCs w:val="20"/>
          <w:color w:val="auto"/>
        </w:rPr>
      </w:pPr>
    </w:p>
    <w:p>
      <w:pPr>
        <w:sectPr>
          <w:pgSz w:w="11900" w:h="16838" w:orient="portrait"/>
          <w:cols w:equalWidth="0" w:num="2">
            <w:col w:w="6080" w:space="720"/>
            <w:col w:w="4440"/>
          </w:cols>
          <w:pgMar w:left="320" w:top="14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- 15 -</w:t>
      </w:r>
    </w:p>
    <w:p>
      <w:pPr>
        <w:sectPr>
          <w:pgSz w:w="11900" w:h="16838" w:orient="portrait"/>
          <w:cols w:equalWidth="0" w:num="1">
            <w:col w:w="11240"/>
          </w:cols>
          <w:pgMar w:left="320" w:top="1422" w:right="339" w:bottom="1440" w:gutter="0" w:footer="0" w:header="0"/>
          <w:type w:val="continuous"/>
        </w:sectPr>
      </w:pPr>
    </w:p>
    <w:bookmarkStart w:id="84" w:name="page85"/>
    <w:bookmarkEnd w:id="84"/>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Terms Not Defined in Section 1.01</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Effective Time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ERISA Affiliate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Estimated Closing Statement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Estimated Working Capital</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Excluded Assets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Excluded Contracts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Existing Counsel</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FCPA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Final Purchase Price Adjustment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Financing Termination Fee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FTC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HSR Approval</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Inactive Employee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Indemnified Party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Indemnifying Party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Inventory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IT Systems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Judgment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Laws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Lease Assignment and Assumption Agreement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Material Business Contract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Nonparty Affiliates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Notice of Disagreement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Offer Employee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Purchase Price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Purchaser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Purchaser DC Plan</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Purchaser Entity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Purchaser Indemnitees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Purchaser’s Cafeteria Plan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R&amp;W Insurance Policy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Registered Intellectual Property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Restraints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Retained Liabilities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Seller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Seller Indebtedness Release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Seller Indemnitees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Seller Qualified Plan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Seller’s Cafeteria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u w:val="single" w:color="auto"/>
          <w:color w:val="auto"/>
        </w:rPr>
        <w:t>Section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3.02</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4.11(d)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2.07</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2.07</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2.02(b)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2.02(b)(vi)</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11.13(a)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4.09(b)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2.08(e)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9.02(b)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7.01(b)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7.01(b)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7.06(b)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10.04(a)(i)</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10.04(a)(i)</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2.02(a)(ii)</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4.14(f)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4.08</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4.09(a)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3.03(a)(v)</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4.16(a)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11.10</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2.08(b)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7.06(b)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2.01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Preamble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7.06(d)(i)</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5.01</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10.02</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7.06(c)(vi)</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7.17</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4.14(a)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8.01(a)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2.03(b)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IV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Preamble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7.20(e)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10.03</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7.06(e)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7.06(c)(vi)</w:t>
      </w:r>
    </w:p>
    <w:p>
      <w:pPr>
        <w:spacing w:after="0" w:line="200" w:lineRule="exact"/>
        <w:rPr>
          <w:sz w:val="20"/>
          <w:szCs w:val="20"/>
          <w:color w:val="auto"/>
        </w:rPr>
      </w:pPr>
    </w:p>
    <w:p>
      <w:pPr>
        <w:sectPr>
          <w:pgSz w:w="11900" w:h="16838" w:orient="portrait"/>
          <w:cols w:equalWidth="0" w:num="2">
            <w:col w:w="6060" w:space="720"/>
            <w:col w:w="3339"/>
          </w:cols>
          <w:pgMar w:left="340" w:top="1440" w:right="1440" w:bottom="9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- 16 -</w:t>
      </w:r>
    </w:p>
    <w:p>
      <w:pPr>
        <w:sectPr>
          <w:pgSz w:w="11900" w:h="16838" w:orient="portrait"/>
          <w:cols w:equalWidth="0" w:num="1">
            <w:col w:w="10119"/>
          </w:cols>
          <w:pgMar w:left="340" w:top="1440" w:right="1440" w:bottom="910" w:gutter="0" w:footer="0" w:header="0"/>
          <w:type w:val="continuous"/>
        </w:sectPr>
      </w:pPr>
    </w:p>
    <w:bookmarkStart w:id="85" w:name="page86"/>
    <w:bookmarkEnd w:id="85"/>
    <w:tbl>
      <w:tblPr>
        <w:tblLayout w:type="fixed"/>
        <w:tblInd w:w="0" w:type="dxa"/>
        <w:tblCellMar>
          <w:top w:w="0" w:type="dxa"/>
          <w:left w:w="0" w:type="dxa"/>
          <w:bottom w:w="0" w:type="dxa"/>
          <w:right w:w="0" w:type="dxa"/>
        </w:tblCellMar>
      </w:tblPr>
      <w:tr>
        <w:trPr>
          <w:trHeight w:val="273"/>
        </w:trPr>
        <w:tc>
          <w:tcPr>
            <w:tcW w:w="6780" w:type="dxa"/>
            <w:vAlign w:val="bottom"/>
            <w:gridSpan w:val="19"/>
          </w:tcPr>
          <w:p>
            <w:pPr>
              <w:spacing w:after="0"/>
              <w:rPr>
                <w:sz w:val="20"/>
                <w:szCs w:val="20"/>
                <w:color w:val="auto"/>
              </w:rPr>
            </w:pPr>
            <w:r>
              <w:rPr>
                <w:rFonts w:ascii="Times New Roman" w:cs="Times New Roman" w:eastAsia="Times New Roman" w:hAnsi="Times New Roman"/>
                <w:sz w:val="22"/>
                <w:szCs w:val="22"/>
                <w:color w:val="auto"/>
              </w:rPr>
              <w:t>Terms Not Defined in Section 1.01</w:t>
            </w:r>
          </w:p>
        </w:tc>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6"/>
              </w:rPr>
              <w:t>Section</w:t>
            </w:r>
          </w:p>
        </w:tc>
        <w:tc>
          <w:tcPr>
            <w:tcW w:w="1040" w:type="dxa"/>
            <w:vAlign w:val="bottom"/>
          </w:tcPr>
          <w:p>
            <w:pPr>
              <w:spacing w:after="0"/>
              <w:rPr>
                <w:sz w:val="23"/>
                <w:szCs w:val="23"/>
                <w:color w:val="auto"/>
              </w:rPr>
            </w:pPr>
          </w:p>
        </w:tc>
      </w:tr>
      <w:tr>
        <w:trPr>
          <w:trHeight w:val="20"/>
        </w:trPr>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1"/>
        </w:trPr>
        <w:tc>
          <w:tcPr>
            <w:tcW w:w="660" w:type="dxa"/>
            <w:vAlign w:val="bottom"/>
            <w:tcBorders>
              <w:bottom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w w:val="95"/>
              </w:rPr>
              <w:t>Solvent</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40" w:type="dxa"/>
            <w:vAlign w:val="bottom"/>
            <w:gridSpan w:val="2"/>
          </w:tcPr>
          <w:p>
            <w:pPr>
              <w:spacing w:after="0"/>
              <w:rPr>
                <w:sz w:val="21"/>
                <w:szCs w:val="21"/>
                <w:color w:val="auto"/>
              </w:rPr>
            </w:pPr>
          </w:p>
        </w:tc>
        <w:tc>
          <w:tcPr>
            <w:tcW w:w="1700" w:type="dxa"/>
            <w:vAlign w:val="bottom"/>
            <w:gridSpan w:val="2"/>
          </w:tcPr>
          <w:p>
            <w:pPr>
              <w:spacing w:after="0" w:line="250" w:lineRule="exact"/>
              <w:rPr>
                <w:sz w:val="20"/>
                <w:szCs w:val="20"/>
                <w:color w:val="auto"/>
              </w:rPr>
            </w:pPr>
            <w:r>
              <w:rPr>
                <w:rFonts w:ascii="Times New Roman" w:cs="Times New Roman" w:eastAsia="Times New Roman" w:hAnsi="Times New Roman"/>
                <w:sz w:val="22"/>
                <w:szCs w:val="22"/>
                <w:color w:val="auto"/>
              </w:rPr>
              <w:t>Section 5.05</w:t>
            </w:r>
          </w:p>
        </w:tc>
      </w:tr>
      <w:tr>
        <w:trPr>
          <w:trHeight w:val="291"/>
        </w:trPr>
        <w:tc>
          <w:tcPr>
            <w:tcW w:w="15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22"/>
                <w:szCs w:val="22"/>
                <w:color w:val="auto"/>
                <w:w w:val="96"/>
              </w:rPr>
              <w:t>Termination Date</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40" w:type="dxa"/>
            <w:vAlign w:val="bottom"/>
            <w:gridSpan w:val="2"/>
          </w:tcPr>
          <w:p>
            <w:pPr>
              <w:spacing w:after="0"/>
              <w:rPr>
                <w:sz w:val="24"/>
                <w:szCs w:val="24"/>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9.01(b)(i)</w:t>
            </w:r>
          </w:p>
        </w:tc>
      </w:tr>
      <w:tr>
        <w:trPr>
          <w:trHeight w:val="290"/>
        </w:trPr>
        <w:tc>
          <w:tcPr>
            <w:tcW w:w="15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22"/>
                <w:szCs w:val="22"/>
                <w:color w:val="auto"/>
                <w:w w:val="97"/>
              </w:rPr>
              <w:t>Third Party Claim</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40" w:type="dxa"/>
            <w:vAlign w:val="bottom"/>
            <w:gridSpan w:val="2"/>
          </w:tcPr>
          <w:p>
            <w:pPr>
              <w:spacing w:after="0"/>
              <w:rPr>
                <w:sz w:val="24"/>
                <w:szCs w:val="24"/>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10.04(a)(i)</w:t>
            </w:r>
          </w:p>
        </w:tc>
      </w:tr>
      <w:tr>
        <w:trPr>
          <w:trHeight w:val="291"/>
        </w:trPr>
        <w:tc>
          <w:tcPr>
            <w:tcW w:w="12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w w:val="95"/>
              </w:rPr>
              <w:t>Transfer Taxes</w:t>
            </w:r>
          </w:p>
        </w:tc>
        <w:tc>
          <w:tcPr>
            <w:tcW w:w="34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40" w:type="dxa"/>
            <w:vAlign w:val="bottom"/>
            <w:gridSpan w:val="2"/>
          </w:tcPr>
          <w:p>
            <w:pPr>
              <w:spacing w:after="0"/>
              <w:rPr>
                <w:sz w:val="24"/>
                <w:szCs w:val="24"/>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7.10(a)</w:t>
            </w:r>
          </w:p>
        </w:tc>
      </w:tr>
      <w:tr>
        <w:trPr>
          <w:trHeight w:val="290"/>
        </w:trPr>
        <w:tc>
          <w:tcPr>
            <w:tcW w:w="162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22"/>
                <w:szCs w:val="22"/>
                <w:color w:val="auto"/>
                <w:w w:val="96"/>
              </w:rPr>
              <w:t>Transferred Assets</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40" w:type="dxa"/>
            <w:vAlign w:val="bottom"/>
            <w:gridSpan w:val="2"/>
          </w:tcPr>
          <w:p>
            <w:pPr>
              <w:spacing w:after="0"/>
              <w:rPr>
                <w:sz w:val="24"/>
                <w:szCs w:val="24"/>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2.02(a)</w:t>
            </w:r>
          </w:p>
        </w:tc>
      </w:tr>
      <w:tr>
        <w:trPr>
          <w:trHeight w:val="291"/>
        </w:trPr>
        <w:tc>
          <w:tcPr>
            <w:tcW w:w="188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22"/>
                <w:szCs w:val="22"/>
                <w:color w:val="auto"/>
                <w:w w:val="96"/>
              </w:rPr>
              <w:t>Transferred Contracts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40" w:type="dxa"/>
            <w:vAlign w:val="bottom"/>
            <w:gridSpan w:val="2"/>
          </w:tcPr>
          <w:p>
            <w:pPr>
              <w:spacing w:after="0"/>
              <w:rPr>
                <w:sz w:val="24"/>
                <w:szCs w:val="24"/>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2.02(a)(xi)</w:t>
            </w:r>
          </w:p>
        </w:tc>
      </w:tr>
      <w:tr>
        <w:trPr>
          <w:trHeight w:val="290"/>
        </w:trPr>
        <w:tc>
          <w:tcPr>
            <w:tcW w:w="12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w w:val="96"/>
              </w:rPr>
              <w:t>Transferred IT</w:t>
            </w:r>
          </w:p>
        </w:tc>
        <w:tc>
          <w:tcPr>
            <w:tcW w:w="460" w:type="dxa"/>
            <w:vAlign w:val="bottom"/>
            <w:gridSpan w:val="5"/>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40" w:type="dxa"/>
            <w:vAlign w:val="bottom"/>
            <w:gridSpan w:val="2"/>
          </w:tcPr>
          <w:p>
            <w:pPr>
              <w:spacing w:after="0"/>
              <w:rPr>
                <w:sz w:val="24"/>
                <w:szCs w:val="24"/>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2.02(a)(x)</w:t>
            </w:r>
          </w:p>
        </w:tc>
      </w:tr>
      <w:tr>
        <w:trPr>
          <w:trHeight w:val="291"/>
        </w:trPr>
        <w:tc>
          <w:tcPr>
            <w:tcW w:w="2920" w:type="dxa"/>
            <w:vAlign w:val="bottom"/>
            <w:tcBorders>
              <w:bottom w:val="single" w:sz="8" w:color="auto"/>
            </w:tcBorders>
            <w:gridSpan w:val="16"/>
          </w:tcPr>
          <w:p>
            <w:pPr>
              <w:spacing w:after="0"/>
              <w:rPr>
                <w:sz w:val="20"/>
                <w:szCs w:val="20"/>
                <w:color w:val="auto"/>
              </w:rPr>
            </w:pPr>
            <w:r>
              <w:rPr>
                <w:rFonts w:ascii="Times New Roman" w:cs="Times New Roman" w:eastAsia="Times New Roman" w:hAnsi="Times New Roman"/>
                <w:sz w:val="22"/>
                <w:szCs w:val="22"/>
                <w:color w:val="auto"/>
                <w:w w:val="97"/>
              </w:rPr>
              <w:t>Transferred Leased Real Property</w:t>
            </w:r>
          </w:p>
        </w:tc>
        <w:tc>
          <w:tcPr>
            <w:tcW w:w="20" w:type="dxa"/>
            <w:vAlign w:val="bottom"/>
          </w:tcPr>
          <w:p>
            <w:pPr>
              <w:spacing w:after="0"/>
              <w:rPr>
                <w:sz w:val="24"/>
                <w:szCs w:val="24"/>
                <w:color w:val="auto"/>
              </w:rPr>
            </w:pPr>
          </w:p>
        </w:tc>
        <w:tc>
          <w:tcPr>
            <w:tcW w:w="3840" w:type="dxa"/>
            <w:vAlign w:val="bottom"/>
            <w:gridSpan w:val="2"/>
          </w:tcPr>
          <w:p>
            <w:pPr>
              <w:spacing w:after="0"/>
              <w:rPr>
                <w:sz w:val="24"/>
                <w:szCs w:val="24"/>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2.02(a)(i)</w:t>
            </w:r>
          </w:p>
        </w:tc>
      </w:tr>
      <w:tr>
        <w:trPr>
          <w:trHeight w:val="291"/>
        </w:trPr>
        <w:tc>
          <w:tcPr>
            <w:tcW w:w="2940" w:type="dxa"/>
            <w:vAlign w:val="bottom"/>
            <w:tcBorders>
              <w:bottom w:val="single" w:sz="8" w:color="auto"/>
            </w:tcBorders>
            <w:gridSpan w:val="17"/>
          </w:tcPr>
          <w:p>
            <w:pPr>
              <w:spacing w:after="0"/>
              <w:rPr>
                <w:sz w:val="20"/>
                <w:szCs w:val="20"/>
                <w:color w:val="auto"/>
              </w:rPr>
            </w:pPr>
            <w:r>
              <w:rPr>
                <w:rFonts w:ascii="Times New Roman" w:cs="Times New Roman" w:eastAsia="Times New Roman" w:hAnsi="Times New Roman"/>
                <w:sz w:val="22"/>
                <w:szCs w:val="22"/>
                <w:color w:val="auto"/>
                <w:w w:val="97"/>
              </w:rPr>
              <w:t>Transferred Owned Real Property</w:t>
            </w:r>
          </w:p>
        </w:tc>
        <w:tc>
          <w:tcPr>
            <w:tcW w:w="3840" w:type="dxa"/>
            <w:vAlign w:val="bottom"/>
            <w:gridSpan w:val="2"/>
          </w:tcPr>
          <w:p>
            <w:pPr>
              <w:spacing w:after="0"/>
              <w:rPr>
                <w:sz w:val="24"/>
                <w:szCs w:val="24"/>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2.02(a)(i)</w:t>
            </w:r>
          </w:p>
        </w:tc>
      </w:tr>
      <w:tr>
        <w:trPr>
          <w:trHeight w:val="290"/>
        </w:trPr>
        <w:tc>
          <w:tcPr>
            <w:tcW w:w="172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22"/>
                <w:szCs w:val="22"/>
                <w:color w:val="auto"/>
                <w:w w:val="96"/>
              </w:rPr>
              <w:t>Transferred Permits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80" w:type="dxa"/>
            <w:vAlign w:val="bottom"/>
            <w:gridSpan w:val="4"/>
          </w:tcPr>
          <w:p>
            <w:pPr>
              <w:spacing w:after="0"/>
              <w:rPr>
                <w:sz w:val="24"/>
                <w:szCs w:val="24"/>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2.02(a)(v)</w:t>
            </w:r>
          </w:p>
        </w:tc>
      </w:tr>
      <w:tr>
        <w:trPr>
          <w:trHeight w:val="291"/>
        </w:trPr>
        <w:tc>
          <w:tcPr>
            <w:tcW w:w="206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22"/>
                <w:szCs w:val="22"/>
                <w:color w:val="auto"/>
                <w:w w:val="97"/>
              </w:rPr>
              <w:t>Transferred Plan Assets</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80" w:type="dxa"/>
            <w:vAlign w:val="bottom"/>
            <w:gridSpan w:val="4"/>
          </w:tcPr>
          <w:p>
            <w:pPr>
              <w:spacing w:after="0"/>
              <w:rPr>
                <w:sz w:val="24"/>
                <w:szCs w:val="24"/>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Section 2.02(a)(xv)</w:t>
            </w:r>
          </w:p>
        </w:tc>
      </w:tr>
      <w:tr>
        <w:trPr>
          <w:trHeight w:val="290"/>
        </w:trPr>
        <w:tc>
          <w:tcPr>
            <w:tcW w:w="2260" w:type="dxa"/>
            <w:vAlign w:val="bottom"/>
            <w:tcBorders>
              <w:bottom w:val="single" w:sz="8" w:color="auto"/>
            </w:tcBorders>
            <w:gridSpan w:val="13"/>
          </w:tcPr>
          <w:p>
            <w:pPr>
              <w:spacing w:after="0"/>
              <w:rPr>
                <w:sz w:val="20"/>
                <w:szCs w:val="20"/>
                <w:color w:val="auto"/>
              </w:rPr>
            </w:pPr>
            <w:r>
              <w:rPr>
                <w:rFonts w:ascii="Times New Roman" w:cs="Times New Roman" w:eastAsia="Times New Roman" w:hAnsi="Times New Roman"/>
                <w:sz w:val="22"/>
                <w:szCs w:val="22"/>
                <w:color w:val="auto"/>
                <w:w w:val="97"/>
              </w:rPr>
              <w:t>Transferred Real Property</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80" w:type="dxa"/>
            <w:vAlign w:val="bottom"/>
            <w:gridSpan w:val="4"/>
          </w:tcPr>
          <w:p>
            <w:pPr>
              <w:spacing w:after="0"/>
              <w:rPr>
                <w:sz w:val="24"/>
                <w:szCs w:val="24"/>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2.02(a)(i)</w:t>
            </w:r>
          </w:p>
        </w:tc>
      </w:tr>
      <w:tr>
        <w:trPr>
          <w:trHeight w:val="291"/>
        </w:trPr>
        <w:tc>
          <w:tcPr>
            <w:tcW w:w="2900" w:type="dxa"/>
            <w:vAlign w:val="bottom"/>
            <w:tcBorders>
              <w:bottom w:val="single" w:sz="8" w:color="auto"/>
            </w:tcBorders>
            <w:gridSpan w:val="15"/>
          </w:tcPr>
          <w:p>
            <w:pPr>
              <w:spacing w:after="0"/>
              <w:rPr>
                <w:sz w:val="20"/>
                <w:szCs w:val="20"/>
                <w:color w:val="auto"/>
              </w:rPr>
            </w:pPr>
            <w:r>
              <w:rPr>
                <w:rFonts w:ascii="Times New Roman" w:cs="Times New Roman" w:eastAsia="Times New Roman" w:hAnsi="Times New Roman"/>
                <w:sz w:val="22"/>
                <w:szCs w:val="22"/>
                <w:color w:val="auto"/>
                <w:w w:val="97"/>
              </w:rPr>
              <w:t>Transferred Real Property Leases</w:t>
            </w:r>
          </w:p>
        </w:tc>
        <w:tc>
          <w:tcPr>
            <w:tcW w:w="3880" w:type="dxa"/>
            <w:vAlign w:val="bottom"/>
            <w:gridSpan w:val="4"/>
          </w:tcPr>
          <w:p>
            <w:pPr>
              <w:spacing w:after="0"/>
              <w:rPr>
                <w:sz w:val="24"/>
                <w:szCs w:val="24"/>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2.02(a)(i)</w:t>
            </w:r>
          </w:p>
        </w:tc>
      </w:tr>
      <w:tr>
        <w:trPr>
          <w:trHeight w:val="290"/>
        </w:trPr>
        <w:tc>
          <w:tcPr>
            <w:tcW w:w="176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22"/>
                <w:szCs w:val="22"/>
                <w:color w:val="auto"/>
                <w:w w:val="96"/>
              </w:rPr>
              <w:t>Transferred Records</w:t>
            </w:r>
          </w:p>
        </w:tc>
        <w:tc>
          <w:tcPr>
            <w:tcW w:w="80" w:type="dxa"/>
            <w:vAlign w:val="bottom"/>
          </w:tcPr>
          <w:p>
            <w:pPr>
              <w:spacing w:after="0"/>
              <w:rPr>
                <w:sz w:val="24"/>
                <w:szCs w:val="24"/>
                <w:color w:val="auto"/>
              </w:rPr>
            </w:pPr>
          </w:p>
        </w:tc>
        <w:tc>
          <w:tcPr>
            <w:tcW w:w="760" w:type="dxa"/>
            <w:vAlign w:val="bottom"/>
            <w:gridSpan w:val="4"/>
          </w:tcPr>
          <w:p>
            <w:pPr>
              <w:spacing w:after="0"/>
              <w:rPr>
                <w:sz w:val="24"/>
                <w:szCs w:val="24"/>
                <w:color w:val="auto"/>
              </w:rPr>
            </w:pPr>
          </w:p>
        </w:tc>
        <w:tc>
          <w:tcPr>
            <w:tcW w:w="4180" w:type="dxa"/>
            <w:vAlign w:val="bottom"/>
            <w:gridSpan w:val="5"/>
          </w:tcPr>
          <w:p>
            <w:pPr>
              <w:spacing w:after="0"/>
              <w:rPr>
                <w:sz w:val="24"/>
                <w:szCs w:val="24"/>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2.02(a)(vi)</w:t>
            </w:r>
          </w:p>
        </w:tc>
      </w:tr>
      <w:tr>
        <w:trPr>
          <w:trHeight w:val="291"/>
        </w:trPr>
        <w:tc>
          <w:tcPr>
            <w:tcW w:w="184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22"/>
                <w:szCs w:val="22"/>
                <w:color w:val="auto"/>
                <w:w w:val="97"/>
              </w:rPr>
              <w:t>Transferred Software</w:t>
            </w:r>
          </w:p>
        </w:tc>
        <w:tc>
          <w:tcPr>
            <w:tcW w:w="760" w:type="dxa"/>
            <w:vAlign w:val="bottom"/>
            <w:gridSpan w:val="4"/>
          </w:tcPr>
          <w:p>
            <w:pPr>
              <w:spacing w:after="0"/>
              <w:rPr>
                <w:sz w:val="24"/>
                <w:szCs w:val="24"/>
                <w:color w:val="auto"/>
              </w:rPr>
            </w:pPr>
          </w:p>
        </w:tc>
        <w:tc>
          <w:tcPr>
            <w:tcW w:w="4180" w:type="dxa"/>
            <w:vAlign w:val="bottom"/>
            <w:gridSpan w:val="5"/>
          </w:tcPr>
          <w:p>
            <w:pPr>
              <w:spacing w:after="0"/>
              <w:rPr>
                <w:sz w:val="24"/>
                <w:szCs w:val="24"/>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Section 2.02(a)(vii)</w:t>
            </w:r>
          </w:p>
        </w:tc>
      </w:tr>
      <w:tr>
        <w:trPr>
          <w:trHeight w:val="290"/>
        </w:trPr>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2"/>
              </w:rPr>
              <w:t>WARN</w:t>
            </w:r>
          </w:p>
        </w:tc>
        <w:tc>
          <w:tcPr>
            <w:tcW w:w="1960" w:type="dxa"/>
            <w:vAlign w:val="bottom"/>
            <w:gridSpan w:val="13"/>
          </w:tcPr>
          <w:p>
            <w:pPr>
              <w:spacing w:after="0"/>
              <w:rPr>
                <w:sz w:val="24"/>
                <w:szCs w:val="24"/>
                <w:color w:val="auto"/>
              </w:rPr>
            </w:pPr>
          </w:p>
        </w:tc>
        <w:tc>
          <w:tcPr>
            <w:tcW w:w="4180" w:type="dxa"/>
            <w:vAlign w:val="bottom"/>
            <w:gridSpan w:val="5"/>
          </w:tcPr>
          <w:p>
            <w:pPr>
              <w:spacing w:after="0"/>
              <w:rPr>
                <w:sz w:val="24"/>
                <w:szCs w:val="24"/>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7.06(j)</w:t>
            </w:r>
          </w:p>
        </w:tc>
      </w:tr>
      <w:tr>
        <w:trPr>
          <w:trHeight w:val="290"/>
        </w:trPr>
        <w:tc>
          <w:tcPr>
            <w:tcW w:w="2600" w:type="dxa"/>
            <w:vAlign w:val="bottom"/>
            <w:tcBorders>
              <w:bottom w:val="single" w:sz="8" w:color="auto"/>
            </w:tcBorders>
            <w:gridSpan w:val="14"/>
          </w:tcPr>
          <w:p>
            <w:pPr>
              <w:spacing w:after="0"/>
              <w:rPr>
                <w:sz w:val="20"/>
                <w:szCs w:val="20"/>
                <w:color w:val="auto"/>
              </w:rPr>
            </w:pPr>
            <w:r>
              <w:rPr>
                <w:rFonts w:ascii="Times New Roman" w:cs="Times New Roman" w:eastAsia="Times New Roman" w:hAnsi="Times New Roman"/>
                <w:sz w:val="22"/>
                <w:szCs w:val="22"/>
                <w:color w:val="auto"/>
                <w:w w:val="97"/>
              </w:rPr>
              <w:t>Workers Compensation Event</w:t>
            </w:r>
          </w:p>
        </w:tc>
        <w:tc>
          <w:tcPr>
            <w:tcW w:w="4180" w:type="dxa"/>
            <w:vAlign w:val="bottom"/>
            <w:gridSpan w:val="5"/>
          </w:tcPr>
          <w:p>
            <w:pPr>
              <w:spacing w:after="0"/>
              <w:rPr>
                <w:sz w:val="24"/>
                <w:szCs w:val="24"/>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7.06(c)(v)</w:t>
            </w:r>
          </w:p>
        </w:tc>
      </w:tr>
    </w:tbl>
    <w:p>
      <w:pPr>
        <w:spacing w:after="0" w:line="200" w:lineRule="exact"/>
        <w:rPr>
          <w:sz w:val="20"/>
          <w:szCs w:val="20"/>
          <w:color w:val="auto"/>
        </w:rPr>
      </w:pPr>
    </w:p>
    <w:p>
      <w:pPr>
        <w:spacing w:after="0" w:line="205" w:lineRule="exact"/>
        <w:rPr>
          <w:sz w:val="20"/>
          <w:szCs w:val="20"/>
          <w:color w:val="auto"/>
        </w:rPr>
      </w:pPr>
    </w:p>
    <w:p>
      <w:pPr>
        <w:jc w:val="both"/>
        <w:ind w:left="60" w:firstLine="1296"/>
        <w:spacing w:after="0" w:line="259" w:lineRule="auto"/>
        <w:rPr>
          <w:sz w:val="20"/>
          <w:szCs w:val="20"/>
          <w:color w:val="auto"/>
        </w:rPr>
      </w:pPr>
      <w:r>
        <w:rPr>
          <w:rFonts w:ascii="Times New Roman" w:cs="Times New Roman" w:eastAsia="Times New Roman" w:hAnsi="Times New Roman"/>
          <w:sz w:val="21"/>
          <w:szCs w:val="21"/>
          <w:color w:val="auto"/>
        </w:rPr>
        <w:t xml:space="preserve">Section 1.03 </w:t>
      </w:r>
      <w:r>
        <w:rPr>
          <w:rFonts w:ascii="Times New Roman" w:cs="Times New Roman" w:eastAsia="Times New Roman" w:hAnsi="Times New Roman"/>
          <w:sz w:val="21"/>
          <w:szCs w:val="21"/>
          <w:u w:val="single" w:color="auto"/>
          <w:color w:val="auto"/>
        </w:rPr>
        <w:t>Interpretation</w:t>
      </w:r>
      <w:r>
        <w:rPr>
          <w:rFonts w:ascii="Times New Roman" w:cs="Times New Roman" w:eastAsia="Times New Roman" w:hAnsi="Times New Roman"/>
          <w:sz w:val="21"/>
          <w:szCs w:val="21"/>
          <w:color w:val="auto"/>
        </w:rPr>
        <w:t>. The headings contained in this Agreement, in any Annex, Exhibit or Schedule hereto and in the table of contents to this Agreement are for reference purposes only and shall not affect in any way the meaning or interpretation of this Agreement. All Annexes, Exhibits and Schedules in the Disclosure Letter attached hereto or referenced to herein are hereby incorporated in and made a part of this Agreement as if set forth in full herein. Any capitalized terms used in any Annex, Exhibit or Schedule of the Disclosure Letter but not otherwise defined therein shall have the meaning defined in this Agreement. The definitions of terms herein shall apply equally to the singular and plural forms of the terms defined. Whenever the context may require, any pronoun shall include the corresponding masculine, feminine and neuter forms. All references herein to “dollars”, “U.S. Dollars” or “$” shall be deemed to be references to the lawful money of the United States. All provisions herein qualified by the term “domestic” or “foreign” shall be construed on the basis that the United States is the relevant domestic country. The words “include”, “includes” and “including” shall be deemed to be followed by the phrase “without limitation”. The word “will” shall be construed to have the same meaning and effect as the word “shall”. If any time period for giving notice or taking action hereunder expires on a day which is not a Business Day, the time period shall automatically be extended to the Business Day immediately following such non-Business Day. Unless the context requires otherwise (a) any definition of or reference or citation to any Contract or other document herein shall be construed as referring or citing to such Contract or other document as from time to time amended, supplemented or otherwise modified, (b) any reference herein to any Person shall be construed to include such Person’s successors and permitted assigns, (c) the words “herein”, “hereof” and “hereunder”, and words of similar import, shall be construed to refer to this Agreement in its entirety and not to any particular provision hereof, (d) all references herein to Articles, Sections, Annexes, Exhibits and Schedules of the Disclosure Letter shall be construed to refer to Articles and Sections of, and Annexes, Exhibits and Schedules of the Disclosure Letter to, this Agreement, (e) this Agreement shall be deemed to have been drafted jointly by Purchaser and Seller, and</w:t>
      </w:r>
    </w:p>
    <w:p>
      <w:pPr>
        <w:sectPr>
          <w:pgSz w:w="11900" w:h="16838" w:orient="portrait"/>
          <w:cols w:equalWidth="0" w:num="1">
            <w:col w:w="11220"/>
          </w:cols>
          <w:pgMar w:left="340" w:top="140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- 17 -</w:t>
      </w:r>
    </w:p>
    <w:p>
      <w:pPr>
        <w:sectPr>
          <w:pgSz w:w="11900" w:h="16838" w:orient="portrait"/>
          <w:cols w:equalWidth="0" w:num="1">
            <w:col w:w="11220"/>
          </w:cols>
          <w:pgMar w:left="340" w:top="1406" w:right="339" w:bottom="1440" w:gutter="0" w:footer="0" w:header="0"/>
          <w:type w:val="continuous"/>
        </w:sectPr>
      </w:pPr>
    </w:p>
    <w:bookmarkStart w:id="86" w:name="page87"/>
    <w:bookmarkEnd w:id="86"/>
    <w:p>
      <w:pPr>
        <w:jc w:val="both"/>
        <w:ind w:left="80"/>
        <w:spacing w:after="0" w:line="261" w:lineRule="auto"/>
        <w:rPr>
          <w:sz w:val="20"/>
          <w:szCs w:val="20"/>
          <w:color w:val="auto"/>
        </w:rPr>
      </w:pPr>
      <w:r>
        <w:rPr>
          <w:rFonts w:ascii="Times New Roman" w:cs="Times New Roman" w:eastAsia="Times New Roman" w:hAnsi="Times New Roman"/>
          <w:sz w:val="21"/>
          <w:szCs w:val="21"/>
          <w:color w:val="auto"/>
        </w:rPr>
        <w:t>this Agreement shall not be construed against any party as the principal draftsperson hereof, (f) the word “or” shall not be exclusive, (g) the phrase “to the extent” shall mean the degree to which a subject or other item extends and shall not simply mean “if”, (h) the phrases “provided”, “delivered”, or “made available” or words of similar import, when used in this Agreement, shall mean that the documents, items or information has been posted at least 48 hours prior to the execution of this Agreement in the “data room” (virtual) hosted by DFIN Venue and established by the Seller or its Representatives (the “</w:t>
      </w:r>
      <w:r>
        <w:rPr>
          <w:rFonts w:ascii="Times New Roman" w:cs="Times New Roman" w:eastAsia="Times New Roman" w:hAnsi="Times New Roman"/>
          <w:sz w:val="21"/>
          <w:szCs w:val="21"/>
          <w:u w:val="single" w:color="auto"/>
          <w:color w:val="auto"/>
        </w:rPr>
        <w:t>Data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Room</w:t>
      </w:r>
      <w:r>
        <w:rPr>
          <w:rFonts w:ascii="Times New Roman" w:cs="Times New Roman" w:eastAsia="Times New Roman" w:hAnsi="Times New Roman"/>
          <w:sz w:val="21"/>
          <w:szCs w:val="21"/>
          <w:color w:val="auto"/>
        </w:rPr>
        <w:t>”) and to which Purchaser and its Representatives have had, and continue to have, access through the Closing (it being agreed that Purchaser and its Representatives shall be deemed to have had access to such documents, items or information where the same was provided to a limited number of Purchaser’s Representatives pursuant to a “clean team” folder in such Data Room), (i) all references herein to the “parties” are to the parties hereto and a “party” means Purchaser or Seller, as applicable and (j) “in the ordinary course of business” or “in the ordinary course of the Business” shall be construed to mean “in the ordinary course, consistent with past practice (including with respect to quantify and frequency, as applicable).”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Purchase and Sale; Assumption of Liabilities</w:t>
      </w:r>
    </w:p>
    <w:p>
      <w:pPr>
        <w:spacing w:after="0" w:line="220" w:lineRule="exact"/>
        <w:rPr>
          <w:sz w:val="20"/>
          <w:szCs w:val="20"/>
          <w:color w:val="auto"/>
        </w:rPr>
      </w:pPr>
    </w:p>
    <w:p>
      <w:pPr>
        <w:jc w:val="both"/>
        <w:ind w:left="80"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2.01 </w:t>
      </w:r>
      <w:r>
        <w:rPr>
          <w:rFonts w:ascii="Times New Roman" w:cs="Times New Roman" w:eastAsia="Times New Roman" w:hAnsi="Times New Roman"/>
          <w:sz w:val="22"/>
          <w:szCs w:val="22"/>
          <w:u w:val="single" w:color="auto"/>
          <w:color w:val="auto"/>
        </w:rPr>
        <w:t>Purchase and Sale</w:t>
      </w:r>
      <w:r>
        <w:rPr>
          <w:rFonts w:ascii="Times New Roman" w:cs="Times New Roman" w:eastAsia="Times New Roman" w:hAnsi="Times New Roman"/>
          <w:sz w:val="22"/>
          <w:szCs w:val="22"/>
          <w:color w:val="auto"/>
        </w:rPr>
        <w:t>. Upon the terms and subject to the terms and conditions set forth in this Agreement, at the Closing the Seller shall, and shall cause the other applicable members of the Seller Group to, sell, assign, transfer, convey and deliver to Purchaser, and Purchaser shall purchase, acquire and accept from Seller or such other members of the Seller Group, all of Seller’s and such other members of Seller Group’s rights, title and interests in, to and under the Transferred Assets, in each case free and clear of any Liens (other than Permitted Liens), in exchange for (a) the payment by Purchaser, or at the direction of Purchaser, to the Seller of an aggregate purchase price of Six Hundred Fifty Million U.S. Dollars ($650,000,000) in cash (the “</w:t>
      </w:r>
      <w:r>
        <w:rPr>
          <w:rFonts w:ascii="Times New Roman" w:cs="Times New Roman" w:eastAsia="Times New Roman" w:hAnsi="Times New Roman"/>
          <w:sz w:val="22"/>
          <w:szCs w:val="22"/>
          <w:u w:val="single" w:color="auto"/>
          <w:color w:val="auto"/>
        </w:rPr>
        <w:t>Purchase Price</w:t>
      </w:r>
      <w:r>
        <w:rPr>
          <w:rFonts w:ascii="Times New Roman" w:cs="Times New Roman" w:eastAsia="Times New Roman" w:hAnsi="Times New Roman"/>
          <w:sz w:val="22"/>
          <w:szCs w:val="22"/>
          <w:color w:val="auto"/>
        </w:rPr>
        <w:t xml:space="preserve">”), subject to adjustment as set forth in </w:t>
      </w:r>
      <w:r>
        <w:rPr>
          <w:rFonts w:ascii="Times New Roman" w:cs="Times New Roman" w:eastAsia="Times New Roman" w:hAnsi="Times New Roman"/>
          <w:sz w:val="22"/>
          <w:szCs w:val="22"/>
          <w:u w:val="single" w:color="auto"/>
          <w:color w:val="auto"/>
        </w:rPr>
        <w:t>Section 2.06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2.08</w:t>
      </w:r>
      <w:r>
        <w:rPr>
          <w:rFonts w:ascii="Times New Roman" w:cs="Times New Roman" w:eastAsia="Times New Roman" w:hAnsi="Times New Roman"/>
          <w:sz w:val="22"/>
          <w:szCs w:val="22"/>
          <w:color w:val="auto"/>
        </w:rPr>
        <w:t>, respectively, and (b) the assumption by Purchaser of the Assumed Liabilities.</w:t>
      </w:r>
    </w:p>
    <w:p>
      <w:pPr>
        <w:spacing w:after="0" w:line="187" w:lineRule="exact"/>
        <w:rPr>
          <w:sz w:val="20"/>
          <w:szCs w:val="20"/>
          <w:color w:val="auto"/>
        </w:rPr>
      </w:pPr>
    </w:p>
    <w:p>
      <w:pPr>
        <w:ind w:left="1380"/>
        <w:spacing w:after="0"/>
        <w:tabs>
          <w:tab w:leader="none" w:pos="2660" w:val="left"/>
        </w:tabs>
        <w:rPr>
          <w:sz w:val="20"/>
          <w:szCs w:val="20"/>
          <w:color w:val="auto"/>
        </w:rPr>
      </w:pPr>
      <w:r>
        <w:rPr>
          <w:rFonts w:ascii="Times New Roman" w:cs="Times New Roman" w:eastAsia="Times New Roman" w:hAnsi="Times New Roman"/>
          <w:sz w:val="22"/>
          <w:szCs w:val="22"/>
          <w:color w:val="auto"/>
        </w:rPr>
        <w:t>Section 2.02</w:t>
      </w:r>
      <w:r>
        <w:rPr>
          <w:sz w:val="20"/>
          <w:szCs w:val="20"/>
          <w:color w:val="auto"/>
        </w:rPr>
        <w:tab/>
      </w:r>
      <w:r>
        <w:rPr>
          <w:rFonts w:ascii="Times New Roman" w:cs="Times New Roman" w:eastAsia="Times New Roman" w:hAnsi="Times New Roman"/>
          <w:sz w:val="21"/>
          <w:szCs w:val="21"/>
          <w:u w:val="single" w:color="auto"/>
          <w:color w:val="auto"/>
        </w:rPr>
        <w:t>Transferred Assets; Excluded Assets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6" w:lineRule="auto"/>
        <w:tabs>
          <w:tab w:leader="none" w:pos="1873"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Transferred Assets.</w:t>
      </w:r>
      <w:r>
        <w:rPr>
          <w:rFonts w:ascii="Times New Roman" w:cs="Times New Roman" w:eastAsia="Times New Roman" w:hAnsi="Times New Roman"/>
          <w:sz w:val="22"/>
          <w:szCs w:val="22"/>
          <w:color w:val="auto"/>
        </w:rPr>
        <w:t xml:space="preserve"> The term “</w:t>
      </w:r>
      <w:r>
        <w:rPr>
          <w:rFonts w:ascii="Times New Roman" w:cs="Times New Roman" w:eastAsia="Times New Roman" w:hAnsi="Times New Roman"/>
          <w:sz w:val="22"/>
          <w:szCs w:val="22"/>
          <w:u w:val="single" w:color="auto"/>
          <w:color w:val="auto"/>
        </w:rPr>
        <w:t>Transferred Assets</w:t>
      </w:r>
      <w:r>
        <w:rPr>
          <w:rFonts w:ascii="Times New Roman" w:cs="Times New Roman" w:eastAsia="Times New Roman" w:hAnsi="Times New Roman"/>
          <w:sz w:val="22"/>
          <w:szCs w:val="22"/>
          <w:color w:val="auto"/>
        </w:rPr>
        <w:t xml:space="preserve">” shall mean any and all of the members of the Seller Group’s rights, title and interests in, to and under any assets (tangible or intangible) (1) set forth on </w:t>
      </w:r>
      <w:r>
        <w:rPr>
          <w:rFonts w:ascii="Times New Roman" w:cs="Times New Roman" w:eastAsia="Times New Roman" w:hAnsi="Times New Roman"/>
          <w:sz w:val="22"/>
          <w:szCs w:val="22"/>
          <w:u w:val="single" w:color="auto"/>
          <w:color w:val="auto"/>
        </w:rPr>
        <w:t>Section 2.02(a)(1)</w:t>
      </w:r>
      <w:r>
        <w:rPr>
          <w:rFonts w:ascii="Times New Roman" w:cs="Times New Roman" w:eastAsia="Times New Roman" w:hAnsi="Times New Roman"/>
          <w:sz w:val="22"/>
          <w:szCs w:val="22"/>
          <w:color w:val="auto"/>
        </w:rPr>
        <w:t xml:space="preserve"> of the Disclosure Letter or (2) that are held primarily or exclusively for use, or primarily or exclusively used by, the Business, including the following assets, except as specified otherwise in this </w:t>
      </w:r>
      <w:r>
        <w:rPr>
          <w:rFonts w:ascii="Times New Roman" w:cs="Times New Roman" w:eastAsia="Times New Roman" w:hAnsi="Times New Roman"/>
          <w:sz w:val="22"/>
          <w:szCs w:val="22"/>
          <w:u w:val="single" w:color="auto"/>
          <w:color w:val="auto"/>
        </w:rPr>
        <w:t>Section 2.02(a)</w:t>
      </w:r>
      <w:r>
        <w:rPr>
          <w:rFonts w:ascii="Times New Roman" w:cs="Times New Roman" w:eastAsia="Times New Roman" w:hAnsi="Times New Roman"/>
          <w:sz w:val="22"/>
          <w:szCs w:val="22"/>
          <w:color w:val="auto"/>
        </w:rPr>
        <w:t xml:space="preserve"> below:</w:t>
      </w:r>
    </w:p>
    <w:p>
      <w:pPr>
        <w:spacing w:after="0" w:line="176" w:lineRule="exact"/>
        <w:rPr>
          <w:rFonts w:ascii="Times New Roman" w:cs="Times New Roman" w:eastAsia="Times New Roman" w:hAnsi="Times New Roman"/>
          <w:sz w:val="22"/>
          <w:szCs w:val="22"/>
          <w:color w:val="auto"/>
        </w:rPr>
      </w:pPr>
    </w:p>
    <w:p>
      <w:pPr>
        <w:jc w:val="both"/>
        <w:ind w:left="740" w:firstLine="645"/>
        <w:spacing w:after="0" w:line="251" w:lineRule="auto"/>
        <w:tabs>
          <w:tab w:leader="none" w:pos="1889" w:val="left"/>
        </w:tabs>
        <w:numPr>
          <w:ilvl w:val="2"/>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Real Property.</w:t>
      </w:r>
      <w:r>
        <w:rPr>
          <w:rFonts w:ascii="Times New Roman" w:cs="Times New Roman" w:eastAsia="Times New Roman" w:hAnsi="Times New Roman"/>
          <w:sz w:val="22"/>
          <w:szCs w:val="22"/>
          <w:color w:val="auto"/>
        </w:rPr>
        <w:t xml:space="preserve"> (A) The owned real property, including any buildings, improvements and fixtures thereon, and all easements and other rights and interests appurtenant thereto, set forth on </w:t>
      </w:r>
      <w:r>
        <w:rPr>
          <w:rFonts w:ascii="Times New Roman" w:cs="Times New Roman" w:eastAsia="Times New Roman" w:hAnsi="Times New Roman"/>
          <w:sz w:val="22"/>
          <w:szCs w:val="22"/>
          <w:u w:val="single" w:color="auto"/>
          <w:color w:val="auto"/>
        </w:rPr>
        <w:t>Section 2.02(a)(i)(A)</w:t>
      </w:r>
      <w:r>
        <w:rPr>
          <w:rFonts w:ascii="Times New Roman" w:cs="Times New Roman" w:eastAsia="Times New Roman" w:hAnsi="Times New Roman"/>
          <w:sz w:val="22"/>
          <w:szCs w:val="22"/>
          <w:color w:val="auto"/>
        </w:rPr>
        <w:t xml:space="preserve"> of the Disclosure Letter (collectively, the “</w:t>
      </w:r>
      <w:r>
        <w:rPr>
          <w:rFonts w:ascii="Times New Roman" w:cs="Times New Roman" w:eastAsia="Times New Roman" w:hAnsi="Times New Roman"/>
          <w:sz w:val="22"/>
          <w:szCs w:val="22"/>
          <w:u w:val="single" w:color="auto"/>
          <w:color w:val="auto"/>
        </w:rPr>
        <w:t>Transferred Owned Real Property</w:t>
      </w:r>
      <w:r>
        <w:rPr>
          <w:rFonts w:ascii="Times New Roman" w:cs="Times New Roman" w:eastAsia="Times New Roman" w:hAnsi="Times New Roman"/>
          <w:sz w:val="22"/>
          <w:szCs w:val="22"/>
          <w:color w:val="auto"/>
        </w:rPr>
        <w:t xml:space="preserve">”), and (B) the real property leases set forth on </w:t>
      </w:r>
      <w:r>
        <w:rPr>
          <w:rFonts w:ascii="Times New Roman" w:cs="Times New Roman" w:eastAsia="Times New Roman" w:hAnsi="Times New Roman"/>
          <w:sz w:val="22"/>
          <w:szCs w:val="22"/>
          <w:u w:val="single" w:color="auto"/>
          <w:color w:val="auto"/>
        </w:rPr>
        <w:t>Section 2.02(a)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(i)(B)</w:t>
      </w:r>
      <w:r>
        <w:rPr>
          <w:rFonts w:ascii="Times New Roman" w:cs="Times New Roman" w:eastAsia="Times New Roman" w:hAnsi="Times New Roman"/>
          <w:sz w:val="22"/>
          <w:szCs w:val="22"/>
          <w:color w:val="auto"/>
        </w:rPr>
        <w:t xml:space="preserve"> of the Disclosure Letter (the “</w:t>
      </w:r>
      <w:r>
        <w:rPr>
          <w:rFonts w:ascii="Times New Roman" w:cs="Times New Roman" w:eastAsia="Times New Roman" w:hAnsi="Times New Roman"/>
          <w:sz w:val="22"/>
          <w:szCs w:val="22"/>
          <w:u w:val="single" w:color="auto"/>
          <w:color w:val="auto"/>
        </w:rPr>
        <w:t>Transferred Real Property Lease</w:t>
      </w:r>
      <w:r>
        <w:rPr>
          <w:rFonts w:ascii="Times New Roman" w:cs="Times New Roman" w:eastAsia="Times New Roman" w:hAnsi="Times New Roman"/>
          <w:sz w:val="22"/>
          <w:szCs w:val="22"/>
          <w:color w:val="auto"/>
        </w:rPr>
        <w:t>”) relating to the premises demised thereunder (the “</w:t>
      </w:r>
      <w:r>
        <w:rPr>
          <w:rFonts w:ascii="Times New Roman" w:cs="Times New Roman" w:eastAsia="Times New Roman" w:hAnsi="Times New Roman"/>
          <w:sz w:val="22"/>
          <w:szCs w:val="22"/>
          <w:u w:val="single" w:color="auto"/>
          <w:color w:val="auto"/>
        </w:rPr>
        <w:t>Transferred Leased Real Property</w:t>
      </w:r>
      <w:r>
        <w:rPr>
          <w:rFonts w:ascii="Times New Roman" w:cs="Times New Roman" w:eastAsia="Times New Roman" w:hAnsi="Times New Roman"/>
          <w:sz w:val="22"/>
          <w:szCs w:val="22"/>
          <w:color w:val="auto"/>
        </w:rPr>
        <w:t>” and, together with the Transferred Owned Real Property, the “</w:t>
      </w:r>
      <w:r>
        <w:rPr>
          <w:rFonts w:ascii="Times New Roman" w:cs="Times New Roman" w:eastAsia="Times New Roman" w:hAnsi="Times New Roman"/>
          <w:sz w:val="22"/>
          <w:szCs w:val="22"/>
          <w:u w:val="single" w:color="auto"/>
          <w:color w:val="auto"/>
        </w:rPr>
        <w:t>Transferred Real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Property</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0" w:lineRule="exact"/>
        <w:rPr>
          <w:rFonts w:ascii="Times New Roman" w:cs="Times New Roman" w:eastAsia="Times New Roman" w:hAnsi="Times New Roman"/>
          <w:sz w:val="22"/>
          <w:szCs w:val="22"/>
          <w:color w:val="auto"/>
        </w:rPr>
      </w:pPr>
    </w:p>
    <w:p>
      <w:pPr>
        <w:ind w:left="360" w:hanging="136"/>
        <w:spacing w:after="0"/>
        <w:tabs>
          <w:tab w:leader="none" w:pos="3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18 -</w:t>
      </w:r>
    </w:p>
    <w:p>
      <w:pPr>
        <w:sectPr>
          <w:pgSz w:w="11900" w:h="16838" w:orient="portrait"/>
          <w:cols w:equalWidth="0" w:num="1">
            <w:col w:w="11240"/>
          </w:cols>
          <w:pgMar w:left="320" w:top="1422" w:right="339" w:bottom="1440" w:gutter="0" w:footer="0" w:header="0"/>
        </w:sectPr>
      </w:pPr>
    </w:p>
    <w:bookmarkStart w:id="87" w:name="page88"/>
    <w:bookmarkEnd w:id="87"/>
    <w:p>
      <w:pPr>
        <w:jc w:val="both"/>
        <w:ind w:left="520" w:firstLine="645"/>
        <w:spacing w:after="0" w:line="248" w:lineRule="auto"/>
        <w:tabs>
          <w:tab w:leader="none" w:pos="168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Inventory.</w:t>
      </w:r>
      <w:r>
        <w:rPr>
          <w:rFonts w:ascii="Times New Roman" w:cs="Times New Roman" w:eastAsia="Times New Roman" w:hAnsi="Times New Roman"/>
          <w:sz w:val="22"/>
          <w:szCs w:val="22"/>
          <w:color w:val="auto"/>
        </w:rPr>
        <w:t xml:space="preserve"> All supplies, raw materials, work-in-process or finished products inventory of the Business that are located at a Transferred Real Property or that are not located at a Transferred Real Property (including raw materials to the extent in-transit to a Transferred Real Property) but are used primarily or exclusively in connection with the Business (collectively, “</w:t>
      </w:r>
      <w:r>
        <w:rPr>
          <w:rFonts w:ascii="Times New Roman" w:cs="Times New Roman" w:eastAsia="Times New Roman" w:hAnsi="Times New Roman"/>
          <w:sz w:val="22"/>
          <w:szCs w:val="22"/>
          <w:u w:val="single" w:color="auto"/>
          <w:color w:val="auto"/>
        </w:rPr>
        <w:t>Inventory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for the avoidance of doubt, Inventory shall not include any supplies, raw materials, work-in-process or finished products inventory of the Business that as of the Closing Seller sold, designated for sale or transferred to any other member of the Seller Group or to an Out-of-Scope Facility, in each case, for use primarily or exclusively in connection with the Retained Businesses (A) in the ordinary course of business or (B) outside of the ordinary course of business with prompt written notice to Purchaser (provided that in the event that such sale, designation for sale or transfer contemplated by this clause would reasonably be expected to individually or in the aggregate with all such other sales, designations for sale and transfers, have a materially adverse impact (including in respect of quantity, quality and timing) on (1) Supplier’s (as defined in the Supply Agreement) ability to supply Products (as defined in the Supply Agreement) to each Buyer (as defined in the Supply Agreement) under the Supply Agreement or (2) the Business’ ability to supply products under a Contract with any Top Customer, then such sale, designation for sale or transfer may only be made with Purchaser’s express prior written consent) (together, the “</w:t>
      </w:r>
      <w:r>
        <w:rPr>
          <w:rFonts w:ascii="Times New Roman" w:cs="Times New Roman" w:eastAsia="Times New Roman" w:hAnsi="Times New Roman"/>
          <w:sz w:val="22"/>
          <w:szCs w:val="22"/>
          <w:u w:val="single" w:color="auto"/>
          <w:color w:val="auto"/>
        </w:rPr>
        <w:t>Intercompany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Inventory</w:t>
      </w:r>
      <w:r>
        <w:rPr>
          <w:rFonts w:ascii="Times New Roman" w:cs="Times New Roman" w:eastAsia="Times New Roman" w:hAnsi="Times New Roman"/>
          <w:sz w:val="22"/>
          <w:szCs w:val="22"/>
          <w:color w:val="auto"/>
        </w:rPr>
        <w:t>”);</w:t>
      </w:r>
    </w:p>
    <w:p>
      <w:pPr>
        <w:spacing w:after="0" w:line="182" w:lineRule="exact"/>
        <w:rPr>
          <w:rFonts w:ascii="Times New Roman" w:cs="Times New Roman" w:eastAsia="Times New Roman" w:hAnsi="Times New Roman"/>
          <w:sz w:val="22"/>
          <w:szCs w:val="22"/>
          <w:color w:val="auto"/>
        </w:rPr>
      </w:pPr>
    </w:p>
    <w:p>
      <w:pPr>
        <w:jc w:val="both"/>
        <w:ind w:left="520" w:firstLine="645"/>
        <w:spacing w:after="0" w:line="251" w:lineRule="auto"/>
        <w:tabs>
          <w:tab w:leader="none" w:pos="187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Equipment.</w:t>
      </w:r>
      <w:r>
        <w:rPr>
          <w:rFonts w:ascii="Times New Roman" w:cs="Times New Roman" w:eastAsia="Times New Roman" w:hAnsi="Times New Roman"/>
          <w:sz w:val="22"/>
          <w:szCs w:val="22"/>
          <w:color w:val="auto"/>
        </w:rPr>
        <w:t xml:space="preserve"> All machinery, equipment, tools and other tangible personal property (but excluding the Inventory and the Transferred IT which are identified separately in this </w:t>
      </w:r>
      <w:r>
        <w:rPr>
          <w:rFonts w:ascii="Times New Roman" w:cs="Times New Roman" w:eastAsia="Times New Roman" w:hAnsi="Times New Roman"/>
          <w:sz w:val="22"/>
          <w:szCs w:val="22"/>
          <w:u w:val="single" w:color="auto"/>
          <w:color w:val="auto"/>
        </w:rPr>
        <w:t>Section 2.02(a))</w:t>
      </w:r>
      <w:r>
        <w:rPr>
          <w:rFonts w:ascii="Times New Roman" w:cs="Times New Roman" w:eastAsia="Times New Roman" w:hAnsi="Times New Roman"/>
          <w:sz w:val="22"/>
          <w:szCs w:val="22"/>
          <w:color w:val="auto"/>
        </w:rPr>
        <w:t xml:space="preserve"> that are (A) located at a Transferred Owned Real Property, (B) located at a Transferred Leased Real Property (except if otherwise set forth on </w:t>
      </w:r>
      <w:r>
        <w:rPr>
          <w:rFonts w:ascii="Times New Roman" w:cs="Times New Roman" w:eastAsia="Times New Roman" w:hAnsi="Times New Roman"/>
          <w:sz w:val="22"/>
          <w:szCs w:val="22"/>
          <w:u w:val="single" w:color="auto"/>
          <w:color w:val="auto"/>
        </w:rPr>
        <w:t>Section 2.02(b)(xvii)</w:t>
      </w:r>
      <w:r>
        <w:rPr>
          <w:rFonts w:ascii="Times New Roman" w:cs="Times New Roman" w:eastAsia="Times New Roman" w:hAnsi="Times New Roman"/>
          <w:sz w:val="22"/>
          <w:szCs w:val="22"/>
          <w:color w:val="auto"/>
        </w:rPr>
        <w:t xml:space="preserve"> of the Disclosure Letter), or (C) otherwise used primarily or exclusively in connection with the Business, in each case, together with the interests of each member of Seller Group in respect of any warranties relating thereto (the “</w:t>
      </w:r>
      <w:r>
        <w:rPr>
          <w:rFonts w:ascii="Times New Roman" w:cs="Times New Roman" w:eastAsia="Times New Roman" w:hAnsi="Times New Roman"/>
          <w:sz w:val="22"/>
          <w:szCs w:val="22"/>
          <w:u w:val="single" w:color="auto"/>
          <w:color w:val="auto"/>
        </w:rPr>
        <w:t>Transferred Tangible Personal Property</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ind w:left="1740" w:hanging="575"/>
        <w:spacing w:after="0"/>
        <w:tabs>
          <w:tab w:leader="none" w:pos="174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Goodwill.</w:t>
      </w:r>
      <w:r>
        <w:rPr>
          <w:rFonts w:ascii="Times New Roman" w:cs="Times New Roman" w:eastAsia="Times New Roman" w:hAnsi="Times New Roman"/>
          <w:sz w:val="22"/>
          <w:szCs w:val="22"/>
          <w:color w:val="auto"/>
        </w:rPr>
        <w:t xml:space="preserve"> All goodwill primarily or exclusively generated by or primarily or exclusively associated with</w:t>
      </w:r>
    </w:p>
    <w:p>
      <w:pPr>
        <w:spacing w:after="0" w:line="27" w:lineRule="exact"/>
        <w:rPr>
          <w:rFonts w:ascii="Times New Roman" w:cs="Times New Roman" w:eastAsia="Times New Roman" w:hAnsi="Times New Roman"/>
          <w:sz w:val="22"/>
          <w:szCs w:val="22"/>
          <w:color w:val="auto"/>
        </w:rPr>
      </w:pPr>
    </w:p>
    <w:p>
      <w:pPr>
        <w:ind w:left="5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Business;</w:t>
      </w:r>
    </w:p>
    <w:p>
      <w:pPr>
        <w:spacing w:after="0" w:line="195" w:lineRule="exact"/>
        <w:rPr>
          <w:rFonts w:ascii="Times New Roman" w:cs="Times New Roman" w:eastAsia="Times New Roman" w:hAnsi="Times New Roman"/>
          <w:sz w:val="22"/>
          <w:szCs w:val="22"/>
          <w:color w:val="auto"/>
        </w:rPr>
      </w:pPr>
    </w:p>
    <w:p>
      <w:pPr>
        <w:jc w:val="both"/>
        <w:ind w:left="520" w:firstLine="645"/>
        <w:spacing w:after="0" w:line="256" w:lineRule="auto"/>
        <w:tabs>
          <w:tab w:leader="none" w:pos="169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Permits.</w:t>
      </w:r>
      <w:r>
        <w:rPr>
          <w:rFonts w:ascii="Times New Roman" w:cs="Times New Roman" w:eastAsia="Times New Roman" w:hAnsi="Times New Roman"/>
          <w:sz w:val="22"/>
          <w:szCs w:val="22"/>
          <w:color w:val="auto"/>
        </w:rPr>
        <w:t xml:space="preserve"> To the extent transferable, assignable or re-issuable, all Permits granted to any member of Seller Group (and Permit applications or renewals made thereby), in each case, to the extent held primarily or exclusively for use, and primarily or exclusively used, in connection with the Business or the Transferred Real Property, including those set forth on </w:t>
      </w:r>
      <w:r>
        <w:rPr>
          <w:rFonts w:ascii="Times New Roman" w:cs="Times New Roman" w:eastAsia="Times New Roman" w:hAnsi="Times New Roman"/>
          <w:sz w:val="22"/>
          <w:szCs w:val="22"/>
          <w:u w:val="single" w:color="auto"/>
          <w:color w:val="auto"/>
        </w:rPr>
        <w:t>Section 4.09(b)</w:t>
      </w:r>
      <w:r>
        <w:rPr>
          <w:rFonts w:ascii="Times New Roman" w:cs="Times New Roman" w:eastAsia="Times New Roman" w:hAnsi="Times New Roman"/>
          <w:sz w:val="22"/>
          <w:szCs w:val="22"/>
          <w:color w:val="auto"/>
        </w:rPr>
        <w:t xml:space="preserve"> of the Disclosure Letter (the “</w:t>
      </w:r>
      <w:r>
        <w:rPr>
          <w:rFonts w:ascii="Times New Roman" w:cs="Times New Roman" w:eastAsia="Times New Roman" w:hAnsi="Times New Roman"/>
          <w:sz w:val="22"/>
          <w:szCs w:val="22"/>
          <w:u w:val="single" w:color="auto"/>
          <w:color w:val="auto"/>
        </w:rPr>
        <w:t>Transferred Permits</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left="520" w:firstLine="645"/>
        <w:spacing w:after="0" w:line="249" w:lineRule="auto"/>
        <w:tabs>
          <w:tab w:leader="none" w:pos="1844"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Transferred Records.</w:t>
      </w:r>
      <w:r>
        <w:rPr>
          <w:rFonts w:ascii="Times New Roman" w:cs="Times New Roman" w:eastAsia="Times New Roman" w:hAnsi="Times New Roman"/>
          <w:sz w:val="22"/>
          <w:szCs w:val="22"/>
          <w:color w:val="auto"/>
        </w:rPr>
        <w:t xml:space="preserve"> All Records in the possession or control of any member of Seller Group as of immediately prior to the Closing (including the Transferred Personnel Records) to the extent primarily or exclusively relating to the Business (excluding, for the avoidance of doubt, any such Records to the extent not reasonably separable from Records that do not relate to the Business or the transfer of which is not permitted under applicable privacy Laws without Consent (provided that Seller shall use, and shall cause the other members of the Seller Group to use, commercially reasonable efforts from and after the date hereof to obtain such Consent until the earlier of the termination of this Agreement in accordance with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and the twelve (12) month anniversary of the Closing Date)) (collectively, the “</w:t>
      </w:r>
      <w:r>
        <w:rPr>
          <w:rFonts w:ascii="Times New Roman" w:cs="Times New Roman" w:eastAsia="Times New Roman" w:hAnsi="Times New Roman"/>
          <w:sz w:val="22"/>
          <w:szCs w:val="22"/>
          <w:u w:val="single" w:color="auto"/>
          <w:color w:val="auto"/>
        </w:rPr>
        <w:t>Transferred Records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- 19 -</w:t>
      </w:r>
    </w:p>
    <w:p>
      <w:pPr>
        <w:sectPr>
          <w:pgSz w:w="11900" w:h="16838" w:orient="portrait"/>
          <w:cols w:equalWidth="0" w:num="1">
            <w:col w:w="11020"/>
          </w:cols>
          <w:pgMar w:left="540" w:top="1422" w:right="339" w:bottom="1440" w:gutter="0" w:footer="0" w:header="0"/>
        </w:sectPr>
      </w:pPr>
    </w:p>
    <w:bookmarkStart w:id="88" w:name="page89"/>
    <w:bookmarkEnd w:id="88"/>
    <w:p>
      <w:pPr>
        <w:jc w:val="both"/>
        <w:ind w:left="520" w:firstLine="645"/>
        <w:spacing w:after="0" w:line="260" w:lineRule="auto"/>
        <w:tabs>
          <w:tab w:leader="none" w:pos="1769"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Intellectual Property.</w:t>
      </w:r>
      <w:r>
        <w:rPr>
          <w:rFonts w:ascii="Times New Roman" w:cs="Times New Roman" w:eastAsia="Times New Roman" w:hAnsi="Times New Roman"/>
          <w:sz w:val="21"/>
          <w:szCs w:val="21"/>
          <w:color w:val="auto"/>
        </w:rPr>
        <w:t xml:space="preserve"> (A) The Transferred Intellectual Property and the Other Transferred Patents, together with (1) all tangible embodiments in any form or medium, (2) all income, royalties, damages and payments due or payable at Closing or thereafter (including damages and payments for past or future infringements or misappropriations thereof), (3) the right to sue and recover for past infringements or misappropriations thereof, and (4) any and all corresponding rights that, now or hereafter, may be secured throughout the world;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Other Transferred Patents are being sold, assigned, transferred, conveyed and delivered on an “as/is” or quitclaim basis, and (B) the Potential Transferred Patents, solely to the extent that the Seller Entities obtain the Consent of any third Person necessary to transfer the Seller Entities’ ownership interest in the Potential Transferred Patents to Purchaser;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to the extent the Seller Entities’ ownership interest in a Potential Transferred Patent is transferred to Purchaser, such Potential Transferred Patent is being sold, assigned, transferred, conveyed and delivered on an “as/is” or quitclaim basis;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further that Seller shall use, and shall cause the other members of the Seller Group to use, commercially reasonable efforts from and after the date hereof to obtain such Consent until the earlier of the termination of this Agreement in accordance with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and the twelve (12) month anniversary of the Closing Date.</w:t>
      </w:r>
    </w:p>
    <w:p>
      <w:pPr>
        <w:spacing w:after="0" w:line="176" w:lineRule="exact"/>
        <w:rPr>
          <w:rFonts w:ascii="Times New Roman" w:cs="Times New Roman" w:eastAsia="Times New Roman" w:hAnsi="Times New Roman"/>
          <w:sz w:val="21"/>
          <w:szCs w:val="21"/>
          <w:color w:val="auto"/>
        </w:rPr>
      </w:pPr>
    </w:p>
    <w:p>
      <w:pPr>
        <w:jc w:val="both"/>
        <w:ind w:left="520" w:firstLine="645"/>
        <w:spacing w:after="0" w:line="265" w:lineRule="auto"/>
        <w:tabs>
          <w:tab w:leader="none" w:pos="1816"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Transferred IP Licenses.</w:t>
      </w:r>
      <w:r>
        <w:rPr>
          <w:rFonts w:ascii="Times New Roman" w:cs="Times New Roman" w:eastAsia="Times New Roman" w:hAnsi="Times New Roman"/>
          <w:sz w:val="21"/>
          <w:szCs w:val="21"/>
          <w:color w:val="auto"/>
        </w:rPr>
        <w:t xml:space="preserve"> All Contracts for in-bound and out-bound Intellectual Property licenses primarily or exclusively related to the Business, including as set forth on </w:t>
      </w:r>
      <w:r>
        <w:rPr>
          <w:rFonts w:ascii="Times New Roman" w:cs="Times New Roman" w:eastAsia="Times New Roman" w:hAnsi="Times New Roman"/>
          <w:sz w:val="21"/>
          <w:szCs w:val="21"/>
          <w:u w:val="single" w:color="auto"/>
          <w:color w:val="auto"/>
        </w:rPr>
        <w:t>Section 2.02(a)(viii)</w:t>
      </w:r>
      <w:r>
        <w:rPr>
          <w:rFonts w:ascii="Times New Roman" w:cs="Times New Roman" w:eastAsia="Times New Roman" w:hAnsi="Times New Roman"/>
          <w:sz w:val="21"/>
          <w:szCs w:val="21"/>
          <w:color w:val="auto"/>
        </w:rPr>
        <w:t xml:space="preserve"> of the Disclosure Letter;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for the avoidance of doubt, Transferred IP Licenses shall not include any Shared Contracts for information technology products or services provided to Purchaser by any Seller Entity as a Service (as defined in the Transition Services Agreement) under the Transition Services Agreement or constituting an Excluded Service (as defined in the Transition Services Agreement) under the Transition Services Agreement (the “</w:t>
      </w:r>
      <w:r>
        <w:rPr>
          <w:rFonts w:ascii="Times New Roman" w:cs="Times New Roman" w:eastAsia="Times New Roman" w:hAnsi="Times New Roman"/>
          <w:sz w:val="21"/>
          <w:szCs w:val="21"/>
          <w:u w:val="single" w:color="auto"/>
          <w:color w:val="auto"/>
        </w:rPr>
        <w:t>Transferred IP Licenses</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color w:val="auto"/>
        </w:rPr>
      </w:pPr>
    </w:p>
    <w:p>
      <w:pPr>
        <w:jc w:val="both"/>
        <w:ind w:left="520" w:firstLine="645"/>
        <w:spacing w:after="0" w:line="257" w:lineRule="auto"/>
        <w:tabs>
          <w:tab w:leader="none" w:pos="1763"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Transferred Software.</w:t>
      </w:r>
      <w:r>
        <w:rPr>
          <w:rFonts w:ascii="Times New Roman" w:cs="Times New Roman" w:eastAsia="Times New Roman" w:hAnsi="Times New Roman"/>
          <w:sz w:val="22"/>
          <w:szCs w:val="22"/>
          <w:color w:val="auto"/>
        </w:rPr>
        <w:t xml:space="preserve"> All (A) Software owned by the Seller Group and primarily or exclusively used or held for use by or related to the Business, and (B) Software set forth on </w:t>
      </w:r>
      <w:r>
        <w:rPr>
          <w:rFonts w:ascii="Times New Roman" w:cs="Times New Roman" w:eastAsia="Times New Roman" w:hAnsi="Times New Roman"/>
          <w:sz w:val="22"/>
          <w:szCs w:val="22"/>
          <w:u w:val="single" w:color="auto"/>
          <w:color w:val="auto"/>
        </w:rPr>
        <w:t>Section 2.02(a)(ix)</w:t>
      </w:r>
      <w:r>
        <w:rPr>
          <w:rFonts w:ascii="Times New Roman" w:cs="Times New Roman" w:eastAsia="Times New Roman" w:hAnsi="Times New Roman"/>
          <w:sz w:val="22"/>
          <w:szCs w:val="22"/>
          <w:color w:val="auto"/>
        </w:rPr>
        <w:t xml:space="preserve"> of the Disclosure Letter (the “</w:t>
      </w:r>
      <w:r>
        <w:rPr>
          <w:rFonts w:ascii="Times New Roman" w:cs="Times New Roman" w:eastAsia="Times New Roman" w:hAnsi="Times New Roman"/>
          <w:sz w:val="22"/>
          <w:szCs w:val="22"/>
          <w:u w:val="single" w:color="auto"/>
          <w:color w:val="auto"/>
        </w:rPr>
        <w:t>Transferred Software</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jc w:val="both"/>
        <w:ind w:left="520" w:firstLine="645"/>
        <w:spacing w:after="0" w:line="251" w:lineRule="auto"/>
        <w:tabs>
          <w:tab w:leader="none" w:pos="1663"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IT Systems.</w:t>
      </w:r>
      <w:r>
        <w:rPr>
          <w:rFonts w:ascii="Times New Roman" w:cs="Times New Roman" w:eastAsia="Times New Roman" w:hAnsi="Times New Roman"/>
          <w:sz w:val="22"/>
          <w:szCs w:val="22"/>
          <w:color w:val="auto"/>
        </w:rPr>
        <w:t xml:space="preserve"> All (A) information management systems and databases and (B) computer hardware and other information technology systems or assets (including servers, workstations, computers, laptops, tables, phones, peripheral devices, and networks), in each case, owned by any member of Seller Group and (x) located at a Transferred Real Property, (y) in the possession or control of any Business Employee or (z) primarily or exclusively used or held for use in or related to the Business, including the items set forth on </w:t>
      </w:r>
      <w:r>
        <w:rPr>
          <w:rFonts w:ascii="Times New Roman" w:cs="Times New Roman" w:eastAsia="Times New Roman" w:hAnsi="Times New Roman"/>
          <w:sz w:val="22"/>
          <w:szCs w:val="22"/>
          <w:u w:val="single" w:color="auto"/>
          <w:color w:val="auto"/>
        </w:rPr>
        <w:t>Section 2.02(a)(x)</w:t>
      </w:r>
      <w:r>
        <w:rPr>
          <w:rFonts w:ascii="Times New Roman" w:cs="Times New Roman" w:eastAsia="Times New Roman" w:hAnsi="Times New Roman"/>
          <w:sz w:val="22"/>
          <w:szCs w:val="22"/>
          <w:color w:val="auto"/>
        </w:rPr>
        <w:t xml:space="preserve"> of the Disclosure Letter (collectively, the “</w:t>
      </w:r>
      <w:r>
        <w:rPr>
          <w:rFonts w:ascii="Times New Roman" w:cs="Times New Roman" w:eastAsia="Times New Roman" w:hAnsi="Times New Roman"/>
          <w:sz w:val="22"/>
          <w:szCs w:val="22"/>
          <w:u w:val="single" w:color="auto"/>
          <w:color w:val="auto"/>
        </w:rPr>
        <w:t>Transferred IT</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jc w:val="both"/>
        <w:ind w:left="520" w:firstLine="645"/>
        <w:spacing w:after="0" w:line="251" w:lineRule="auto"/>
        <w:tabs>
          <w:tab w:leader="none" w:pos="1777"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Contracts.</w:t>
      </w:r>
      <w:r>
        <w:rPr>
          <w:rFonts w:ascii="Times New Roman" w:cs="Times New Roman" w:eastAsia="Times New Roman" w:hAnsi="Times New Roman"/>
          <w:sz w:val="22"/>
          <w:szCs w:val="22"/>
          <w:color w:val="auto"/>
        </w:rPr>
        <w:t xml:space="preserve"> All Included Shared Contracts and other Contracts (including, for the avoidance of doubt, all Transferred IP Licenses) to which any member of Seller Group is a party that are held exclusively for the benefit of, or the performance obligations of which exclusively relate to, the Business or the Transferred Assets or Assumed Liabilities (the Included Shared Contracts and all such other Contracts, the “</w:t>
      </w:r>
      <w:r>
        <w:rPr>
          <w:rFonts w:ascii="Times New Roman" w:cs="Times New Roman" w:eastAsia="Times New Roman" w:hAnsi="Times New Roman"/>
          <w:sz w:val="22"/>
          <w:szCs w:val="22"/>
          <w:u w:val="single" w:color="auto"/>
          <w:color w:val="auto"/>
        </w:rPr>
        <w:t>Transferred Contracts</w:t>
      </w:r>
      <w:r>
        <w:rPr>
          <w:rFonts w:ascii="Times New Roman" w:cs="Times New Roman" w:eastAsia="Times New Roman" w:hAnsi="Times New Roman"/>
          <w:sz w:val="22"/>
          <w:szCs w:val="22"/>
          <w:color w:val="auto"/>
        </w:rPr>
        <w:t xml:space="preserve">”), in each case, specifically excluding the Excluded Contracts and the CBAs described in </w:t>
      </w:r>
      <w:r>
        <w:rPr>
          <w:rFonts w:ascii="Times New Roman" w:cs="Times New Roman" w:eastAsia="Times New Roman" w:hAnsi="Times New Roman"/>
          <w:sz w:val="22"/>
          <w:szCs w:val="22"/>
          <w:u w:val="single" w:color="auto"/>
          <w:color w:val="auto"/>
        </w:rPr>
        <w:t>Section 2.02(a)(xvi)</w:t>
      </w:r>
      <w:r>
        <w:rPr>
          <w:rFonts w:ascii="Times New Roman" w:cs="Times New Roman" w:eastAsia="Times New Roman" w:hAnsi="Times New Roman"/>
          <w:sz w:val="22"/>
          <w:szCs w:val="22"/>
          <w:color w:val="auto"/>
        </w:rPr>
        <w:t>, but specifically including (A) (i) any Contract templates, form Contracts, general corporate and operational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- 20 -</w:t>
      </w:r>
    </w:p>
    <w:p>
      <w:pPr>
        <w:sectPr>
          <w:pgSz w:w="11900" w:h="16838" w:orient="portrait"/>
          <w:cols w:equalWidth="0" w:num="1">
            <w:col w:w="11020"/>
          </w:cols>
          <w:pgMar w:left="540" w:top="1422" w:right="339" w:bottom="1440" w:gutter="0" w:footer="0" w:header="0"/>
        </w:sectPr>
      </w:pPr>
    </w:p>
    <w:bookmarkStart w:id="89" w:name="page90"/>
    <w:bookmarkEnd w:id="89"/>
    <w:p>
      <w:pPr>
        <w:jc w:val="both"/>
        <w:ind w:left="520"/>
        <w:spacing w:after="0" w:line="250" w:lineRule="auto"/>
        <w:rPr>
          <w:sz w:val="20"/>
          <w:szCs w:val="20"/>
          <w:color w:val="auto"/>
        </w:rPr>
      </w:pPr>
      <w:r>
        <w:rPr>
          <w:rFonts w:ascii="Times New Roman" w:cs="Times New Roman" w:eastAsia="Times New Roman" w:hAnsi="Times New Roman"/>
          <w:sz w:val="22"/>
          <w:szCs w:val="22"/>
          <w:color w:val="auto"/>
        </w:rPr>
        <w:t xml:space="preserve">and procedures to the extent primarily or exclusively relating to the Business and (ii) copies of any Contract templates, form Contracts, material general corporate and operational policies applicable to Business Employees or customers or suppliers and material procedures applicable to Business Employees or customer or suppliers, in each case, to the extent related to the Business (which copies, in the case of this clause (ii), Purchaser may use for a period of ninety (90) days following the Closing pursuant to a license on the terms set forth in the first sentence of </w:t>
      </w:r>
      <w:r>
        <w:rPr>
          <w:rFonts w:ascii="Times New Roman" w:cs="Times New Roman" w:eastAsia="Times New Roman" w:hAnsi="Times New Roman"/>
          <w:sz w:val="22"/>
          <w:szCs w:val="22"/>
          <w:u w:val="single" w:color="auto"/>
          <w:color w:val="auto"/>
        </w:rPr>
        <w:t>Section 7.11(c)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mutatis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mutandis</w:t>
      </w:r>
      <w:r>
        <w:rPr>
          <w:rFonts w:ascii="Times New Roman" w:cs="Times New Roman" w:eastAsia="Times New Roman" w:hAnsi="Times New Roman"/>
          <w:sz w:val="22"/>
          <w:szCs w:val="22"/>
          <w:color w:val="auto"/>
        </w:rPr>
        <w:t>, unless such Contract, material policy or material procedure would otherwise be a Transferred Contract but for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this clause (ii), in which case this parenetical shall be disregarded) and (B) all rights and claims under any and all transferrable warranties extended by suppliers, vendors, contractors, manufacturers and licensors, rights to refunds or rebates;</w:t>
      </w:r>
    </w:p>
    <w:p>
      <w:pPr>
        <w:spacing w:after="0" w:line="180" w:lineRule="exact"/>
        <w:rPr>
          <w:sz w:val="20"/>
          <w:szCs w:val="20"/>
          <w:color w:val="auto"/>
        </w:rPr>
      </w:pPr>
    </w:p>
    <w:p>
      <w:pPr>
        <w:jc w:val="both"/>
        <w:ind w:left="520" w:firstLine="645"/>
        <w:spacing w:after="0" w:line="250" w:lineRule="auto"/>
        <w:tabs>
          <w:tab w:leader="none" w:pos="1931"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Claims.</w:t>
      </w:r>
      <w:r>
        <w:rPr>
          <w:rFonts w:ascii="Times New Roman" w:cs="Times New Roman" w:eastAsia="Times New Roman" w:hAnsi="Times New Roman"/>
          <w:sz w:val="22"/>
          <w:szCs w:val="22"/>
          <w:color w:val="auto"/>
        </w:rPr>
        <w:t xml:space="preserve"> All affirmative claims, causes of action, rights of offset or counterclaim and defenses and settlement agreements (in any manner arising or existing, whether choate or inchoate, known or unknown, contingent or otherwise) to the extent primarily or exclusively related to the Business or the Transferred Assets, in each case, that are not Excluded Business Claims or rights, counterclaims, defenses or settlement agreements primarily or exclusively related to Excluded Business Claims;</w:t>
      </w:r>
    </w:p>
    <w:p>
      <w:pPr>
        <w:spacing w:after="0" w:line="194" w:lineRule="exact"/>
        <w:rPr>
          <w:rFonts w:ascii="Times New Roman" w:cs="Times New Roman" w:eastAsia="Times New Roman" w:hAnsi="Times New Roman"/>
          <w:sz w:val="22"/>
          <w:szCs w:val="22"/>
          <w:color w:val="auto"/>
        </w:rPr>
      </w:pPr>
    </w:p>
    <w:p>
      <w:pPr>
        <w:jc w:val="both"/>
        <w:ind w:left="520" w:firstLine="645"/>
        <w:spacing w:after="0" w:line="250" w:lineRule="auto"/>
        <w:tabs>
          <w:tab w:leader="none" w:pos="1951"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Accounts Receivable.</w:t>
      </w:r>
      <w:r>
        <w:rPr>
          <w:rFonts w:ascii="Times New Roman" w:cs="Times New Roman" w:eastAsia="Times New Roman" w:hAnsi="Times New Roman"/>
          <w:sz w:val="22"/>
          <w:szCs w:val="22"/>
          <w:color w:val="auto"/>
        </w:rPr>
        <w:t xml:space="preserve"> Except to the extent between Seller, on the one hand, and one or more other members of the Seller Group, on the other hand, all billed and unbilled accounts receivable, notes receivable and similar rights to receive payments or rebates existing as of immediately prior to the Effective Time, in each case, to the extent captured in the calculation of Closing Working Capital (regardless of whether such balances primarily or exclusively relate to the Business or any Transferred Asset);</w:t>
      </w:r>
    </w:p>
    <w:p>
      <w:pPr>
        <w:spacing w:after="0" w:line="194" w:lineRule="exact"/>
        <w:rPr>
          <w:rFonts w:ascii="Times New Roman" w:cs="Times New Roman" w:eastAsia="Times New Roman" w:hAnsi="Times New Roman"/>
          <w:sz w:val="22"/>
          <w:szCs w:val="22"/>
          <w:color w:val="auto"/>
        </w:rPr>
      </w:pPr>
    </w:p>
    <w:p>
      <w:pPr>
        <w:ind w:left="520" w:firstLine="645"/>
        <w:spacing w:after="0" w:line="271" w:lineRule="auto"/>
        <w:tabs>
          <w:tab w:leader="none" w:pos="1817"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Prepaid Items.</w:t>
      </w:r>
      <w:r>
        <w:rPr>
          <w:rFonts w:ascii="Times New Roman" w:cs="Times New Roman" w:eastAsia="Times New Roman" w:hAnsi="Times New Roman"/>
          <w:sz w:val="22"/>
          <w:szCs w:val="22"/>
          <w:color w:val="auto"/>
        </w:rPr>
        <w:t xml:space="preserve"> All credits, prepaid expenses, deferred charges, advance payments and security deposits to the extent primarily or exclusively arising out of the operation or conduct of the Business;</w:t>
      </w:r>
    </w:p>
    <w:p>
      <w:pPr>
        <w:spacing w:after="0" w:line="157" w:lineRule="exact"/>
        <w:rPr>
          <w:rFonts w:ascii="Times New Roman" w:cs="Times New Roman" w:eastAsia="Times New Roman" w:hAnsi="Times New Roman"/>
          <w:sz w:val="22"/>
          <w:szCs w:val="22"/>
          <w:color w:val="auto"/>
        </w:rPr>
      </w:pPr>
    </w:p>
    <w:p>
      <w:pPr>
        <w:jc w:val="both"/>
        <w:ind w:left="520" w:firstLine="645"/>
        <w:spacing w:after="0" w:line="256" w:lineRule="auto"/>
        <w:tabs>
          <w:tab w:leader="none" w:pos="1879"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Benefit Plans.</w:t>
      </w:r>
      <w:r>
        <w:rPr>
          <w:rFonts w:ascii="Times New Roman" w:cs="Times New Roman" w:eastAsia="Times New Roman" w:hAnsi="Times New Roman"/>
          <w:sz w:val="22"/>
          <w:szCs w:val="22"/>
          <w:color w:val="auto"/>
        </w:rPr>
        <w:t xml:space="preserve"> The Seller Benefit Plans set forth on </w:t>
      </w:r>
      <w:r>
        <w:rPr>
          <w:rFonts w:ascii="Times New Roman" w:cs="Times New Roman" w:eastAsia="Times New Roman" w:hAnsi="Times New Roman"/>
          <w:sz w:val="22"/>
          <w:szCs w:val="22"/>
          <w:u w:val="single" w:color="auto"/>
          <w:color w:val="auto"/>
        </w:rPr>
        <w:t>Section 2.02(a)(xv)</w:t>
      </w:r>
      <w:r>
        <w:rPr>
          <w:rFonts w:ascii="Times New Roman" w:cs="Times New Roman" w:eastAsia="Times New Roman" w:hAnsi="Times New Roman"/>
          <w:sz w:val="22"/>
          <w:szCs w:val="22"/>
          <w:color w:val="auto"/>
        </w:rPr>
        <w:t xml:space="preserve"> of the Disclosure Letter (the “</w:t>
      </w:r>
      <w:r>
        <w:rPr>
          <w:rFonts w:ascii="Times New Roman" w:cs="Times New Roman" w:eastAsia="Times New Roman" w:hAnsi="Times New Roman"/>
          <w:sz w:val="22"/>
          <w:szCs w:val="22"/>
          <w:u w:val="single" w:color="auto"/>
          <w:color w:val="auto"/>
        </w:rPr>
        <w:t>Assumed Benefit Plans</w:t>
      </w:r>
      <w:r>
        <w:rPr>
          <w:rFonts w:ascii="Times New Roman" w:cs="Times New Roman" w:eastAsia="Times New Roman" w:hAnsi="Times New Roman"/>
          <w:sz w:val="22"/>
          <w:szCs w:val="22"/>
          <w:color w:val="auto"/>
        </w:rPr>
        <w:t>”), and all assets of or relating to (including all assets held in trust in any form) and any insurance, administration or other Contracts relating to such Assumed Benefit Plans (all such assets, the “</w:t>
      </w:r>
      <w:r>
        <w:rPr>
          <w:rFonts w:ascii="Times New Roman" w:cs="Times New Roman" w:eastAsia="Times New Roman" w:hAnsi="Times New Roman"/>
          <w:sz w:val="22"/>
          <w:szCs w:val="22"/>
          <w:u w:val="single" w:color="auto"/>
          <w:color w:val="auto"/>
        </w:rPr>
        <w:t>Transferred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Plan Assets</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ind w:left="1800" w:hanging="635"/>
        <w:spacing w:after="0"/>
        <w:tabs>
          <w:tab w:leader="none" w:pos="180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Union Contracts</w:t>
      </w:r>
      <w:r>
        <w:rPr>
          <w:rFonts w:ascii="Times New Roman" w:cs="Times New Roman" w:eastAsia="Times New Roman" w:hAnsi="Times New Roman"/>
          <w:sz w:val="22"/>
          <w:szCs w:val="22"/>
          <w:color w:val="auto"/>
        </w:rPr>
        <w:t>. Each CBA;</w:t>
      </w:r>
    </w:p>
    <w:p>
      <w:pPr>
        <w:spacing w:after="0" w:line="219" w:lineRule="exact"/>
        <w:rPr>
          <w:rFonts w:ascii="Times New Roman" w:cs="Times New Roman" w:eastAsia="Times New Roman" w:hAnsi="Times New Roman"/>
          <w:sz w:val="22"/>
          <w:szCs w:val="22"/>
          <w:color w:val="auto"/>
        </w:rPr>
      </w:pPr>
    </w:p>
    <w:p>
      <w:pPr>
        <w:ind w:left="520" w:firstLine="645"/>
        <w:spacing w:after="0" w:line="271" w:lineRule="auto"/>
        <w:tabs>
          <w:tab w:leader="none" w:pos="1999"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Assets</w:t>
      </w:r>
      <w:r>
        <w:rPr>
          <w:rFonts w:ascii="Times New Roman" w:cs="Times New Roman" w:eastAsia="Times New Roman" w:hAnsi="Times New Roman"/>
          <w:sz w:val="22"/>
          <w:szCs w:val="22"/>
          <w:color w:val="auto"/>
        </w:rPr>
        <w:t xml:space="preserve">. All Tax credits, Tax refunds and Tax reclaim rights with respect to any Taxes that are Assumed Liabilities described in </w:t>
      </w:r>
      <w:r>
        <w:rPr>
          <w:rFonts w:ascii="Times New Roman" w:cs="Times New Roman" w:eastAsia="Times New Roman" w:hAnsi="Times New Roman"/>
          <w:sz w:val="22"/>
          <w:szCs w:val="22"/>
          <w:u w:val="single" w:color="auto"/>
          <w:color w:val="auto"/>
        </w:rPr>
        <w:t>Section 2.03(a)(iii)</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jc w:val="both"/>
        <w:ind w:left="520" w:firstLine="645"/>
        <w:spacing w:after="0" w:line="256" w:lineRule="auto"/>
        <w:tabs>
          <w:tab w:leader="none" w:pos="1978"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7.05</w:t>
      </w:r>
      <w:r>
        <w:rPr>
          <w:rFonts w:ascii="Times New Roman" w:cs="Times New Roman" w:eastAsia="Times New Roman" w:hAnsi="Times New Roman"/>
          <w:sz w:val="22"/>
          <w:szCs w:val="22"/>
          <w:color w:val="auto"/>
        </w:rPr>
        <w:t>, any and all claims, rights to make claims and rights to proceeds on any insurance policies, binders and interests in each case with respect to the Business; provided, that none of the foregoing rights shall apply with respect to any self-insurance program or any portion or layer of insurance coverage that is self-insured by any member of the Seller Group;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- 21 -</w:t>
      </w:r>
    </w:p>
    <w:p>
      <w:pPr>
        <w:sectPr>
          <w:pgSz w:w="11900" w:h="16838" w:orient="portrait"/>
          <w:cols w:equalWidth="0" w:num="1">
            <w:col w:w="11020"/>
          </w:cols>
          <w:pgMar w:left="540" w:top="1422" w:right="339" w:bottom="1440" w:gutter="0" w:footer="0" w:header="0"/>
        </w:sectPr>
      </w:pPr>
    </w:p>
    <w:bookmarkStart w:id="90" w:name="page91"/>
    <w:bookmarkEnd w:id="90"/>
    <w:p>
      <w:pPr>
        <w:jc w:val="both"/>
        <w:ind w:left="516" w:firstLine="645"/>
        <w:spacing w:after="0" w:line="256" w:lineRule="auto"/>
        <w:tabs>
          <w:tab w:leader="none" w:pos="1800" w:val="left"/>
        </w:tabs>
        <w:numPr>
          <w:ilvl w:val="2"/>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Assets</w:t>
      </w:r>
      <w:r>
        <w:rPr>
          <w:rFonts w:ascii="Times New Roman" w:cs="Times New Roman" w:eastAsia="Times New Roman" w:hAnsi="Times New Roman"/>
          <w:sz w:val="22"/>
          <w:szCs w:val="22"/>
          <w:color w:val="auto"/>
        </w:rPr>
        <w:t xml:space="preserve">. All other assets (tangible or intangible) held primarily or exclusively for use, or primarily or exclusively used, by the Business, not expressly included in clauses (i) through (xviii) of this </w:t>
      </w:r>
      <w:r>
        <w:rPr>
          <w:rFonts w:ascii="Times New Roman" w:cs="Times New Roman" w:eastAsia="Times New Roman" w:hAnsi="Times New Roman"/>
          <w:sz w:val="22"/>
          <w:szCs w:val="22"/>
          <w:u w:val="single" w:color="auto"/>
          <w:color w:val="auto"/>
        </w:rPr>
        <w:t>Section 2.02(a)</w:t>
      </w:r>
      <w:r>
        <w:rPr>
          <w:rFonts w:ascii="Times New Roman" w:cs="Times New Roman" w:eastAsia="Times New Roman" w:hAnsi="Times New Roman"/>
          <w:sz w:val="22"/>
          <w:szCs w:val="22"/>
          <w:color w:val="auto"/>
        </w:rPr>
        <w:t>, other than assets that would be included in such clauses (i) through (xviii) were it not for the qualifications, exceptions and limitations set forth therein.</w:t>
      </w:r>
    </w:p>
    <w:p>
      <w:pPr>
        <w:spacing w:after="0" w:line="176" w:lineRule="exact"/>
        <w:rPr>
          <w:rFonts w:ascii="Times New Roman" w:cs="Times New Roman" w:eastAsia="Times New Roman" w:hAnsi="Times New Roman"/>
          <w:sz w:val="22"/>
          <w:szCs w:val="22"/>
          <w:color w:val="auto"/>
        </w:rPr>
      </w:pPr>
    </w:p>
    <w:p>
      <w:pPr>
        <w:jc w:val="both"/>
        <w:ind w:left="-224" w:firstLine="1304"/>
        <w:spacing w:after="0" w:line="257" w:lineRule="auto"/>
        <w:tabs>
          <w:tab w:leader="none" w:pos="1567"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Excluded Assets.</w:t>
      </w:r>
      <w:r>
        <w:rPr>
          <w:rFonts w:ascii="Times New Roman" w:cs="Times New Roman" w:eastAsia="Times New Roman" w:hAnsi="Times New Roman"/>
          <w:sz w:val="22"/>
          <w:szCs w:val="22"/>
          <w:color w:val="auto"/>
        </w:rPr>
        <w:t xml:space="preserve"> The term “</w:t>
      </w:r>
      <w:r>
        <w:rPr>
          <w:rFonts w:ascii="Times New Roman" w:cs="Times New Roman" w:eastAsia="Times New Roman" w:hAnsi="Times New Roman"/>
          <w:sz w:val="22"/>
          <w:szCs w:val="22"/>
          <w:u w:val="single" w:color="auto"/>
          <w:color w:val="auto"/>
        </w:rPr>
        <w:t>Excluded Assets</w:t>
      </w:r>
      <w:r>
        <w:rPr>
          <w:rFonts w:ascii="Times New Roman" w:cs="Times New Roman" w:eastAsia="Times New Roman" w:hAnsi="Times New Roman"/>
          <w:sz w:val="22"/>
          <w:szCs w:val="22"/>
          <w:color w:val="auto"/>
        </w:rPr>
        <w:t>” shall mean each member of the Seller Group’s right, title and interest in, to and under all assets of the Seller Group that do not constitute Transferred Assets, including the following (which shall in no way be deemed to limit the items expressly included as a Transferred Asset):</w:t>
      </w:r>
    </w:p>
    <w:p>
      <w:pPr>
        <w:spacing w:after="0" w:line="172" w:lineRule="exact"/>
        <w:rPr>
          <w:rFonts w:ascii="Times New Roman" w:cs="Times New Roman" w:eastAsia="Times New Roman" w:hAnsi="Times New Roman"/>
          <w:sz w:val="22"/>
          <w:szCs w:val="22"/>
          <w:color w:val="auto"/>
        </w:rPr>
      </w:pPr>
    </w:p>
    <w:p>
      <w:pPr>
        <w:jc w:val="both"/>
        <w:ind w:left="516" w:firstLine="645"/>
        <w:spacing w:after="0" w:line="256" w:lineRule="auto"/>
        <w:tabs>
          <w:tab w:leader="none" w:pos="1692" w:val="left"/>
        </w:tabs>
        <w:numPr>
          <w:ilvl w:val="2"/>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Accounts Receivable.</w:t>
      </w:r>
      <w:r>
        <w:rPr>
          <w:rFonts w:ascii="Times New Roman" w:cs="Times New Roman" w:eastAsia="Times New Roman" w:hAnsi="Times New Roman"/>
          <w:sz w:val="22"/>
          <w:szCs w:val="22"/>
          <w:color w:val="auto"/>
        </w:rPr>
        <w:t xml:space="preserve"> All billed and unbilled accounts receivable, notes receivable and similar rights to receive payments or rebates of any member of the Seller Group, in each case, that are not captured in the calculation of Closing Working Capital (regardless of whether such balances primarily or exclusively relate to the Business or any Transferred Assets), whether arising before, on or after the Effective Time;</w:t>
      </w:r>
    </w:p>
    <w:p>
      <w:pPr>
        <w:spacing w:after="0" w:line="176" w:lineRule="exact"/>
        <w:rPr>
          <w:rFonts w:ascii="Times New Roman" w:cs="Times New Roman" w:eastAsia="Times New Roman" w:hAnsi="Times New Roman"/>
          <w:sz w:val="22"/>
          <w:szCs w:val="22"/>
          <w:color w:val="auto"/>
        </w:rPr>
      </w:pPr>
    </w:p>
    <w:p>
      <w:pPr>
        <w:jc w:val="both"/>
        <w:ind w:left="516" w:firstLine="645"/>
        <w:spacing w:after="0" w:line="257" w:lineRule="auto"/>
        <w:tabs>
          <w:tab w:leader="none" w:pos="1698" w:val="left"/>
        </w:tabs>
        <w:numPr>
          <w:ilvl w:val="2"/>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Guarantees.</w:t>
      </w:r>
      <w:r>
        <w:rPr>
          <w:rFonts w:ascii="Times New Roman" w:cs="Times New Roman" w:eastAsia="Times New Roman" w:hAnsi="Times New Roman"/>
          <w:sz w:val="22"/>
          <w:szCs w:val="22"/>
          <w:color w:val="auto"/>
        </w:rPr>
        <w:t xml:space="preserve"> Any guarantee, letter of credit, surety bond (including any performance bond), credit support arrangement or other assurance of payment issued by any member of the Seller Group, including any of the same that are, in whole or in part, for the benefit of the Business or with respect to any Transferred Asset or Assumed Liability;</w:t>
      </w:r>
    </w:p>
    <w:p>
      <w:pPr>
        <w:spacing w:after="0" w:line="186" w:lineRule="exact"/>
        <w:rPr>
          <w:rFonts w:ascii="Times New Roman" w:cs="Times New Roman" w:eastAsia="Times New Roman" w:hAnsi="Times New Roman"/>
          <w:sz w:val="22"/>
          <w:szCs w:val="22"/>
          <w:color w:val="auto"/>
        </w:rPr>
      </w:pPr>
    </w:p>
    <w:p>
      <w:pPr>
        <w:jc w:val="both"/>
        <w:ind w:left="516" w:firstLine="645"/>
        <w:spacing w:after="0" w:line="252" w:lineRule="auto"/>
        <w:tabs>
          <w:tab w:leader="none" w:pos="1758" w:val="left"/>
        </w:tabs>
        <w:numPr>
          <w:ilvl w:val="2"/>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xml:space="preserve"> Except as otherwise contemplated by </w:t>
      </w:r>
      <w:r>
        <w:rPr>
          <w:rFonts w:ascii="Times New Roman" w:cs="Times New Roman" w:eastAsia="Times New Roman" w:hAnsi="Times New Roman"/>
          <w:sz w:val="22"/>
          <w:szCs w:val="22"/>
          <w:u w:val="single" w:color="auto"/>
          <w:color w:val="auto"/>
        </w:rPr>
        <w:t>Section 7.05</w:t>
      </w:r>
      <w:r>
        <w:rPr>
          <w:rFonts w:ascii="Times New Roman" w:cs="Times New Roman" w:eastAsia="Times New Roman" w:hAnsi="Times New Roman"/>
          <w:sz w:val="22"/>
          <w:szCs w:val="22"/>
          <w:color w:val="auto"/>
        </w:rPr>
        <w:t>, all existing and prior insurance policies or self-insurance programs arranged or maintained by any member of the Seller Group and all rights of any nature with respect thereto, including all rights to insurance recoveries thereunder and to assert claims with respect to any such insurance recoveries, whether arising before, on or after the Closing Date;</w:t>
      </w:r>
    </w:p>
    <w:p>
      <w:pPr>
        <w:spacing w:after="0" w:line="179" w:lineRule="exact"/>
        <w:rPr>
          <w:rFonts w:ascii="Times New Roman" w:cs="Times New Roman" w:eastAsia="Times New Roman" w:hAnsi="Times New Roman"/>
          <w:sz w:val="22"/>
          <w:szCs w:val="22"/>
          <w:color w:val="auto"/>
        </w:rPr>
      </w:pPr>
    </w:p>
    <w:p>
      <w:pPr>
        <w:ind w:left="516" w:firstLine="645"/>
        <w:spacing w:after="0" w:line="284" w:lineRule="auto"/>
        <w:tabs>
          <w:tab w:leader="none" w:pos="1719" w:val="left"/>
        </w:tabs>
        <w:numPr>
          <w:ilvl w:val="2"/>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Assets.</w:t>
      </w:r>
      <w:r>
        <w:rPr>
          <w:rFonts w:ascii="Times New Roman" w:cs="Times New Roman" w:eastAsia="Times New Roman" w:hAnsi="Times New Roman"/>
          <w:sz w:val="22"/>
          <w:szCs w:val="22"/>
          <w:color w:val="auto"/>
        </w:rPr>
        <w:t xml:space="preserve"> All Tax credits, Tax refunds, Tax reclaim rights and other Tax assets with respect to any Taxes described in </w:t>
      </w:r>
      <w:r>
        <w:rPr>
          <w:rFonts w:ascii="Times New Roman" w:cs="Times New Roman" w:eastAsia="Times New Roman" w:hAnsi="Times New Roman"/>
          <w:sz w:val="22"/>
          <w:szCs w:val="22"/>
          <w:u w:val="single" w:color="auto"/>
          <w:color w:val="auto"/>
        </w:rPr>
        <w:t>Section 2.03(b)(iii)</w:t>
      </w:r>
      <w:r>
        <w:rPr>
          <w:rFonts w:ascii="Times New Roman" w:cs="Times New Roman" w:eastAsia="Times New Roman" w:hAnsi="Times New Roman"/>
          <w:sz w:val="22"/>
          <w:szCs w:val="22"/>
          <w:color w:val="auto"/>
        </w:rPr>
        <w:t>;</w:t>
      </w:r>
    </w:p>
    <w:p>
      <w:pPr>
        <w:spacing w:after="0" w:line="143" w:lineRule="exact"/>
        <w:rPr>
          <w:rFonts w:ascii="Times New Roman" w:cs="Times New Roman" w:eastAsia="Times New Roman" w:hAnsi="Times New Roman"/>
          <w:sz w:val="22"/>
          <w:szCs w:val="22"/>
          <w:color w:val="auto"/>
        </w:rPr>
      </w:pPr>
    </w:p>
    <w:p>
      <w:pPr>
        <w:jc w:val="both"/>
        <w:ind w:left="516" w:firstLine="645"/>
        <w:spacing w:after="0" w:line="247" w:lineRule="auto"/>
        <w:tabs>
          <w:tab w:leader="none" w:pos="1699" w:val="left"/>
        </w:tabs>
        <w:numPr>
          <w:ilvl w:val="2"/>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Records.</w:t>
      </w:r>
      <w:r>
        <w:rPr>
          <w:rFonts w:ascii="Times New Roman" w:cs="Times New Roman" w:eastAsia="Times New Roman" w:hAnsi="Times New Roman"/>
          <w:sz w:val="22"/>
          <w:szCs w:val="22"/>
          <w:color w:val="auto"/>
        </w:rPr>
        <w:t xml:space="preserve"> All (A) Records that are not Transferred Records, (B) personnel Records maintained by any member of the Seller Group, in each case, except the Transferred Personnel Records, (C) all Tax Returns and Tax related work papers of a Seller Consolidated Group or with respect to Income Taxes, (D) all financial and Tax Records relating to the Business that form part of any member of the Seller Group’s general ledger or otherwise constitute accounting Records, (E) Records prepared or received in connection with the Transactions and the preceding sale process and not in connection with the operation of the Business (other than Records disclosed in the Data Room or other diligence materials provided by or on behalf of Seller to Purchaser or its Representatives), and (F) back-up copies of the Transferred Records retained by any member of the Seller Group in the ordinary course of business and pursuant to </w:t>
      </w:r>
      <w:r>
        <w:rPr>
          <w:rFonts w:ascii="Times New Roman" w:cs="Times New Roman" w:eastAsia="Times New Roman" w:hAnsi="Times New Roman"/>
          <w:sz w:val="22"/>
          <w:szCs w:val="22"/>
          <w:i w:val="1"/>
          <w:iCs w:val="1"/>
          <w:color w:val="auto"/>
        </w:rPr>
        <w:t>bona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fide </w:t>
      </w:r>
      <w:r>
        <w:rPr>
          <w:rFonts w:ascii="Times New Roman" w:cs="Times New Roman" w:eastAsia="Times New Roman" w:hAnsi="Times New Roman"/>
          <w:sz w:val="22"/>
          <w:szCs w:val="22"/>
          <w:color w:val="auto"/>
        </w:rPr>
        <w:t>internal compliance, document retention or similar policies and procedures (each of the foregoing, to the extent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related to the Business, a Transferred Asset or an Assumed Liability, an “</w:t>
      </w:r>
      <w:r>
        <w:rPr>
          <w:rFonts w:ascii="Times New Roman" w:cs="Times New Roman" w:eastAsia="Times New Roman" w:hAnsi="Times New Roman"/>
          <w:sz w:val="22"/>
          <w:szCs w:val="22"/>
          <w:u w:val="single" w:color="auto"/>
          <w:color w:val="auto"/>
        </w:rPr>
        <w:t>Other Record</w:t>
      </w:r>
      <w:r>
        <w:rPr>
          <w:rFonts w:ascii="Times New Roman" w:cs="Times New Roman" w:eastAsia="Times New Roman" w:hAnsi="Times New Roman"/>
          <w:sz w:val="22"/>
          <w:szCs w:val="22"/>
          <w:color w:val="auto"/>
        </w:rPr>
        <w:t>”);</w:t>
      </w:r>
    </w:p>
    <w:p>
      <w:pPr>
        <w:spacing w:after="0" w:line="204" w:lineRule="exact"/>
        <w:rPr>
          <w:rFonts w:ascii="Times New Roman" w:cs="Times New Roman" w:eastAsia="Times New Roman" w:hAnsi="Times New Roman"/>
          <w:sz w:val="22"/>
          <w:szCs w:val="22"/>
          <w:color w:val="auto"/>
        </w:rPr>
      </w:pPr>
    </w:p>
    <w:p>
      <w:pPr>
        <w:jc w:val="both"/>
        <w:ind w:left="516" w:firstLine="645"/>
        <w:spacing w:after="0" w:line="257" w:lineRule="auto"/>
        <w:tabs>
          <w:tab w:leader="none" w:pos="1894" w:val="left"/>
        </w:tabs>
        <w:numPr>
          <w:ilvl w:val="2"/>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Contracts.</w:t>
      </w:r>
      <w:r>
        <w:rPr>
          <w:rFonts w:ascii="Times New Roman" w:cs="Times New Roman" w:eastAsia="Times New Roman" w:hAnsi="Times New Roman"/>
          <w:sz w:val="22"/>
          <w:szCs w:val="22"/>
          <w:color w:val="auto"/>
        </w:rPr>
        <w:t xml:space="preserve"> All rights of any member of the Seller Group under (A) this Agreement and the other Transaction Documents, (B) any Shared Contracts not set forth on </w:t>
      </w:r>
      <w:r>
        <w:rPr>
          <w:rFonts w:ascii="Times New Roman" w:cs="Times New Roman" w:eastAsia="Times New Roman" w:hAnsi="Times New Roman"/>
          <w:sz w:val="22"/>
          <w:szCs w:val="22"/>
          <w:u w:val="single" w:color="auto"/>
          <w:color w:val="auto"/>
        </w:rPr>
        <w:t>Section 2.02(b)(vi)</w:t>
      </w:r>
      <w:r>
        <w:rPr>
          <w:rFonts w:ascii="Times New Roman" w:cs="Times New Roman" w:eastAsia="Times New Roman" w:hAnsi="Times New Roman"/>
          <w:sz w:val="22"/>
          <w:szCs w:val="22"/>
          <w:color w:val="auto"/>
        </w:rPr>
        <w:t xml:space="preserve"> of the Disclosure Letter (such Shared Contracts set forth on </w:t>
      </w:r>
      <w:r>
        <w:rPr>
          <w:rFonts w:ascii="Times New Roman" w:cs="Times New Roman" w:eastAsia="Times New Roman" w:hAnsi="Times New Roman"/>
          <w:sz w:val="22"/>
          <w:szCs w:val="22"/>
          <w:u w:val="single" w:color="auto"/>
          <w:color w:val="auto"/>
        </w:rPr>
        <w:t>Section 2.02(b)(vi)</w:t>
      </w:r>
      <w:r>
        <w:rPr>
          <w:rFonts w:ascii="Times New Roman" w:cs="Times New Roman" w:eastAsia="Times New Roman" w:hAnsi="Times New Roman"/>
          <w:sz w:val="22"/>
          <w:szCs w:val="22"/>
          <w:color w:val="auto"/>
        </w:rPr>
        <w:t xml:space="preserve"> of the Disclosure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2" w:lineRule="exact"/>
        <w:rPr>
          <w:rFonts w:ascii="Times New Roman" w:cs="Times New Roman" w:eastAsia="Times New Roman" w:hAnsi="Times New Roman"/>
          <w:sz w:val="22"/>
          <w:szCs w:val="22"/>
          <w:color w:val="auto"/>
        </w:rPr>
      </w:pPr>
    </w:p>
    <w:p>
      <w:pPr>
        <w:ind w:left="136" w:hanging="136"/>
        <w:spacing w:after="0"/>
        <w:tabs>
          <w:tab w:leader="none" w:pos="13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22 -</w:t>
      </w:r>
    </w:p>
    <w:p>
      <w:pPr>
        <w:sectPr>
          <w:pgSz w:w="11900" w:h="16838" w:orient="portrait"/>
          <w:cols w:equalWidth="0" w:num="1">
            <w:col w:w="11016"/>
          </w:cols>
          <w:pgMar w:left="544" w:top="1422" w:right="339" w:bottom="1440" w:gutter="0" w:footer="0" w:header="0"/>
        </w:sectPr>
      </w:pPr>
    </w:p>
    <w:bookmarkStart w:id="91" w:name="page92"/>
    <w:bookmarkEnd w:id="91"/>
    <w:p>
      <w:pPr>
        <w:jc w:val="both"/>
        <w:ind w:left="520"/>
        <w:spacing w:after="0" w:line="275" w:lineRule="auto"/>
        <w:rPr>
          <w:sz w:val="20"/>
          <w:szCs w:val="20"/>
          <w:color w:val="auto"/>
        </w:rPr>
      </w:pPr>
      <w:r>
        <w:rPr>
          <w:rFonts w:ascii="Times New Roman" w:cs="Times New Roman" w:eastAsia="Times New Roman" w:hAnsi="Times New Roman"/>
          <w:sz w:val="21"/>
          <w:szCs w:val="21"/>
          <w:color w:val="auto"/>
        </w:rPr>
        <w:t>Letter, the “</w:t>
      </w:r>
      <w:r>
        <w:rPr>
          <w:rFonts w:ascii="Times New Roman" w:cs="Times New Roman" w:eastAsia="Times New Roman" w:hAnsi="Times New Roman"/>
          <w:sz w:val="21"/>
          <w:szCs w:val="21"/>
          <w:u w:val="single" w:color="auto"/>
          <w:color w:val="auto"/>
        </w:rPr>
        <w:t>Included Shared Contracts</w:t>
      </w:r>
      <w:r>
        <w:rPr>
          <w:rFonts w:ascii="Times New Roman" w:cs="Times New Roman" w:eastAsia="Times New Roman" w:hAnsi="Times New Roman"/>
          <w:sz w:val="21"/>
          <w:szCs w:val="21"/>
          <w:color w:val="auto"/>
        </w:rPr>
        <w:t>”), (C) any Contracts between the Seller, on the one hand, and one or more other members of the Seller Group, on the other hand, and (D) any Contracts relating exclusively or primarily to the Retained Businesses, in each case whether arising before, on or after the Closing Date (collectively, the “</w:t>
      </w:r>
      <w:r>
        <w:rPr>
          <w:rFonts w:ascii="Times New Roman" w:cs="Times New Roman" w:eastAsia="Times New Roman" w:hAnsi="Times New Roman"/>
          <w:sz w:val="21"/>
          <w:szCs w:val="21"/>
          <w:u w:val="single" w:color="auto"/>
          <w:color w:val="auto"/>
        </w:rPr>
        <w:t>Excluded Contracts</w:t>
      </w:r>
      <w:r>
        <w:rPr>
          <w:rFonts w:ascii="Times New Roman" w:cs="Times New Roman" w:eastAsia="Times New Roman" w:hAnsi="Times New Roman"/>
          <w:sz w:val="21"/>
          <w:szCs w:val="21"/>
          <w:color w:val="auto"/>
        </w:rPr>
        <w:t>”);</w:t>
      </w:r>
    </w:p>
    <w:p>
      <w:pPr>
        <w:spacing w:after="0" w:line="169" w:lineRule="exact"/>
        <w:rPr>
          <w:sz w:val="20"/>
          <w:szCs w:val="20"/>
          <w:color w:val="auto"/>
        </w:rPr>
      </w:pPr>
    </w:p>
    <w:p>
      <w:pPr>
        <w:jc w:val="both"/>
        <w:ind w:left="520" w:firstLine="645"/>
        <w:spacing w:after="0" w:line="257" w:lineRule="auto"/>
        <w:tabs>
          <w:tab w:leader="none" w:pos="186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Benefit Plans.</w:t>
      </w:r>
      <w:r>
        <w:rPr>
          <w:rFonts w:ascii="Times New Roman" w:cs="Times New Roman" w:eastAsia="Times New Roman" w:hAnsi="Times New Roman"/>
          <w:sz w:val="22"/>
          <w:szCs w:val="22"/>
          <w:color w:val="auto"/>
        </w:rPr>
        <w:t xml:space="preserve"> Seller Benefit Plans and all the assets of or relating to, and all rights under, any Seller Benefit Plans or any related Contract between any Person and any member of the Seller Group or Seller Benefit Plan, other than the Assumed Benefit Plans and Transferred Plan Assets;</w:t>
      </w:r>
    </w:p>
    <w:p>
      <w:pPr>
        <w:spacing w:after="0" w:line="172" w:lineRule="exact"/>
        <w:rPr>
          <w:rFonts w:ascii="Times New Roman" w:cs="Times New Roman" w:eastAsia="Times New Roman" w:hAnsi="Times New Roman"/>
          <w:sz w:val="22"/>
          <w:szCs w:val="22"/>
          <w:color w:val="auto"/>
        </w:rPr>
      </w:pPr>
    </w:p>
    <w:p>
      <w:pPr>
        <w:jc w:val="both"/>
        <w:ind w:left="520" w:firstLine="645"/>
        <w:spacing w:after="0" w:line="256" w:lineRule="auto"/>
        <w:tabs>
          <w:tab w:leader="none" w:pos="196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Corporate Organizational Records.</w:t>
      </w:r>
      <w:r>
        <w:rPr>
          <w:rFonts w:ascii="Times New Roman" w:cs="Times New Roman" w:eastAsia="Times New Roman" w:hAnsi="Times New Roman"/>
          <w:sz w:val="22"/>
          <w:szCs w:val="22"/>
          <w:color w:val="auto"/>
        </w:rPr>
        <w:t xml:space="preserve"> The organizational documents, qualifications to do business as a foreign corporation, arrangements with registered agents relating to foreign qualifications, taxpayer and other identification numbers, seals and blank stock certificates and minute books, stock transfer books and other Records relating to the organization, maintenance and existence of any member of the Seller Group;</w:t>
      </w:r>
    </w:p>
    <w:p>
      <w:pPr>
        <w:spacing w:after="0" w:line="176" w:lineRule="exact"/>
        <w:rPr>
          <w:rFonts w:ascii="Times New Roman" w:cs="Times New Roman" w:eastAsia="Times New Roman" w:hAnsi="Times New Roman"/>
          <w:sz w:val="22"/>
          <w:szCs w:val="22"/>
          <w:color w:val="auto"/>
        </w:rPr>
      </w:pPr>
    </w:p>
    <w:p>
      <w:pPr>
        <w:jc w:val="both"/>
        <w:ind w:left="520" w:firstLine="645"/>
        <w:spacing w:after="0" w:line="257" w:lineRule="auto"/>
        <w:tabs>
          <w:tab w:leader="none" w:pos="1817"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Intercompany Inventory.</w:t>
      </w:r>
      <w:r>
        <w:rPr>
          <w:rFonts w:ascii="Times New Roman" w:cs="Times New Roman" w:eastAsia="Times New Roman" w:hAnsi="Times New Roman"/>
          <w:sz w:val="22"/>
          <w:szCs w:val="22"/>
          <w:color w:val="auto"/>
        </w:rPr>
        <w:t xml:space="preserve"> All Intercompany Inventory, and all supplies, raw materials, work-in-process, merchandise, products and other inventories of the Seller Group that are not located at a Transferred Real Property to the extent not exclusively or primarily used in connection with the Business;</w:t>
      </w:r>
    </w:p>
    <w:p>
      <w:pPr>
        <w:spacing w:after="0" w:line="172" w:lineRule="exact"/>
        <w:rPr>
          <w:rFonts w:ascii="Times New Roman" w:cs="Times New Roman" w:eastAsia="Times New Roman" w:hAnsi="Times New Roman"/>
          <w:sz w:val="22"/>
          <w:szCs w:val="22"/>
          <w:color w:val="auto"/>
        </w:rPr>
      </w:pPr>
    </w:p>
    <w:p>
      <w:pPr>
        <w:ind w:left="520" w:firstLine="645"/>
        <w:spacing w:after="0" w:line="284" w:lineRule="auto"/>
        <w:tabs>
          <w:tab w:leader="none" w:pos="163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Capital Stock.</w:t>
      </w:r>
      <w:r>
        <w:rPr>
          <w:rFonts w:ascii="Times New Roman" w:cs="Times New Roman" w:eastAsia="Times New Roman" w:hAnsi="Times New Roman"/>
          <w:sz w:val="22"/>
          <w:szCs w:val="22"/>
          <w:color w:val="auto"/>
        </w:rPr>
        <w:t xml:space="preserve"> All shares of capital stock, membership interests or other equity securities of (A) any member of the Seller Group, or (B) other Persons that are owned or held by any member of the Seller Group;</w:t>
      </w:r>
    </w:p>
    <w:p>
      <w:pPr>
        <w:spacing w:after="0" w:line="143" w:lineRule="exact"/>
        <w:rPr>
          <w:rFonts w:ascii="Times New Roman" w:cs="Times New Roman" w:eastAsia="Times New Roman" w:hAnsi="Times New Roman"/>
          <w:sz w:val="22"/>
          <w:szCs w:val="22"/>
          <w:color w:val="auto"/>
        </w:rPr>
      </w:pPr>
    </w:p>
    <w:p>
      <w:pPr>
        <w:jc w:val="both"/>
        <w:ind w:left="520" w:firstLine="645"/>
        <w:spacing w:after="0" w:line="257" w:lineRule="auto"/>
        <w:tabs>
          <w:tab w:leader="none" w:pos="180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Forms and Policies.</w:t>
      </w:r>
      <w:r>
        <w:rPr>
          <w:rFonts w:ascii="Times New Roman" w:cs="Times New Roman" w:eastAsia="Times New Roman" w:hAnsi="Times New Roman"/>
          <w:sz w:val="22"/>
          <w:szCs w:val="22"/>
          <w:color w:val="auto"/>
        </w:rPr>
        <w:t xml:space="preserve"> Any Contract templates, form Contracts, general corporate and sector policies and procedures not primarily or exclusively used in connection with the Business and not otherwise included as a Transferred Asset pursuant to </w:t>
      </w:r>
      <w:r>
        <w:rPr>
          <w:rFonts w:ascii="Times New Roman" w:cs="Times New Roman" w:eastAsia="Times New Roman" w:hAnsi="Times New Roman"/>
          <w:sz w:val="22"/>
          <w:szCs w:val="22"/>
          <w:u w:val="single" w:color="auto"/>
          <w:color w:val="auto"/>
        </w:rPr>
        <w:t>Section 2.02(a)(xi)</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jc w:val="both"/>
        <w:ind w:left="520" w:firstLine="645"/>
        <w:spacing w:after="0" w:line="272" w:lineRule="auto"/>
        <w:tabs>
          <w:tab w:leader="none" w:pos="1769"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Excluded Claims.</w:t>
      </w:r>
      <w:r>
        <w:rPr>
          <w:rFonts w:ascii="Times New Roman" w:cs="Times New Roman" w:eastAsia="Times New Roman" w:hAnsi="Times New Roman"/>
          <w:sz w:val="21"/>
          <w:szCs w:val="21"/>
          <w:color w:val="auto"/>
        </w:rPr>
        <w:t xml:space="preserve"> All affirmative claims, causes of action, defenses, rights of offset or counterclaim to the extent (A) not relating exclusively or primarily to the Business or the Transferred Assets, including any of the same to the extent relating to the Retained Businesses, the Excluded Assets or the Retained Liabilities and not primarily related to the Business or the Transferred Assets, or (B) primarily or exclusively related to an Excluded Business Claim;</w:t>
      </w:r>
    </w:p>
    <w:p>
      <w:pPr>
        <w:spacing w:after="0" w:line="160" w:lineRule="exact"/>
        <w:rPr>
          <w:rFonts w:ascii="Times New Roman" w:cs="Times New Roman" w:eastAsia="Times New Roman" w:hAnsi="Times New Roman"/>
          <w:sz w:val="21"/>
          <w:szCs w:val="21"/>
          <w:color w:val="auto"/>
        </w:rPr>
      </w:pPr>
    </w:p>
    <w:p>
      <w:pPr>
        <w:ind w:left="1820" w:hanging="655"/>
        <w:spacing w:after="0"/>
        <w:tabs>
          <w:tab w:leader="none" w:pos="182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w:t>
      </w:r>
      <w:r>
        <w:rPr>
          <w:rFonts w:ascii="Times New Roman" w:cs="Times New Roman" w:eastAsia="Times New Roman" w:hAnsi="Times New Roman"/>
          <w:sz w:val="22"/>
          <w:szCs w:val="22"/>
          <w:color w:val="auto"/>
        </w:rPr>
        <w:t xml:space="preserve"> All Cash of the Seller Group;</w:t>
      </w:r>
    </w:p>
    <w:p>
      <w:pPr>
        <w:spacing w:after="0" w:line="219" w:lineRule="exact"/>
        <w:rPr>
          <w:rFonts w:ascii="Times New Roman" w:cs="Times New Roman" w:eastAsia="Times New Roman" w:hAnsi="Times New Roman"/>
          <w:sz w:val="22"/>
          <w:szCs w:val="22"/>
          <w:color w:val="auto"/>
        </w:rPr>
      </w:pPr>
    </w:p>
    <w:p>
      <w:pPr>
        <w:jc w:val="both"/>
        <w:ind w:left="520" w:firstLine="645"/>
        <w:spacing w:after="0" w:line="263" w:lineRule="auto"/>
        <w:tabs>
          <w:tab w:leader="none" w:pos="189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Retained Businesses</w:t>
      </w:r>
      <w:r>
        <w:rPr>
          <w:rFonts w:ascii="Times New Roman" w:cs="Times New Roman" w:eastAsia="Times New Roman" w:hAnsi="Times New Roman"/>
          <w:sz w:val="22"/>
          <w:szCs w:val="22"/>
          <w:color w:val="auto"/>
        </w:rPr>
        <w:t>. All assets (tangible or intangible) of the Seller Group that are not exclusively or primarily used in connection with the Business, including the Shared Services and Assets and the business, operations and activities related to Hydroquinone;</w:t>
      </w:r>
    </w:p>
    <w:p>
      <w:pPr>
        <w:spacing w:after="0" w:line="167" w:lineRule="exact"/>
        <w:rPr>
          <w:rFonts w:ascii="Times New Roman" w:cs="Times New Roman" w:eastAsia="Times New Roman" w:hAnsi="Times New Roman"/>
          <w:sz w:val="22"/>
          <w:szCs w:val="22"/>
          <w:color w:val="auto"/>
        </w:rPr>
      </w:pPr>
    </w:p>
    <w:p>
      <w:pPr>
        <w:ind w:left="520" w:firstLine="645"/>
        <w:spacing w:after="0" w:line="271" w:lineRule="auto"/>
        <w:tabs>
          <w:tab w:leader="none" w:pos="1879"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All Intellectual Property of the Seller Group other than Transferred Intellectual Property, including, without limitation, the Seller Retained Trademarks.</w:t>
      </w:r>
    </w:p>
    <w:p>
      <w:pPr>
        <w:spacing w:after="0" w:line="157" w:lineRule="exact"/>
        <w:rPr>
          <w:rFonts w:ascii="Times New Roman" w:cs="Times New Roman" w:eastAsia="Times New Roman" w:hAnsi="Times New Roman"/>
          <w:sz w:val="22"/>
          <w:szCs w:val="22"/>
          <w:color w:val="auto"/>
        </w:rPr>
      </w:pPr>
    </w:p>
    <w:p>
      <w:pPr>
        <w:ind w:left="520" w:firstLine="645"/>
        <w:spacing w:after="0" w:line="271" w:lineRule="auto"/>
        <w:tabs>
          <w:tab w:leader="none" w:pos="1979"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Corporate Systems and Assets</w:t>
      </w:r>
      <w:r>
        <w:rPr>
          <w:rFonts w:ascii="Times New Roman" w:cs="Times New Roman" w:eastAsia="Times New Roman" w:hAnsi="Times New Roman"/>
          <w:sz w:val="22"/>
          <w:szCs w:val="22"/>
          <w:color w:val="auto"/>
        </w:rPr>
        <w:t>. All corporate-wide or division-wide systems, properties and assets, including management information systems and software, computer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- 23 -</w:t>
      </w:r>
    </w:p>
    <w:p>
      <w:pPr>
        <w:sectPr>
          <w:pgSz w:w="11900" w:h="16838" w:orient="portrait"/>
          <w:cols w:equalWidth="0" w:num="1">
            <w:col w:w="11020"/>
          </w:cols>
          <w:pgMar w:left="540" w:top="1422" w:right="339" w:bottom="1440" w:gutter="0" w:footer="0" w:header="0"/>
        </w:sectPr>
      </w:pPr>
    </w:p>
    <w:bookmarkStart w:id="92" w:name="page93"/>
    <w:bookmarkEnd w:id="92"/>
    <w:p>
      <w:pPr>
        <w:jc w:val="both"/>
        <w:ind w:left="516"/>
        <w:spacing w:after="0" w:line="257" w:lineRule="auto"/>
        <w:rPr>
          <w:sz w:val="20"/>
          <w:szCs w:val="20"/>
          <w:color w:val="auto"/>
        </w:rPr>
      </w:pPr>
      <w:r>
        <w:rPr>
          <w:rFonts w:ascii="Times New Roman" w:cs="Times New Roman" w:eastAsia="Times New Roman" w:hAnsi="Times New Roman"/>
          <w:sz w:val="22"/>
          <w:szCs w:val="22"/>
          <w:color w:val="auto"/>
        </w:rPr>
        <w:t>communications systems and software and related third-party software, internet protocol address spaces, voicemail and messaging systems and related Intellectual Property and technology and assets, including the assets that shall be utilized by Seller in providing services to Purchaser under the Transition Services Agreement; and</w:t>
      </w:r>
    </w:p>
    <w:p>
      <w:pPr>
        <w:spacing w:after="0" w:line="186" w:lineRule="exact"/>
        <w:rPr>
          <w:sz w:val="20"/>
          <w:szCs w:val="20"/>
          <w:color w:val="auto"/>
        </w:rPr>
      </w:pPr>
    </w:p>
    <w:p>
      <w:pPr>
        <w:ind w:left="1856" w:hanging="695"/>
        <w:spacing w:after="0"/>
        <w:tabs>
          <w:tab w:leader="none" w:pos="1856"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Excluded Assets.</w:t>
      </w:r>
      <w:r>
        <w:rPr>
          <w:rFonts w:ascii="Times New Roman" w:cs="Times New Roman" w:eastAsia="Times New Roman" w:hAnsi="Times New Roman"/>
          <w:sz w:val="22"/>
          <w:szCs w:val="22"/>
          <w:color w:val="auto"/>
        </w:rPr>
        <w:t xml:space="preserve"> All other assets listed on </w:t>
      </w:r>
      <w:r>
        <w:rPr>
          <w:rFonts w:ascii="Times New Roman" w:cs="Times New Roman" w:eastAsia="Times New Roman" w:hAnsi="Times New Roman"/>
          <w:sz w:val="22"/>
          <w:szCs w:val="22"/>
          <w:u w:val="single" w:color="auto"/>
          <w:color w:val="auto"/>
        </w:rPr>
        <w:t>Section 2.02(b)(xvii)</w:t>
      </w:r>
      <w:r>
        <w:rPr>
          <w:rFonts w:ascii="Times New Roman" w:cs="Times New Roman" w:eastAsia="Times New Roman" w:hAnsi="Times New Roman"/>
          <w:sz w:val="22"/>
          <w:szCs w:val="22"/>
          <w:color w:val="auto"/>
        </w:rPr>
        <w:t xml:space="preserve"> of the Disclosure Letter.</w:t>
      </w:r>
    </w:p>
    <w:p>
      <w:pPr>
        <w:spacing w:after="0" w:line="219" w:lineRule="exact"/>
        <w:rPr>
          <w:rFonts w:ascii="Times New Roman" w:cs="Times New Roman" w:eastAsia="Times New Roman" w:hAnsi="Times New Roman"/>
          <w:sz w:val="22"/>
          <w:szCs w:val="22"/>
          <w:color w:val="auto"/>
        </w:rPr>
      </w:pPr>
    </w:p>
    <w:p>
      <w:pPr>
        <w:jc w:val="both"/>
        <w:ind w:left="-224" w:firstLine="1304"/>
        <w:spacing w:after="0" w:line="253" w:lineRule="auto"/>
        <w:tabs>
          <w:tab w:leader="none" w:pos="1568"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herein or in any of the other Transaction Documents, Purchaser is not purchasing, and the Seller is not selling, assigning, transferring, conveying or delivering (except as otherwise contemplated by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 pursuant to this Agreement or any of the other Transaction Documents, any of the Seller’s (or any other member of the Seller Group’s) right, title or interest in any asset that is not a Transferred Asset or an Included Shared Contract, including any Excluded Asset.</w:t>
      </w:r>
    </w:p>
    <w:p>
      <w:pPr>
        <w:spacing w:after="0" w:line="179" w:lineRule="exact"/>
        <w:rPr>
          <w:sz w:val="20"/>
          <w:szCs w:val="20"/>
          <w:color w:val="auto"/>
        </w:rPr>
      </w:pPr>
    </w:p>
    <w:p>
      <w:pPr>
        <w:ind w:left="1156"/>
        <w:spacing w:after="0"/>
        <w:tabs>
          <w:tab w:leader="none" w:pos="2436" w:val="left"/>
        </w:tabs>
        <w:rPr>
          <w:sz w:val="20"/>
          <w:szCs w:val="20"/>
          <w:color w:val="auto"/>
        </w:rPr>
      </w:pPr>
      <w:r>
        <w:rPr>
          <w:rFonts w:ascii="Times New Roman" w:cs="Times New Roman" w:eastAsia="Times New Roman" w:hAnsi="Times New Roman"/>
          <w:sz w:val="22"/>
          <w:szCs w:val="22"/>
          <w:color w:val="auto"/>
        </w:rPr>
        <w:t>Section 2.03</w:t>
      </w:r>
      <w:r>
        <w:rPr>
          <w:sz w:val="20"/>
          <w:szCs w:val="20"/>
          <w:color w:val="auto"/>
        </w:rPr>
        <w:tab/>
      </w:r>
      <w:r>
        <w:rPr>
          <w:rFonts w:ascii="Times New Roman" w:cs="Times New Roman" w:eastAsia="Times New Roman" w:hAnsi="Times New Roman"/>
          <w:sz w:val="21"/>
          <w:szCs w:val="21"/>
          <w:u w:val="single" w:color="auto"/>
          <w:color w:val="auto"/>
        </w:rPr>
        <w:t>Assumed Liabilities; Retained Liabilities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224" w:firstLine="1304"/>
        <w:spacing w:after="0" w:line="252" w:lineRule="auto"/>
        <w:tabs>
          <w:tab w:leader="none" w:pos="1528"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Assumed Liabilities.</w:t>
      </w:r>
      <w:r>
        <w:rPr>
          <w:rFonts w:ascii="Times New Roman" w:cs="Times New Roman" w:eastAsia="Times New Roman" w:hAnsi="Times New Roman"/>
          <w:sz w:val="22"/>
          <w:szCs w:val="22"/>
          <w:color w:val="auto"/>
        </w:rPr>
        <w:t xml:space="preserve"> The term “</w:t>
      </w:r>
      <w:r>
        <w:rPr>
          <w:rFonts w:ascii="Times New Roman" w:cs="Times New Roman" w:eastAsia="Times New Roman" w:hAnsi="Times New Roman"/>
          <w:sz w:val="22"/>
          <w:szCs w:val="22"/>
          <w:u w:val="single" w:color="auto"/>
          <w:color w:val="auto"/>
        </w:rPr>
        <w:t>Assumed Liabilities</w:t>
      </w:r>
      <w:r>
        <w:rPr>
          <w:rFonts w:ascii="Times New Roman" w:cs="Times New Roman" w:eastAsia="Times New Roman" w:hAnsi="Times New Roman"/>
          <w:sz w:val="22"/>
          <w:szCs w:val="22"/>
          <w:color w:val="auto"/>
        </w:rPr>
        <w:t>” shall mean any and all Liabilities of any member of the Seller Group to the extent primarily or exclusively arising out of, relating to or in respect of the Business or any Transferred Asset, including the following Liabilities, in each case (except where specified otherwise below) whether arising before, on or after the Closing Date (but, for the avoidance of doubt, excluding the Retained Liabilities):</w:t>
      </w:r>
    </w:p>
    <w:p>
      <w:pPr>
        <w:spacing w:after="0" w:line="192" w:lineRule="exact"/>
        <w:rPr>
          <w:rFonts w:ascii="Times New Roman" w:cs="Times New Roman" w:eastAsia="Times New Roman" w:hAnsi="Times New Roman"/>
          <w:sz w:val="22"/>
          <w:szCs w:val="22"/>
          <w:color w:val="auto"/>
        </w:rPr>
      </w:pPr>
    </w:p>
    <w:p>
      <w:pPr>
        <w:jc w:val="both"/>
        <w:ind w:left="516" w:firstLine="645"/>
        <w:spacing w:after="0" w:line="257" w:lineRule="auto"/>
        <w:tabs>
          <w:tab w:leader="none" w:pos="1813" w:val="left"/>
        </w:tabs>
        <w:numPr>
          <w:ilvl w:val="2"/>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Accounts Payable.</w:t>
      </w:r>
      <w:r>
        <w:rPr>
          <w:rFonts w:ascii="Times New Roman" w:cs="Times New Roman" w:eastAsia="Times New Roman" w:hAnsi="Times New Roman"/>
          <w:sz w:val="22"/>
          <w:szCs w:val="22"/>
          <w:color w:val="auto"/>
        </w:rPr>
        <w:t xml:space="preserve"> All accrued receipts and accounts payable and other current Liabilities that are specifically and adequately captured in the calculation of Closing Working Capital (regardless of whether such balances primarily or exclusively relate to the Business or any Transferred Asset);</w:t>
      </w:r>
    </w:p>
    <w:p>
      <w:pPr>
        <w:spacing w:after="0" w:line="172" w:lineRule="exact"/>
        <w:rPr>
          <w:rFonts w:ascii="Times New Roman" w:cs="Times New Roman" w:eastAsia="Times New Roman" w:hAnsi="Times New Roman"/>
          <w:sz w:val="22"/>
          <w:szCs w:val="22"/>
          <w:color w:val="auto"/>
        </w:rPr>
      </w:pPr>
    </w:p>
    <w:p>
      <w:pPr>
        <w:jc w:val="both"/>
        <w:ind w:left="516" w:firstLine="645"/>
        <w:spacing w:after="0" w:line="263" w:lineRule="auto"/>
        <w:tabs>
          <w:tab w:leader="none" w:pos="1698" w:val="left"/>
        </w:tabs>
        <w:numPr>
          <w:ilvl w:val="2"/>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Transferred Contract Liabilities.</w:t>
      </w:r>
      <w:r>
        <w:rPr>
          <w:rFonts w:ascii="Times New Roman" w:cs="Times New Roman" w:eastAsia="Times New Roman" w:hAnsi="Times New Roman"/>
          <w:sz w:val="22"/>
          <w:szCs w:val="22"/>
          <w:color w:val="auto"/>
        </w:rPr>
        <w:t xml:space="preserve"> All Liabilities to the extent arising under, relating to or in respect of any Transferred Contract, including any past, current or future tort, breach of Contract or violation of, or non-compliance with, any such Transferred Contract;</w:t>
      </w:r>
    </w:p>
    <w:p>
      <w:pPr>
        <w:spacing w:after="0" w:line="167" w:lineRule="exact"/>
        <w:rPr>
          <w:rFonts w:ascii="Times New Roman" w:cs="Times New Roman" w:eastAsia="Times New Roman" w:hAnsi="Times New Roman"/>
          <w:sz w:val="22"/>
          <w:szCs w:val="22"/>
          <w:color w:val="auto"/>
        </w:rPr>
      </w:pPr>
    </w:p>
    <w:p>
      <w:pPr>
        <w:ind w:left="516" w:firstLine="645"/>
        <w:spacing w:after="0" w:line="271" w:lineRule="auto"/>
        <w:tabs>
          <w:tab w:leader="none" w:pos="1825" w:val="left"/>
        </w:tabs>
        <w:numPr>
          <w:ilvl w:val="2"/>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xml:space="preserve"> All liabilities for (A) Taxes imposed with respect to, arising out of or relating to the Assumed Liabilities or the Business, and (B) Transfer Taxes that are the responsibility of Purchaser pursuant to </w:t>
      </w:r>
      <w:r>
        <w:rPr>
          <w:rFonts w:ascii="Times New Roman" w:cs="Times New Roman" w:eastAsia="Times New Roman" w:hAnsi="Times New Roman"/>
          <w:sz w:val="22"/>
          <w:szCs w:val="22"/>
          <w:u w:val="single" w:color="auto"/>
          <w:color w:val="auto"/>
        </w:rPr>
        <w:t>Section 7.10(a)</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jc w:val="both"/>
        <w:ind w:left="516" w:firstLine="645"/>
        <w:spacing w:after="0" w:line="251" w:lineRule="auto"/>
        <w:tabs>
          <w:tab w:leader="none" w:pos="1719" w:val="left"/>
        </w:tabs>
        <w:numPr>
          <w:ilvl w:val="2"/>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Transferred Asset Liabilities.</w:t>
      </w:r>
      <w:r>
        <w:rPr>
          <w:rFonts w:ascii="Times New Roman" w:cs="Times New Roman" w:eastAsia="Times New Roman" w:hAnsi="Times New Roman"/>
          <w:sz w:val="22"/>
          <w:szCs w:val="22"/>
          <w:color w:val="auto"/>
        </w:rPr>
        <w:t xml:space="preserve"> All Liabilities to the extent arising under, relating to or in respect of (A) any Transferred Asset, to the extent that the event, action (or inaction) or circumstance that caused or led to such Liability first occurred or arose during the twenty-four (24) month period immediately preceding the Closing Date or (B) ownership, use or conduct of any Transferred Asset (including the ownership by Purchaser or any of its Affiliates of any Transferred Asset, or associated with the realization of the benefits of any Transferred Asset by Purchaser or any of its Affiliates) in each case arising on or after the Closing;</w:t>
      </w:r>
    </w:p>
    <w:p>
      <w:pPr>
        <w:spacing w:after="0" w:line="181" w:lineRule="exact"/>
        <w:rPr>
          <w:rFonts w:ascii="Times New Roman" w:cs="Times New Roman" w:eastAsia="Times New Roman" w:hAnsi="Times New Roman"/>
          <w:sz w:val="22"/>
          <w:szCs w:val="22"/>
          <w:color w:val="auto"/>
        </w:rPr>
      </w:pPr>
    </w:p>
    <w:p>
      <w:pPr>
        <w:ind w:left="516" w:right="20" w:firstLine="645"/>
        <w:spacing w:after="0" w:line="271" w:lineRule="auto"/>
        <w:tabs>
          <w:tab w:leader="none" w:pos="1726" w:val="left"/>
        </w:tabs>
        <w:numPr>
          <w:ilvl w:val="2"/>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Environmental Liabilities.</w:t>
      </w:r>
      <w:r>
        <w:rPr>
          <w:rFonts w:ascii="Times New Roman" w:cs="Times New Roman" w:eastAsia="Times New Roman" w:hAnsi="Times New Roman"/>
          <w:sz w:val="22"/>
          <w:szCs w:val="22"/>
          <w:color w:val="auto"/>
        </w:rPr>
        <w:t xml:space="preserve"> All Business Environmental Liabilities, except for the Legacy Environmental Release Liabilities;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97" w:lineRule="exact"/>
        <w:rPr>
          <w:rFonts w:ascii="Times New Roman" w:cs="Times New Roman" w:eastAsia="Times New Roman" w:hAnsi="Times New Roman"/>
          <w:sz w:val="22"/>
          <w:szCs w:val="22"/>
          <w:color w:val="auto"/>
        </w:rPr>
      </w:pPr>
    </w:p>
    <w:p>
      <w:pPr>
        <w:ind w:left="136" w:hanging="136"/>
        <w:spacing w:after="0"/>
        <w:tabs>
          <w:tab w:leader="none" w:pos="136"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24 -</w:t>
      </w:r>
    </w:p>
    <w:p>
      <w:pPr>
        <w:sectPr>
          <w:pgSz w:w="11900" w:h="16838" w:orient="portrait"/>
          <w:cols w:equalWidth="0" w:num="1">
            <w:col w:w="11016"/>
          </w:cols>
          <w:pgMar w:left="544" w:top="1422" w:right="339" w:bottom="1440" w:gutter="0" w:footer="0" w:header="0"/>
        </w:sectPr>
      </w:pPr>
    </w:p>
    <w:bookmarkStart w:id="93" w:name="page94"/>
    <w:bookmarkEnd w:id="93"/>
    <w:p>
      <w:pPr>
        <w:jc w:val="both"/>
        <w:ind w:left="516" w:firstLine="645"/>
        <w:spacing w:after="0" w:line="253" w:lineRule="auto"/>
        <w:tabs>
          <w:tab w:leader="none" w:pos="1705" w:val="left"/>
        </w:tabs>
        <w:numPr>
          <w:ilvl w:val="2"/>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Business Claims.</w:t>
      </w:r>
      <w:r>
        <w:rPr>
          <w:rFonts w:ascii="Times New Roman" w:cs="Times New Roman" w:eastAsia="Times New Roman" w:hAnsi="Times New Roman"/>
          <w:sz w:val="22"/>
          <w:szCs w:val="22"/>
          <w:color w:val="auto"/>
        </w:rPr>
        <w:t xml:space="preserve"> All Liabilities and Losses (including the costs and expenses of counsel) in respect of any Action or claims that are not pending or threatened or asserted in writing or, to the Knowledge of the Seller, orally during the twenty four (24) month period prior to the Closing Date, in each case, excluding Actions and claims relating to employees, which are the subject of </w:t>
      </w:r>
      <w:r>
        <w:rPr>
          <w:rFonts w:ascii="Times New Roman" w:cs="Times New Roman" w:eastAsia="Times New Roman" w:hAnsi="Times New Roman"/>
          <w:sz w:val="22"/>
          <w:szCs w:val="22"/>
          <w:u w:val="single" w:color="auto"/>
          <w:color w:val="auto"/>
        </w:rPr>
        <w:t>Section 2.03(a)(vii)</w:t>
      </w:r>
      <w:r>
        <w:rPr>
          <w:rFonts w:ascii="Times New Roman" w:cs="Times New Roman" w:eastAsia="Times New Roman" w:hAnsi="Times New Roman"/>
          <w:sz w:val="22"/>
          <w:szCs w:val="22"/>
          <w:color w:val="auto"/>
        </w:rPr>
        <w:t xml:space="preserve"> (all such Actions and claims that are not Assumed Liabilities, the “</w:t>
      </w:r>
      <w:r>
        <w:rPr>
          <w:rFonts w:ascii="Times New Roman" w:cs="Times New Roman" w:eastAsia="Times New Roman" w:hAnsi="Times New Roman"/>
          <w:sz w:val="22"/>
          <w:szCs w:val="22"/>
          <w:u w:val="single" w:color="auto"/>
          <w:color w:val="auto"/>
        </w:rPr>
        <w:t>Excluded Business Claims</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jc w:val="both"/>
        <w:ind w:left="516" w:firstLine="645"/>
        <w:spacing w:after="0" w:line="268" w:lineRule="auto"/>
        <w:tabs>
          <w:tab w:leader="none" w:pos="1792" w:val="left"/>
        </w:tabs>
        <w:numPr>
          <w:ilvl w:val="2"/>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Employment Matters.</w:t>
      </w:r>
      <w:r>
        <w:rPr>
          <w:rFonts w:ascii="Times New Roman" w:cs="Times New Roman" w:eastAsia="Times New Roman" w:hAnsi="Times New Roman"/>
          <w:sz w:val="21"/>
          <w:szCs w:val="21"/>
          <w:color w:val="auto"/>
        </w:rPr>
        <w:t xml:space="preserve"> All employment, labor and compensation related Liabilities and Losses (other than any severance Liabilities or Losses or, in each case, with respect to or arising under any Seller Benefit Plan that is not an Assumed Benefit Plan) (A) relating to each Transferred Employee (or any dependent or beneficiary thereof), (B) that Purchaser or its Affiliates have specifically agreed to assume pursuant to this Agreement, (C) that transfer to Purchaser or its Affiliates under applicable Law or (D) relating to any Assumed Benefit Plan and Transferred Plan Assets;</w:t>
      </w:r>
    </w:p>
    <w:p>
      <w:pPr>
        <w:spacing w:after="0" w:line="163" w:lineRule="exact"/>
        <w:rPr>
          <w:rFonts w:ascii="Times New Roman" w:cs="Times New Roman" w:eastAsia="Times New Roman" w:hAnsi="Times New Roman"/>
          <w:sz w:val="21"/>
          <w:szCs w:val="21"/>
          <w:color w:val="auto"/>
        </w:rPr>
      </w:pPr>
    </w:p>
    <w:p>
      <w:pPr>
        <w:ind w:left="1856" w:hanging="695"/>
        <w:spacing w:after="0"/>
        <w:tabs>
          <w:tab w:leader="none" w:pos="1856" w:val="left"/>
        </w:tabs>
        <w:numPr>
          <w:ilvl w:val="2"/>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Real Property.</w:t>
      </w:r>
      <w:r>
        <w:rPr>
          <w:rFonts w:ascii="Times New Roman" w:cs="Times New Roman" w:eastAsia="Times New Roman" w:hAnsi="Times New Roman"/>
          <w:sz w:val="22"/>
          <w:szCs w:val="22"/>
          <w:color w:val="auto"/>
        </w:rPr>
        <w:t xml:space="preserve"> All Liabilities to the extent arising under, relating to or in respect of the Transferred Real</w:t>
      </w:r>
    </w:p>
    <w:p>
      <w:pPr>
        <w:spacing w:after="0" w:line="27" w:lineRule="exact"/>
        <w:rPr>
          <w:rFonts w:ascii="Times New Roman" w:cs="Times New Roman" w:eastAsia="Times New Roman" w:hAnsi="Times New Roman"/>
          <w:sz w:val="22"/>
          <w:szCs w:val="22"/>
          <w:color w:val="auto"/>
        </w:rPr>
      </w:pPr>
    </w:p>
    <w:p>
      <w:pPr>
        <w:ind w:left="516"/>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Property;</w:t>
      </w:r>
    </w:p>
    <w:p>
      <w:pPr>
        <w:spacing w:after="0" w:line="195" w:lineRule="exact"/>
        <w:rPr>
          <w:rFonts w:ascii="Times New Roman" w:cs="Times New Roman" w:eastAsia="Times New Roman" w:hAnsi="Times New Roman"/>
          <w:sz w:val="22"/>
          <w:szCs w:val="22"/>
          <w:color w:val="auto"/>
        </w:rPr>
      </w:pPr>
    </w:p>
    <w:p>
      <w:pPr>
        <w:jc w:val="both"/>
        <w:ind w:left="516" w:firstLine="645"/>
        <w:spacing w:after="0" w:line="263" w:lineRule="auto"/>
        <w:tabs>
          <w:tab w:leader="none" w:pos="1719" w:val="left"/>
        </w:tabs>
        <w:numPr>
          <w:ilvl w:val="2"/>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Non-Compliance with Law/Permits</w:t>
      </w:r>
      <w:r>
        <w:rPr>
          <w:rFonts w:ascii="Times New Roman" w:cs="Times New Roman" w:eastAsia="Times New Roman" w:hAnsi="Times New Roman"/>
          <w:sz w:val="22"/>
          <w:szCs w:val="22"/>
          <w:color w:val="auto"/>
        </w:rPr>
        <w:t>. All Liabilities to the extent related to, arising out of or resulting from any past, current or future, tort, breach of Contract or violation of, or non-compliance with, any Law, Permit or Judgment; and</w:t>
      </w:r>
    </w:p>
    <w:p>
      <w:pPr>
        <w:spacing w:after="0" w:line="167" w:lineRule="exact"/>
        <w:rPr>
          <w:rFonts w:ascii="Times New Roman" w:cs="Times New Roman" w:eastAsia="Times New Roman" w:hAnsi="Times New Roman"/>
          <w:sz w:val="22"/>
          <w:szCs w:val="22"/>
          <w:color w:val="auto"/>
        </w:rPr>
      </w:pPr>
    </w:p>
    <w:p>
      <w:pPr>
        <w:ind w:left="1636" w:hanging="475"/>
        <w:spacing w:after="0"/>
        <w:tabs>
          <w:tab w:leader="none" w:pos="1636" w:val="left"/>
        </w:tabs>
        <w:numPr>
          <w:ilvl w:val="2"/>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CBA Liabilities.</w:t>
      </w:r>
      <w:r>
        <w:rPr>
          <w:rFonts w:ascii="Times New Roman" w:cs="Times New Roman" w:eastAsia="Times New Roman" w:hAnsi="Times New Roman"/>
          <w:sz w:val="22"/>
          <w:szCs w:val="22"/>
          <w:color w:val="auto"/>
        </w:rPr>
        <w:t xml:space="preserve"> All Liabilities to the extent arising under, relating to or in respect of each CBA.</w:t>
      </w:r>
    </w:p>
    <w:p>
      <w:pPr>
        <w:spacing w:after="0" w:line="219" w:lineRule="exact"/>
        <w:rPr>
          <w:rFonts w:ascii="Times New Roman" w:cs="Times New Roman" w:eastAsia="Times New Roman" w:hAnsi="Times New Roman"/>
          <w:sz w:val="22"/>
          <w:szCs w:val="22"/>
          <w:color w:val="auto"/>
        </w:rPr>
      </w:pPr>
    </w:p>
    <w:p>
      <w:pPr>
        <w:jc w:val="both"/>
        <w:ind w:left="-224" w:firstLine="1304"/>
        <w:spacing w:after="0" w:line="275" w:lineRule="auto"/>
        <w:tabs>
          <w:tab w:leader="none" w:pos="1540"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Retained Liabilities.</w:t>
      </w:r>
      <w:r>
        <w:rPr>
          <w:rFonts w:ascii="Times New Roman" w:cs="Times New Roman" w:eastAsia="Times New Roman" w:hAnsi="Times New Roman"/>
          <w:sz w:val="21"/>
          <w:szCs w:val="21"/>
          <w:color w:val="auto"/>
        </w:rPr>
        <w:t xml:space="preserve"> The term “</w:t>
      </w:r>
      <w:r>
        <w:rPr>
          <w:rFonts w:ascii="Times New Roman" w:cs="Times New Roman" w:eastAsia="Times New Roman" w:hAnsi="Times New Roman"/>
          <w:sz w:val="21"/>
          <w:szCs w:val="21"/>
          <w:u w:val="single" w:color="auto"/>
          <w:color w:val="auto"/>
        </w:rPr>
        <w:t>Retained Liabilities</w:t>
      </w:r>
      <w:r>
        <w:rPr>
          <w:rFonts w:ascii="Times New Roman" w:cs="Times New Roman" w:eastAsia="Times New Roman" w:hAnsi="Times New Roman"/>
          <w:sz w:val="21"/>
          <w:szCs w:val="21"/>
          <w:color w:val="auto"/>
        </w:rPr>
        <w:t>” shall mean only the following Liabilities of any member of the Seller Group, including all Liabilities and obligations of any member of the Seller Group not primarily or exclusively relating to or arising out of the Business or any Transferred Assets, in each case, other than the Assumed Liabilities:</w:t>
      </w:r>
    </w:p>
    <w:p>
      <w:pPr>
        <w:spacing w:after="0" w:line="168" w:lineRule="exact"/>
        <w:rPr>
          <w:rFonts w:ascii="Times New Roman" w:cs="Times New Roman" w:eastAsia="Times New Roman" w:hAnsi="Times New Roman"/>
          <w:sz w:val="21"/>
          <w:szCs w:val="21"/>
          <w:color w:val="auto"/>
        </w:rPr>
      </w:pPr>
    </w:p>
    <w:p>
      <w:pPr>
        <w:ind w:left="1576" w:hanging="415"/>
        <w:spacing w:after="0"/>
        <w:tabs>
          <w:tab w:leader="none" w:pos="1576" w:val="left"/>
        </w:tabs>
        <w:numPr>
          <w:ilvl w:val="2"/>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xml:space="preserve"> All Indebtedness of the Seller Group (including the Seller Indebtedness);</w:t>
      </w:r>
    </w:p>
    <w:p>
      <w:pPr>
        <w:spacing w:after="0" w:line="219" w:lineRule="exact"/>
        <w:rPr>
          <w:rFonts w:ascii="Times New Roman" w:cs="Times New Roman" w:eastAsia="Times New Roman" w:hAnsi="Times New Roman"/>
          <w:sz w:val="22"/>
          <w:szCs w:val="22"/>
          <w:color w:val="auto"/>
        </w:rPr>
      </w:pPr>
    </w:p>
    <w:p>
      <w:pPr>
        <w:jc w:val="both"/>
        <w:ind w:left="516" w:firstLine="645"/>
        <w:spacing w:after="0" w:line="248" w:lineRule="auto"/>
        <w:tabs>
          <w:tab w:leader="none" w:pos="1765" w:val="left"/>
        </w:tabs>
        <w:numPr>
          <w:ilvl w:val="2"/>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Transaction Expenses.</w:t>
      </w:r>
      <w:r>
        <w:rPr>
          <w:rFonts w:ascii="Times New Roman" w:cs="Times New Roman" w:eastAsia="Times New Roman" w:hAnsi="Times New Roman"/>
          <w:sz w:val="22"/>
          <w:szCs w:val="22"/>
          <w:color w:val="auto"/>
        </w:rPr>
        <w:t xml:space="preserve"> (A) All legal, accounting, financial advisory (including the Lazard Fees and the Lazard Agreement), consulting, finders and other fees, costs and expenses, including any such fees, costs and expenses related to the solicitation of any other potential purchasers of the Business or the consideration of strategic alternatives with respect thereto or otherwise incurred in connection with the Transactions and the preceding sale process, including the negotiation, execution and performance of this Agreement and the other Transaction Documents and the transactions contemplated hereby and thereby (including, for the avoidance of doubt, the costs and expenses, if any, incurred in connection with the Seller Indebtedness Releases and any penalty, payment or prepayment of principal or interest (including prepayment penalties payable) in connection with securing such Seller Indebtedness Releases under any such Seller Indebtedness), and (B) any retention, severance, change in control, sale, transaction, bonus, incentive or other similar payments or benefits owed or provided to any current or former employee, director, officer or other service provider of any member of the Seller Group that become payable in connection</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8" w:lineRule="exact"/>
        <w:rPr>
          <w:rFonts w:ascii="Times New Roman" w:cs="Times New Roman" w:eastAsia="Times New Roman" w:hAnsi="Times New Roman"/>
          <w:sz w:val="22"/>
          <w:szCs w:val="22"/>
          <w:color w:val="auto"/>
        </w:rPr>
      </w:pPr>
    </w:p>
    <w:p>
      <w:pPr>
        <w:ind w:left="136" w:hanging="136"/>
        <w:spacing w:after="0"/>
        <w:tabs>
          <w:tab w:leader="none" w:pos="13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25 -</w:t>
      </w:r>
    </w:p>
    <w:p>
      <w:pPr>
        <w:sectPr>
          <w:pgSz w:w="11900" w:h="16838" w:orient="portrait"/>
          <w:cols w:equalWidth="0" w:num="1">
            <w:col w:w="11016"/>
          </w:cols>
          <w:pgMar w:left="544" w:top="1422" w:right="339" w:bottom="1440" w:gutter="0" w:footer="0" w:header="0"/>
        </w:sectPr>
      </w:pPr>
    </w:p>
    <w:bookmarkStart w:id="94" w:name="page95"/>
    <w:bookmarkEnd w:id="94"/>
    <w:p>
      <w:pPr>
        <w:ind w:left="516"/>
        <w:spacing w:after="0" w:line="271" w:lineRule="auto"/>
        <w:rPr>
          <w:sz w:val="20"/>
          <w:szCs w:val="20"/>
          <w:color w:val="auto"/>
        </w:rPr>
      </w:pPr>
      <w:r>
        <w:rPr>
          <w:rFonts w:ascii="Times New Roman" w:cs="Times New Roman" w:eastAsia="Times New Roman" w:hAnsi="Times New Roman"/>
          <w:sz w:val="22"/>
          <w:szCs w:val="22"/>
          <w:color w:val="auto"/>
        </w:rPr>
        <w:t>with the execution of this Agreement or the consummation of the Transactions (including in combination with any other event) (together with the employer portion of any Taxes in respect of any such payments);</w:t>
      </w:r>
    </w:p>
    <w:p>
      <w:pPr>
        <w:spacing w:after="0" w:line="158" w:lineRule="exact"/>
        <w:rPr>
          <w:sz w:val="20"/>
          <w:szCs w:val="20"/>
          <w:color w:val="auto"/>
        </w:rPr>
      </w:pPr>
    </w:p>
    <w:p>
      <w:pPr>
        <w:jc w:val="both"/>
        <w:ind w:left="516" w:firstLine="645"/>
        <w:spacing w:after="0" w:line="251" w:lineRule="auto"/>
        <w:tabs>
          <w:tab w:leader="none" w:pos="1825" w:val="left"/>
        </w:tabs>
        <w:numPr>
          <w:ilvl w:val="2"/>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xml:space="preserve">. All liabilities for (A) Taxes of the Seller or any of its Affiliates (or any liability of any of the foregoing pursuant to Treasury Regulations Section 1.1502-6 or any similar or analogous provision of Law) for any Tax period, (B) Taxes with respect to any Excluded Asset, (C) Prorated Taxes for the portion of any Straddle Period ending on the Closing Date (determined in accordance with </w:t>
      </w:r>
      <w:r>
        <w:rPr>
          <w:rFonts w:ascii="Times New Roman" w:cs="Times New Roman" w:eastAsia="Times New Roman" w:hAnsi="Times New Roman"/>
          <w:sz w:val="22"/>
          <w:szCs w:val="22"/>
          <w:u w:val="single" w:color="auto"/>
          <w:color w:val="auto"/>
        </w:rPr>
        <w:t>Section 7.10(c)</w:t>
      </w:r>
      <w:r>
        <w:rPr>
          <w:rFonts w:ascii="Times New Roman" w:cs="Times New Roman" w:eastAsia="Times New Roman" w:hAnsi="Times New Roman"/>
          <w:sz w:val="22"/>
          <w:szCs w:val="22"/>
          <w:color w:val="auto"/>
        </w:rPr>
        <w:t xml:space="preserve">) to the extent not included in the calculation of Closing Working Capital as finally determined pursuant to </w:t>
      </w:r>
      <w:r>
        <w:rPr>
          <w:rFonts w:ascii="Times New Roman" w:cs="Times New Roman" w:eastAsia="Times New Roman" w:hAnsi="Times New Roman"/>
          <w:sz w:val="22"/>
          <w:szCs w:val="22"/>
          <w:u w:val="single" w:color="auto"/>
          <w:color w:val="auto"/>
        </w:rPr>
        <w:t>Section 2.08</w:t>
      </w:r>
      <w:r>
        <w:rPr>
          <w:rFonts w:ascii="Times New Roman" w:cs="Times New Roman" w:eastAsia="Times New Roman" w:hAnsi="Times New Roman"/>
          <w:sz w:val="22"/>
          <w:szCs w:val="22"/>
          <w:color w:val="auto"/>
        </w:rPr>
        <w:t xml:space="preserve"> and (D) Transfer Taxes that are the responsibility of Seller pursuant to </w:t>
      </w:r>
      <w:r>
        <w:rPr>
          <w:rFonts w:ascii="Times New Roman" w:cs="Times New Roman" w:eastAsia="Times New Roman" w:hAnsi="Times New Roman"/>
          <w:sz w:val="22"/>
          <w:szCs w:val="22"/>
          <w:u w:val="single" w:color="auto"/>
          <w:color w:val="auto"/>
        </w:rPr>
        <w:t>Section 7.10(a)</w:t>
      </w:r>
      <w:r>
        <w:rPr>
          <w:rFonts w:ascii="Times New Roman" w:cs="Times New Roman" w:eastAsia="Times New Roman" w:hAnsi="Times New Roman"/>
          <w:sz w:val="22"/>
          <w:szCs w:val="22"/>
          <w:color w:val="auto"/>
        </w:rPr>
        <w:t>;</w:t>
      </w:r>
    </w:p>
    <w:p>
      <w:pPr>
        <w:spacing w:after="0" w:line="194" w:lineRule="exact"/>
        <w:rPr>
          <w:rFonts w:ascii="Times New Roman" w:cs="Times New Roman" w:eastAsia="Times New Roman" w:hAnsi="Times New Roman"/>
          <w:sz w:val="22"/>
          <w:szCs w:val="22"/>
          <w:color w:val="auto"/>
        </w:rPr>
      </w:pPr>
    </w:p>
    <w:p>
      <w:pPr>
        <w:jc w:val="both"/>
        <w:ind w:left="516" w:firstLine="645"/>
        <w:spacing w:after="0" w:line="250" w:lineRule="auto"/>
        <w:tabs>
          <w:tab w:leader="none" w:pos="1800" w:val="left"/>
        </w:tabs>
        <w:numPr>
          <w:ilvl w:val="2"/>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Seller Benefit Plans</w:t>
      </w:r>
      <w:r>
        <w:rPr>
          <w:rFonts w:ascii="Times New Roman" w:cs="Times New Roman" w:eastAsia="Times New Roman" w:hAnsi="Times New Roman"/>
          <w:sz w:val="22"/>
          <w:szCs w:val="22"/>
          <w:color w:val="auto"/>
        </w:rPr>
        <w:t>. All Liabilities of Seller Group or any ERISA Affiliate with respect to any Seller Benefit Plan or any other Employee Benefit Plan at any time established, maintained, sponsored, or contributed to by Seller Group or any ERISA Affiliate and all Liabilities related to severance, employment, compensation, or benefits of any Business Employees who do not become Offer Employees or Transferred Employees (including whether due to not receiving an offer from Purchaser or its Affiliates or rejecting an offer received from Purchaser or its Affiliates);</w:t>
      </w:r>
    </w:p>
    <w:p>
      <w:pPr>
        <w:spacing w:after="0" w:line="180" w:lineRule="exact"/>
        <w:rPr>
          <w:rFonts w:ascii="Times New Roman" w:cs="Times New Roman" w:eastAsia="Times New Roman" w:hAnsi="Times New Roman"/>
          <w:sz w:val="22"/>
          <w:szCs w:val="22"/>
          <w:color w:val="auto"/>
        </w:rPr>
      </w:pPr>
    </w:p>
    <w:p>
      <w:pPr>
        <w:jc w:val="both"/>
        <w:ind w:left="516" w:firstLine="645"/>
        <w:spacing w:after="0" w:line="263" w:lineRule="auto"/>
        <w:tabs>
          <w:tab w:leader="none" w:pos="1713" w:val="left"/>
        </w:tabs>
        <w:numPr>
          <w:ilvl w:val="2"/>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Excluded Asset Liabilities</w:t>
      </w:r>
      <w:r>
        <w:rPr>
          <w:rFonts w:ascii="Times New Roman" w:cs="Times New Roman" w:eastAsia="Times New Roman" w:hAnsi="Times New Roman"/>
          <w:sz w:val="22"/>
          <w:szCs w:val="22"/>
          <w:color w:val="auto"/>
        </w:rPr>
        <w:t>. All Liabilities to the extent (A) arising under, relating to or in respect of any Excluded Asset, (B) exclusively or primarily arising under, relating to or in respect of the Retained Business, or (C) not otherwise expressly Assumed Liabilities;</w:t>
      </w:r>
    </w:p>
    <w:p>
      <w:pPr>
        <w:spacing w:after="0" w:line="167" w:lineRule="exact"/>
        <w:rPr>
          <w:rFonts w:ascii="Times New Roman" w:cs="Times New Roman" w:eastAsia="Times New Roman" w:hAnsi="Times New Roman"/>
          <w:sz w:val="22"/>
          <w:szCs w:val="22"/>
          <w:color w:val="auto"/>
        </w:rPr>
      </w:pPr>
    </w:p>
    <w:p>
      <w:pPr>
        <w:ind w:left="1696" w:hanging="535"/>
        <w:spacing w:after="0"/>
        <w:tabs>
          <w:tab w:leader="none" w:pos="1696" w:val="left"/>
        </w:tabs>
        <w:numPr>
          <w:ilvl w:val="2"/>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Environmental Liabilities.</w:t>
      </w:r>
      <w:r>
        <w:rPr>
          <w:rFonts w:ascii="Times New Roman" w:cs="Times New Roman" w:eastAsia="Times New Roman" w:hAnsi="Times New Roman"/>
          <w:sz w:val="22"/>
          <w:szCs w:val="22"/>
          <w:color w:val="auto"/>
        </w:rPr>
        <w:t xml:space="preserve"> The Legacy Environmental Release Liabilities; and</w:t>
      </w:r>
    </w:p>
    <w:p>
      <w:pPr>
        <w:spacing w:after="0" w:line="219" w:lineRule="exact"/>
        <w:rPr>
          <w:rFonts w:ascii="Times New Roman" w:cs="Times New Roman" w:eastAsia="Times New Roman" w:hAnsi="Times New Roman"/>
          <w:sz w:val="22"/>
          <w:szCs w:val="22"/>
          <w:color w:val="auto"/>
        </w:rPr>
      </w:pPr>
    </w:p>
    <w:p>
      <w:pPr>
        <w:ind w:left="516" w:right="20" w:firstLine="645"/>
        <w:spacing w:after="0" w:line="271" w:lineRule="auto"/>
        <w:tabs>
          <w:tab w:leader="none" w:pos="1833" w:val="left"/>
        </w:tabs>
        <w:numPr>
          <w:ilvl w:val="2"/>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Liabilities</w:t>
      </w:r>
      <w:r>
        <w:rPr>
          <w:rFonts w:ascii="Times New Roman" w:cs="Times New Roman" w:eastAsia="Times New Roman" w:hAnsi="Times New Roman"/>
          <w:sz w:val="22"/>
          <w:szCs w:val="22"/>
          <w:color w:val="auto"/>
        </w:rPr>
        <w:t xml:space="preserve">. Notwithstanding anything herein to the contrary, all Liabilities in respect of Excluded Business Claims and items set forth on </w:t>
      </w:r>
      <w:r>
        <w:rPr>
          <w:rFonts w:ascii="Times New Roman" w:cs="Times New Roman" w:eastAsia="Times New Roman" w:hAnsi="Times New Roman"/>
          <w:sz w:val="22"/>
          <w:szCs w:val="22"/>
          <w:u w:val="single" w:color="auto"/>
          <w:color w:val="auto"/>
        </w:rPr>
        <w:t>Section 2.03(b)(vii)</w:t>
      </w:r>
      <w:r>
        <w:rPr>
          <w:rFonts w:ascii="Times New Roman" w:cs="Times New Roman" w:eastAsia="Times New Roman" w:hAnsi="Times New Roman"/>
          <w:sz w:val="22"/>
          <w:szCs w:val="22"/>
          <w:color w:val="auto"/>
        </w:rPr>
        <w:t xml:space="preserve"> of the Disclosure Letter.</w:t>
      </w:r>
    </w:p>
    <w:p>
      <w:pPr>
        <w:spacing w:after="0" w:line="171" w:lineRule="exact"/>
        <w:rPr>
          <w:rFonts w:ascii="Times New Roman" w:cs="Times New Roman" w:eastAsia="Times New Roman" w:hAnsi="Times New Roman"/>
          <w:sz w:val="22"/>
          <w:szCs w:val="22"/>
          <w:color w:val="auto"/>
        </w:rPr>
      </w:pPr>
    </w:p>
    <w:p>
      <w:pPr>
        <w:jc w:val="both"/>
        <w:ind w:left="-224" w:firstLine="1304"/>
        <w:spacing w:after="0" w:line="257" w:lineRule="auto"/>
        <w:tabs>
          <w:tab w:leader="none" w:pos="1519"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Closing, Purchaser shall assume, or cause a Subsidiary thereof to assume, the Assumed Liabilities, and at and following the Closing, Purchaser shall, and shall cause such Subsidiaries to, timely pay, satisfy, discharge, perform and otherwise be responsible for the Assumed Liabilities.</w:t>
      </w:r>
    </w:p>
    <w:p>
      <w:pPr>
        <w:spacing w:after="0" w:line="172" w:lineRule="exact"/>
        <w:rPr>
          <w:rFonts w:ascii="Times New Roman" w:cs="Times New Roman" w:eastAsia="Times New Roman" w:hAnsi="Times New Roman"/>
          <w:sz w:val="22"/>
          <w:szCs w:val="22"/>
          <w:color w:val="auto"/>
        </w:rPr>
      </w:pPr>
    </w:p>
    <w:p>
      <w:pPr>
        <w:ind w:left="-224" w:firstLine="1304"/>
        <w:spacing w:after="0" w:line="271" w:lineRule="auto"/>
        <w:tabs>
          <w:tab w:leader="none" w:pos="1702"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shall, and shall cause the other members of the Seller Group to, retain and timely pay, satisfy, discharge, perform and otherwise be responsible for the Retained Liabilities.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6" w:lineRule="exact"/>
        <w:rPr>
          <w:rFonts w:ascii="Times New Roman" w:cs="Times New Roman" w:eastAsia="Times New Roman" w:hAnsi="Times New Roman"/>
          <w:sz w:val="22"/>
          <w:szCs w:val="22"/>
          <w:color w:val="auto"/>
        </w:rPr>
      </w:pPr>
    </w:p>
    <w:p>
      <w:pPr>
        <w:ind w:left="136" w:hanging="136"/>
        <w:spacing w:after="0"/>
        <w:tabs>
          <w:tab w:leader="none" w:pos="13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26 -</w:t>
      </w:r>
    </w:p>
    <w:p>
      <w:pPr>
        <w:sectPr>
          <w:pgSz w:w="11900" w:h="16838" w:orient="portrait"/>
          <w:cols w:equalWidth="0" w:num="1">
            <w:col w:w="11016"/>
          </w:cols>
          <w:pgMar w:left="544" w:top="1422" w:right="339" w:bottom="1440" w:gutter="0" w:footer="0" w:header="0"/>
        </w:sectPr>
      </w:pPr>
    </w:p>
    <w:bookmarkStart w:id="95" w:name="page96"/>
    <w:bookmarkEnd w:id="95"/>
    <w:p>
      <w:pPr>
        <w:ind w:left="1156"/>
        <w:spacing w:after="0"/>
        <w:tabs>
          <w:tab w:leader="none" w:pos="2436" w:val="left"/>
        </w:tabs>
        <w:rPr>
          <w:sz w:val="20"/>
          <w:szCs w:val="20"/>
          <w:color w:val="auto"/>
        </w:rPr>
      </w:pPr>
      <w:r>
        <w:rPr>
          <w:rFonts w:ascii="Times New Roman" w:cs="Times New Roman" w:eastAsia="Times New Roman" w:hAnsi="Times New Roman"/>
          <w:sz w:val="22"/>
          <w:szCs w:val="22"/>
          <w:color w:val="auto"/>
        </w:rPr>
        <w:t>Section 2.04</w:t>
      </w:r>
      <w:r>
        <w:rPr>
          <w:sz w:val="20"/>
          <w:szCs w:val="20"/>
          <w:color w:val="auto"/>
        </w:rPr>
        <w:tab/>
      </w:r>
      <w:r>
        <w:rPr>
          <w:rFonts w:ascii="Times New Roman" w:cs="Times New Roman" w:eastAsia="Times New Roman" w:hAnsi="Times New Roman"/>
          <w:sz w:val="21"/>
          <w:szCs w:val="21"/>
          <w:u w:val="single" w:color="auto"/>
          <w:color w:val="auto"/>
        </w:rPr>
        <w:t>Consent to Assignment; Shared Contracts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224" w:firstLine="1304"/>
        <w:spacing w:after="0" w:line="258" w:lineRule="auto"/>
        <w:tabs>
          <w:tab w:leader="none" w:pos="1555"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that the sale, conveyance, assignment or transfer or attempted sale, conveyance, assignment or transfer to Purchaser or its Affiliates of any Transferred Asset is prohibited by or would contravene any applicable Law or would require any Consent of any Governmental Authority or other third party and such Consents shall not have been obtained at or prior to the Closing, this Agreement shall not constitute a sale, conveyance, assignment or transfer, or an attempted sale, conveyance, assignment or transfer of such Transferred Asset, as the case may be (any such Transferred Asset, a “</w:t>
      </w:r>
      <w:r>
        <w:rPr>
          <w:rFonts w:ascii="Times New Roman" w:cs="Times New Roman" w:eastAsia="Times New Roman" w:hAnsi="Times New Roman"/>
          <w:sz w:val="21"/>
          <w:szCs w:val="21"/>
          <w:u w:val="single" w:color="auto"/>
          <w:color w:val="auto"/>
        </w:rPr>
        <w:t>Delayed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Transferred Asset</w:t>
      </w:r>
      <w:r>
        <w:rPr>
          <w:rFonts w:ascii="Times New Roman" w:cs="Times New Roman" w:eastAsia="Times New Roman" w:hAnsi="Times New Roman"/>
          <w:sz w:val="21"/>
          <w:szCs w:val="21"/>
          <w:color w:val="auto"/>
        </w:rPr>
        <w:t xml:space="preserve">”), and in each case the Closing shall proceed without the transfer of such Delayed Transferred Asset. In the event the Closing proceeds without the transfer of any such Delayed Transferred Asset, then such Delayed Transferred Asset shall be regarded as a Transferred Asset for purposes of the calculations required under </w:t>
      </w:r>
      <w:r>
        <w:rPr>
          <w:rFonts w:ascii="Times New Roman" w:cs="Times New Roman" w:eastAsia="Times New Roman" w:hAnsi="Times New Roman"/>
          <w:sz w:val="21"/>
          <w:szCs w:val="21"/>
          <w:u w:val="single" w:color="auto"/>
          <w:color w:val="auto"/>
        </w:rPr>
        <w:t>Section 2.08</w:t>
      </w:r>
      <w:r>
        <w:rPr>
          <w:rFonts w:ascii="Times New Roman" w:cs="Times New Roman" w:eastAsia="Times New Roman" w:hAnsi="Times New Roman"/>
          <w:sz w:val="21"/>
          <w:szCs w:val="21"/>
          <w:color w:val="auto"/>
        </w:rPr>
        <w:t xml:space="preserve"> if such asset is a Current Asset and the corresponding Liabilities shall be regarded as an Assumed Liability for purposes of the calculations required under </w:t>
      </w:r>
      <w:r>
        <w:rPr>
          <w:rFonts w:ascii="Times New Roman" w:cs="Times New Roman" w:eastAsia="Times New Roman" w:hAnsi="Times New Roman"/>
          <w:sz w:val="21"/>
          <w:szCs w:val="21"/>
          <w:u w:val="single" w:color="auto"/>
          <w:color w:val="auto"/>
        </w:rPr>
        <w:t>Section 2.08</w:t>
      </w:r>
      <w:r>
        <w:rPr>
          <w:rFonts w:ascii="Times New Roman" w:cs="Times New Roman" w:eastAsia="Times New Roman" w:hAnsi="Times New Roman"/>
          <w:sz w:val="21"/>
          <w:szCs w:val="21"/>
          <w:color w:val="auto"/>
        </w:rPr>
        <w:t xml:space="preserve"> if such Liability is a Current Liability. Other than with respect to Consents under the Antitrust Laws and Environmental Permits, which are the subject of </w:t>
      </w:r>
      <w:r>
        <w:rPr>
          <w:rFonts w:ascii="Times New Roman" w:cs="Times New Roman" w:eastAsia="Times New Roman" w:hAnsi="Times New Roman"/>
          <w:sz w:val="21"/>
          <w:szCs w:val="21"/>
          <w:u w:val="single" w:color="auto"/>
          <w:color w:val="auto"/>
        </w:rPr>
        <w:t>Section 7.01</w:t>
      </w:r>
      <w:r>
        <w:rPr>
          <w:rFonts w:ascii="Times New Roman" w:cs="Times New Roman" w:eastAsia="Times New Roman" w:hAnsi="Times New Roman"/>
          <w:sz w:val="21"/>
          <w:szCs w:val="21"/>
          <w:color w:val="auto"/>
        </w:rPr>
        <w:t xml:space="preserve">, during the period commencing on the date of this Agreement and continuing until twelve (12) months after the Closing Date, the Seller shall identify and use commercially reasonable efforts to obtain such Consents (and Purchaser shall use commercially reasonable efforts to provide or cause to be provided to the Seller such assistance as the Seller reasonably requests in connection with securing such Consents), and if any such Consents are not secured at or prior to the Closing, then until the earliest of (a) obtaining such Consent and (b) the expiration of such twelve (12) month period, as applicable, the parties shall, and Seller shall cause the other members of the Seller Group to, cooperate in any reasonable arrangement (any such arrangement complying with this </w:t>
      </w:r>
      <w:r>
        <w:rPr>
          <w:rFonts w:ascii="Times New Roman" w:cs="Times New Roman" w:eastAsia="Times New Roman" w:hAnsi="Times New Roman"/>
          <w:sz w:val="21"/>
          <w:szCs w:val="21"/>
          <w:u w:val="single" w:color="auto"/>
          <w:color w:val="auto"/>
        </w:rPr>
        <w:t>Section 2.04</w:t>
      </w:r>
      <w:r>
        <w:rPr>
          <w:rFonts w:ascii="Times New Roman" w:cs="Times New Roman" w:eastAsia="Times New Roman" w:hAnsi="Times New Roman"/>
          <w:sz w:val="21"/>
          <w:szCs w:val="21"/>
          <w:color w:val="auto"/>
        </w:rPr>
        <w:t>, a “</w:t>
      </w:r>
      <w:r>
        <w:rPr>
          <w:rFonts w:ascii="Times New Roman" w:cs="Times New Roman" w:eastAsia="Times New Roman" w:hAnsi="Times New Roman"/>
          <w:sz w:val="21"/>
          <w:szCs w:val="21"/>
          <w:u w:val="single" w:color="auto"/>
          <w:color w:val="auto"/>
        </w:rPr>
        <w:t>Delayed Transferred Asset Arrangement</w:t>
      </w:r>
      <w:r>
        <w:rPr>
          <w:rFonts w:ascii="Times New Roman" w:cs="Times New Roman" w:eastAsia="Times New Roman" w:hAnsi="Times New Roman"/>
          <w:sz w:val="21"/>
          <w:szCs w:val="21"/>
          <w:color w:val="auto"/>
        </w:rPr>
        <w:t xml:space="preserve">”) proposed by either Purchaser or the Seller that is permitted by Law and any relevant Governmental Authority having a Consent over such arrangement under which Purchaser or its designated Affiliate shall obtain the rights and benefits and bear the burdens and obligations of ownership of any such Delayed Transferred Asset such that the parties would be placed in a substantially similar position as if such Delayed Transferred Asset had been conveyed at the Closing (including substantially similar pricing or cost of service, as applicable);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member of the Seller Group shall (and, except as contemplated by the following clause (w), shall have no obligation to) (without the express prior written consent of Purchaser), (w) pay any consideration therefor (unless contemplated by the terms of the applicable Contract), (x) commence any Action or (y) offer or grant any material accommodation (financial or otherwise) to any third party in connection therewith. In furtherance of the foregoing, subject to Seller’s compliance with its obligations in this </w:t>
      </w:r>
      <w:r>
        <w:rPr>
          <w:rFonts w:ascii="Times New Roman" w:cs="Times New Roman" w:eastAsia="Times New Roman" w:hAnsi="Times New Roman"/>
          <w:sz w:val="21"/>
          <w:szCs w:val="21"/>
          <w:u w:val="single" w:color="auto"/>
          <w:color w:val="auto"/>
        </w:rPr>
        <w:t>Section 2.04</w:t>
      </w:r>
      <w:r>
        <w:rPr>
          <w:rFonts w:ascii="Times New Roman" w:cs="Times New Roman" w:eastAsia="Times New Roman" w:hAnsi="Times New Roman"/>
          <w:sz w:val="21"/>
          <w:szCs w:val="21"/>
          <w:color w:val="auto"/>
        </w:rPr>
        <w:t xml:space="preserve">, Purchaser shall, or shall cause a designee to, pay, perform or discharge when due any Assumed Liability arising under any Delayed Transferred Asset from and after the Closing Date. If any such Consent is obtained after the Closing, the Seller shall, and shall cause the other applicable members of the Seller Group to, transfer, assign and deliver (or cause to be transferred, assigned and delivered) such Delayed Transferred Asset to Purchaser or its designated Affiliate at no additional cost as soon as reasonably practicable thereafter. Subject to the terms and conditions hereof, and subject to Seller’s compliance with its obligations herein, Purchaser further agrees that no representation, warranty or covenant of the Seller contained in this Agreement shall be breached or deemed breached, and no condition to Purchaser’s obligations to close the Transactions shall be deemed not satisfied as a result of (A) the failure to obtain any such Consent or as a result of any resulting default or termination or (B) any Action commenced or threatened by or on behalf of any Person arising out of or relating to the failure to obtain any Consent or any resulting default or termination. Any payments made under this </w:t>
      </w:r>
      <w:r>
        <w:rPr>
          <w:rFonts w:ascii="Times New Roman" w:cs="Times New Roman" w:eastAsia="Times New Roman" w:hAnsi="Times New Roman"/>
          <w:sz w:val="21"/>
          <w:szCs w:val="21"/>
          <w:u w:val="single" w:color="auto"/>
          <w:color w:val="auto"/>
        </w:rPr>
        <w:t>Section 2.04(a)</w:t>
      </w:r>
      <w:r>
        <w:rPr>
          <w:rFonts w:ascii="Times New Roman" w:cs="Times New Roman" w:eastAsia="Times New Roman" w:hAnsi="Times New Roman"/>
          <w:sz w:val="21"/>
          <w:szCs w:val="21"/>
          <w:color w:val="auto"/>
        </w:rPr>
        <w:t xml:space="preserve"> shall be borne 50% by the Seller and 50% by the Purchaser (except for</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98" w:lineRule="exact"/>
        <w:rPr>
          <w:rFonts w:ascii="Times New Roman" w:cs="Times New Roman" w:eastAsia="Times New Roman" w:hAnsi="Times New Roman"/>
          <w:sz w:val="21"/>
          <w:szCs w:val="21"/>
          <w:color w:val="auto"/>
        </w:rPr>
      </w:pPr>
    </w:p>
    <w:p>
      <w:pPr>
        <w:ind w:left="136" w:hanging="136"/>
        <w:spacing w:after="0"/>
        <w:tabs>
          <w:tab w:leader="none" w:pos="13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27 -</w:t>
      </w:r>
    </w:p>
    <w:p>
      <w:pPr>
        <w:sectPr>
          <w:pgSz w:w="11900" w:h="16838" w:orient="portrait"/>
          <w:cols w:equalWidth="0" w:num="1">
            <w:col w:w="11016"/>
          </w:cols>
          <w:pgMar w:left="544" w:top="1422" w:right="339" w:bottom="1440" w:gutter="0" w:footer="0" w:header="0"/>
        </w:sectPr>
      </w:pPr>
    </w:p>
    <w:bookmarkStart w:id="96" w:name="page97"/>
    <w:bookmarkEnd w:id="96"/>
    <w:p>
      <w:pPr>
        <w:jc w:val="both"/>
        <w:spacing w:after="0" w:line="259" w:lineRule="auto"/>
        <w:rPr>
          <w:sz w:val="20"/>
          <w:szCs w:val="20"/>
          <w:color w:val="auto"/>
        </w:rPr>
      </w:pPr>
      <w:r>
        <w:rPr>
          <w:rFonts w:ascii="Times New Roman" w:cs="Times New Roman" w:eastAsia="Times New Roman" w:hAnsi="Times New Roman"/>
          <w:sz w:val="21"/>
          <w:szCs w:val="21"/>
          <w:color w:val="auto"/>
        </w:rPr>
        <w:t xml:space="preserve">payments required to be made under the terms of the applicable Contract, which shall be borne solely by Seller). For so long as Seller holds any Delayed Transferred Asset in compliance with the terms of the applicable Contract (other than any anti assignment or anti transfer terms, in each case, to the extent any violation thereof is necessary in order for Purchaser or its designated Affiliate to obtain the rights and benefits and bear the burdens and obligations of ownership of any such Delayed Transferred Asset as contemplated herein) and Purchaser’s reasonable instructions and provides to Purchaser all claims, causes of action, defenses, counterclaims, rights and benefits of any such Delayed Transferred Assets pursuant to an arrangement described in this </w:t>
      </w:r>
      <w:r>
        <w:rPr>
          <w:rFonts w:ascii="Times New Roman" w:cs="Times New Roman" w:eastAsia="Times New Roman" w:hAnsi="Times New Roman"/>
          <w:sz w:val="21"/>
          <w:szCs w:val="21"/>
          <w:u w:val="single" w:color="auto"/>
          <w:color w:val="auto"/>
        </w:rPr>
        <w:t>Section 2.04</w:t>
      </w:r>
      <w:r>
        <w:rPr>
          <w:rFonts w:ascii="Times New Roman" w:cs="Times New Roman" w:eastAsia="Times New Roman" w:hAnsi="Times New Roman"/>
          <w:sz w:val="21"/>
          <w:szCs w:val="21"/>
          <w:color w:val="auto"/>
        </w:rPr>
        <w:t xml:space="preserve">, Purchaser shall indemnify and hold harmless Seller from and against all Losses incurred in connection with any third-party Actions arising or resulting from Seller’s post-Closing ownership, management or operation of any such Delayed Transferred Assets, but only if and to the extent the claims, causes of action, defenses, counterclaims, rights and benefits thereof have been passed through to Purchaser pursuant to an arrangement described in this </w:t>
      </w:r>
      <w:r>
        <w:rPr>
          <w:rFonts w:ascii="Times New Roman" w:cs="Times New Roman" w:eastAsia="Times New Roman" w:hAnsi="Times New Roman"/>
          <w:sz w:val="21"/>
          <w:szCs w:val="21"/>
          <w:u w:val="single" w:color="auto"/>
          <w:color w:val="auto"/>
        </w:rPr>
        <w:t>Section 2.04</w:t>
      </w:r>
      <w:r>
        <w:rPr>
          <w:rFonts w:ascii="Times New Roman" w:cs="Times New Roman" w:eastAsia="Times New Roman" w:hAnsi="Times New Roman"/>
          <w:sz w:val="21"/>
          <w:szCs w:val="21"/>
          <w:color w:val="auto"/>
        </w:rPr>
        <w:t xml:space="preserve"> and such Losses are Assumed Liabilities;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in no event shall Purchaser have an obligation to indemnify and hold harmless Seller from such Losses</w:t>
      </w:r>
    </w:p>
    <w:p>
      <w:pPr>
        <w:spacing w:after="0" w:line="6" w:lineRule="exact"/>
        <w:rPr>
          <w:sz w:val="20"/>
          <w:szCs w:val="20"/>
          <w:color w:val="auto"/>
        </w:rPr>
      </w:pPr>
    </w:p>
    <w:p>
      <w:pPr>
        <w:jc w:val="both"/>
        <w:ind w:firstLine="8"/>
        <w:spacing w:after="0" w:line="246" w:lineRule="auto"/>
        <w:tabs>
          <w:tab w:leader="none" w:pos="307"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after such Delayed Transferred Asset becomes a Transferred Asset or (b) to the extent relating to, arising out of or resulting from Seller’s or any of its Affiliates’ or representatives’ (acting on Seller’s behalf or direction) breach of the applicable Contract following the date hereof (other than breach of any anti assignment or anti transfer terms, in each case, to the extent any violation thereof is necessary in order for Purchaser or its designated Affiliate to obtain the rights and benefits and bear the burdens and obligations of ownership of any such Delayed Transferred Asset as contemplated herein), fraud, gross negligence or willful misconduct. The procedures set forth in </w:t>
      </w:r>
      <w:r>
        <w:rPr>
          <w:rFonts w:ascii="Times New Roman" w:cs="Times New Roman" w:eastAsia="Times New Roman" w:hAnsi="Times New Roman"/>
          <w:sz w:val="22"/>
          <w:szCs w:val="22"/>
          <w:u w:val="single" w:color="auto"/>
          <w:color w:val="auto"/>
        </w:rPr>
        <w:t>Section 10.04(a)</w:t>
      </w:r>
      <w:r>
        <w:rPr>
          <w:rFonts w:ascii="Times New Roman" w:cs="Times New Roman" w:eastAsia="Times New Roman" w:hAnsi="Times New Roman"/>
          <w:sz w:val="22"/>
          <w:szCs w:val="22"/>
          <w:color w:val="auto"/>
        </w:rPr>
        <w:t xml:space="preserve"> shall apply to such third-party Losses,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xml:space="preserve">. Notwithstanding anything herein to the contrary, this </w:t>
      </w:r>
      <w:r>
        <w:rPr>
          <w:rFonts w:ascii="Times New Roman" w:cs="Times New Roman" w:eastAsia="Times New Roman" w:hAnsi="Times New Roman"/>
          <w:sz w:val="22"/>
          <w:szCs w:val="22"/>
          <w:u w:val="single" w:color="auto"/>
          <w:color w:val="auto"/>
        </w:rPr>
        <w:t>Section 2.04(a)</w:t>
      </w:r>
      <w:r>
        <w:rPr>
          <w:rFonts w:ascii="Times New Roman" w:cs="Times New Roman" w:eastAsia="Times New Roman" w:hAnsi="Times New Roman"/>
          <w:sz w:val="22"/>
          <w:szCs w:val="22"/>
          <w:color w:val="auto"/>
        </w:rPr>
        <w:t xml:space="preserve"> shall not apply to Potential Transferred Patents.</w:t>
      </w:r>
    </w:p>
    <w:p>
      <w:pPr>
        <w:spacing w:after="0" w:line="185" w:lineRule="exact"/>
        <w:rPr>
          <w:rFonts w:ascii="Times New Roman" w:cs="Times New Roman" w:eastAsia="Times New Roman" w:hAnsi="Times New Roman"/>
          <w:sz w:val="22"/>
          <w:szCs w:val="22"/>
          <w:color w:val="auto"/>
        </w:rPr>
      </w:pPr>
    </w:p>
    <w:p>
      <w:pPr>
        <w:jc w:val="both"/>
        <w:ind w:firstLine="1304"/>
        <w:spacing w:after="0" w:line="247" w:lineRule="auto"/>
        <w:tabs>
          <w:tab w:leader="none" w:pos="1862" w:val="left"/>
        </w:tabs>
        <w:numPr>
          <w:ilvl w:val="2"/>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From the date hereof and continuing until twelve (12) months after the Closing Date, each of Seller and Purchaser shall, and shall cause its Affiliates to, use commercially reasonable efforts to cause the third-party counterparty to each Shared Contract listed on </w:t>
      </w:r>
      <w:r>
        <w:rPr>
          <w:rFonts w:ascii="Times New Roman" w:cs="Times New Roman" w:eastAsia="Times New Roman" w:hAnsi="Times New Roman"/>
          <w:sz w:val="22"/>
          <w:szCs w:val="22"/>
          <w:u w:val="single" w:color="auto"/>
          <w:color w:val="auto"/>
        </w:rPr>
        <w:t>Section 2.04(b)</w:t>
      </w:r>
      <w:r>
        <w:rPr>
          <w:rFonts w:ascii="Times New Roman" w:cs="Times New Roman" w:eastAsia="Times New Roman" w:hAnsi="Times New Roman"/>
          <w:sz w:val="22"/>
          <w:szCs w:val="22"/>
          <w:color w:val="auto"/>
        </w:rPr>
        <w:t xml:space="preserve"> of the Disclosure Letter (each, an “</w:t>
      </w:r>
      <w:r>
        <w:rPr>
          <w:rFonts w:ascii="Times New Roman" w:cs="Times New Roman" w:eastAsia="Times New Roman" w:hAnsi="Times New Roman"/>
          <w:sz w:val="22"/>
          <w:szCs w:val="22"/>
          <w:u w:val="single" w:color="auto"/>
          <w:color w:val="auto"/>
        </w:rPr>
        <w:t>Applicable Contract</w:t>
      </w:r>
      <w:r>
        <w:rPr>
          <w:rFonts w:ascii="Times New Roman" w:cs="Times New Roman" w:eastAsia="Times New Roman" w:hAnsi="Times New Roman"/>
          <w:sz w:val="22"/>
          <w:szCs w:val="22"/>
          <w:color w:val="auto"/>
        </w:rPr>
        <w:t>”) to put in place an arrangement or arrangements, on terms substantially similar to those contained in such Applicable Contract (including substantially the same pricing or cost of service, as applicable) (i) so that Seller or its Affiliates will, as of and following the Closing, be entitled to the rights and benefits, and responsible for the obligations and Liabilities, in each case to the extent related to the Retained Business, under such Applicable Contract, and (ii) so that Purchaser or its Affiliates will, as of and following the Closing, be entitled to the rights and benefits, and responsible for the obligations and Liabilities, in each case to the extent related to the Business, under such Applicable Contract, in each case, including by amendment of such Applicable Contract or entry into a new Contract in place of such Applicable Contract (each, a “</w:t>
      </w:r>
      <w:r>
        <w:rPr>
          <w:rFonts w:ascii="Times New Roman" w:cs="Times New Roman" w:eastAsia="Times New Roman" w:hAnsi="Times New Roman"/>
          <w:sz w:val="22"/>
          <w:szCs w:val="22"/>
          <w:u w:val="single" w:color="auto"/>
          <w:color w:val="auto"/>
        </w:rPr>
        <w:t>New Contract</w:t>
      </w:r>
      <w:r>
        <w:rPr>
          <w:rFonts w:ascii="Times New Roman" w:cs="Times New Roman" w:eastAsia="Times New Roman" w:hAnsi="Times New Roman"/>
          <w:sz w:val="22"/>
          <w:szCs w:val="22"/>
          <w:color w:val="auto"/>
        </w:rPr>
        <w:t>”), so that, following such time, Seller or its Affiliates will be entitled to the rights and benefits and responsible for the obligations and Liabilities in each case solely to the extent related to the Retained Business under such Applicable Contract and Purchaser or its Affiliates will be entitled to the rights and benefits and responsible for the obligations and Liabilities in each case solely to the extent related to the Business under such Applicable Contract. Notwithstanding the foregoing, but without limiting any of the obligations expressly set forth above, (i) Seller makes no representation or warranty that any third party shall agree to enter into any such New Contract or amended Applicable Contract with Purchaser on the existing terms of the Applicable Contract or at all, and (ii) (x) none of Seller, Purchaser or any of their respective Affiliates shall be required to (except in the case of Seller and its Affiliates as contemplated by the following clause (A)), and (y) Seller shall not, and shall ensure that its Affiliates do not, in each case of this clause (y), without the express prior written consent of Purchaser, (A)</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6" w:lineRule="exact"/>
        <w:rPr>
          <w:rFonts w:ascii="Times New Roman" w:cs="Times New Roman" w:eastAsia="Times New Roman" w:hAnsi="Times New Roman"/>
          <w:sz w:val="22"/>
          <w:szCs w:val="22"/>
          <w:color w:val="auto"/>
        </w:rPr>
      </w:pPr>
    </w:p>
    <w:p>
      <w:pPr>
        <w:ind w:left="360" w:hanging="136"/>
        <w:spacing w:after="0"/>
        <w:tabs>
          <w:tab w:leader="none" w:pos="36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28 -</w:t>
      </w:r>
    </w:p>
    <w:p>
      <w:pPr>
        <w:sectPr>
          <w:pgSz w:w="11900" w:h="16838" w:orient="portrait"/>
          <w:cols w:equalWidth="0" w:num="1">
            <w:col w:w="11240"/>
          </w:cols>
          <w:pgMar w:left="320" w:top="1422" w:right="339" w:bottom="1440" w:gutter="0" w:footer="0" w:header="0"/>
        </w:sectPr>
      </w:pPr>
    </w:p>
    <w:bookmarkStart w:id="97" w:name="page98"/>
    <w:bookmarkEnd w:id="97"/>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commence any litigation or pay money (unless contemplated by the terms of the applicable Contract) or offer or grant any other material accommodation (financial or otherwise) to any third party to fulfill its obligation under this </w:t>
      </w:r>
      <w:r>
        <w:rPr>
          <w:rFonts w:ascii="Times New Roman" w:cs="Times New Roman" w:eastAsia="Times New Roman" w:hAnsi="Times New Roman"/>
          <w:sz w:val="22"/>
          <w:szCs w:val="22"/>
          <w:u w:val="single" w:color="auto"/>
          <w:color w:val="auto"/>
        </w:rPr>
        <w:t>Section 2.04(b)</w:t>
      </w:r>
      <w:r>
        <w:rPr>
          <w:rFonts w:ascii="Times New Roman" w:cs="Times New Roman" w:eastAsia="Times New Roman" w:hAnsi="Times New Roman"/>
          <w:sz w:val="22"/>
          <w:szCs w:val="22"/>
          <w:color w:val="auto"/>
        </w:rPr>
        <w:t xml:space="preserve"> or (B) enter into or agree to enter into any New Contract or assign, amend or terminate any Applicable Contract or New Contract to the extent that such assignment, amendment or termination would be adverse to Purchaser in any material respect. Seller shall, and shall cause its applicable Affiliates to, cooperate with Purchaser in good faith to facilitate Purchaser’s efforts to evaluate the Shared Contracts and determine the treatment thereof under this </w:t>
      </w:r>
      <w:r>
        <w:rPr>
          <w:rFonts w:ascii="Times New Roman" w:cs="Times New Roman" w:eastAsia="Times New Roman" w:hAnsi="Times New Roman"/>
          <w:sz w:val="22"/>
          <w:szCs w:val="22"/>
          <w:u w:val="single" w:color="auto"/>
          <w:color w:val="auto"/>
        </w:rPr>
        <w:t>Section 2.04(b)</w:t>
      </w:r>
      <w:r>
        <w:rPr>
          <w:rFonts w:ascii="Times New Roman" w:cs="Times New Roman" w:eastAsia="Times New Roman" w:hAnsi="Times New Roman"/>
          <w:sz w:val="22"/>
          <w:szCs w:val="22"/>
          <w:color w:val="auto"/>
        </w:rPr>
        <w:t xml:space="preserve">, including by providing reasonable information requested by Purchaser regarding the underlying Shared Contract, where reasonably required for antitrust reasons, on a “clean team-only” basis and subject to the limitations set forth in </w:t>
      </w:r>
      <w:r>
        <w:rPr>
          <w:rFonts w:ascii="Times New Roman" w:cs="Times New Roman" w:eastAsia="Times New Roman" w:hAnsi="Times New Roman"/>
          <w:sz w:val="22"/>
          <w:szCs w:val="22"/>
          <w:u w:val="single" w:color="auto"/>
          <w:color w:val="auto"/>
        </w:rPr>
        <w:t>Section 7.03(a)</w:t>
      </w:r>
      <w:r>
        <w:rPr>
          <w:rFonts w:ascii="Times New Roman" w:cs="Times New Roman" w:eastAsia="Times New Roman" w:hAnsi="Times New Roman"/>
          <w:sz w:val="22"/>
          <w:szCs w:val="22"/>
          <w:color w:val="auto"/>
        </w:rPr>
        <w:t xml:space="preserve">. Any payments made under this </w:t>
      </w:r>
      <w:r>
        <w:rPr>
          <w:rFonts w:ascii="Times New Roman" w:cs="Times New Roman" w:eastAsia="Times New Roman" w:hAnsi="Times New Roman"/>
          <w:sz w:val="22"/>
          <w:szCs w:val="22"/>
          <w:u w:val="single" w:color="auto"/>
          <w:color w:val="auto"/>
        </w:rPr>
        <w:t>Section 2.04(b)</w:t>
      </w:r>
      <w:r>
        <w:rPr>
          <w:rFonts w:ascii="Times New Roman" w:cs="Times New Roman" w:eastAsia="Times New Roman" w:hAnsi="Times New Roman"/>
          <w:sz w:val="22"/>
          <w:szCs w:val="22"/>
          <w:color w:val="auto"/>
        </w:rPr>
        <w:t xml:space="preserve"> shall be borne 50% by the Seller and 50% by the Purchaser (except for payments required to be made under the terms of the applicable Contract, which shall be borne solely by Seller).</w:t>
      </w:r>
    </w:p>
    <w:p>
      <w:pPr>
        <w:spacing w:after="0" w:line="183"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2.05 </w:t>
      </w:r>
      <w:r>
        <w:rPr>
          <w:rFonts w:ascii="Times New Roman" w:cs="Times New Roman" w:eastAsia="Times New Roman" w:hAnsi="Times New Roman"/>
          <w:sz w:val="22"/>
          <w:szCs w:val="22"/>
          <w:u w:val="single" w:color="auto"/>
          <w:color w:val="auto"/>
        </w:rPr>
        <w:t>Purchaser’s Recording and Similar Responsibilities</w:t>
      </w:r>
      <w:r>
        <w:rPr>
          <w:rFonts w:ascii="Times New Roman" w:cs="Times New Roman" w:eastAsia="Times New Roman" w:hAnsi="Times New Roman"/>
          <w:sz w:val="22"/>
          <w:szCs w:val="22"/>
          <w:color w:val="auto"/>
        </w:rPr>
        <w:t xml:space="preserve">. Notwithstanding the foregoing provisions of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(a) it shall be Purchaser’s responsibility to record the Trademark Assignment Agreement and the Patent and Know-How Agreement, as necessary, in each applicable jurisdiction following execution thereof by the parties at the Closing and (b) Purchaser, on the one hand, and Seller, on the other hand, shall each bear 50% of all fees, duties and other costs (other than Transfer Taxes, which are governed by </w:t>
      </w:r>
      <w:r>
        <w:rPr>
          <w:rFonts w:ascii="Times New Roman" w:cs="Times New Roman" w:eastAsia="Times New Roman" w:hAnsi="Times New Roman"/>
          <w:sz w:val="22"/>
          <w:szCs w:val="22"/>
          <w:u w:val="single" w:color="auto"/>
          <w:color w:val="auto"/>
        </w:rPr>
        <w:t>Section 7.10</w:t>
      </w:r>
      <w:r>
        <w:rPr>
          <w:rFonts w:ascii="Times New Roman" w:cs="Times New Roman" w:eastAsia="Times New Roman" w:hAnsi="Times New Roman"/>
          <w:sz w:val="22"/>
          <w:szCs w:val="22"/>
          <w:color w:val="auto"/>
        </w:rPr>
        <w:t>) payable in connection with (i) the transfer of such Transferred Intellectual Property and (ii) the recording and registration of title to the Transferred Assets, as and when required by applicable Law or local custom, in the name of Purchaser and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- 29 -</w:t>
      </w:r>
    </w:p>
    <w:p>
      <w:pPr>
        <w:sectPr>
          <w:pgSz w:w="11900" w:h="16838" w:orient="portrait"/>
          <w:cols w:equalWidth="0" w:num="1">
            <w:col w:w="11240"/>
          </w:cols>
          <w:pgMar w:left="320" w:top="1422" w:right="339" w:bottom="1440" w:gutter="0" w:footer="0" w:header="0"/>
        </w:sectPr>
      </w:pPr>
    </w:p>
    <w:bookmarkStart w:id="98" w:name="page99"/>
    <w:bookmarkEnd w:id="98"/>
    <w:p>
      <w:pPr>
        <w:jc w:val="both"/>
        <w:ind w:right="20" w:firstLine="1296"/>
        <w:spacing w:after="0" w:line="222" w:lineRule="auto"/>
        <w:rPr>
          <w:sz w:val="20"/>
          <w:szCs w:val="20"/>
          <w:color w:val="auto"/>
        </w:rPr>
      </w:pPr>
      <w:r>
        <w:rPr>
          <w:rFonts w:ascii="Times New Roman" w:cs="Times New Roman" w:eastAsia="Times New Roman" w:hAnsi="Times New Roman"/>
          <w:sz w:val="21"/>
          <w:szCs w:val="21"/>
          <w:color w:val="auto"/>
        </w:rPr>
        <w:t xml:space="preserve">Section 2.06 </w:t>
      </w:r>
      <w:r>
        <w:rPr>
          <w:rFonts w:ascii="Times New Roman" w:cs="Times New Roman" w:eastAsia="Times New Roman" w:hAnsi="Times New Roman"/>
          <w:sz w:val="21"/>
          <w:szCs w:val="21"/>
          <w:u w:val="single" w:color="auto"/>
          <w:color w:val="auto"/>
        </w:rPr>
        <w:t>Purchase Price</w:t>
      </w:r>
      <w:r>
        <w:rPr>
          <w:rFonts w:ascii="Times New Roman" w:cs="Times New Roman" w:eastAsia="Times New Roman" w:hAnsi="Times New Roman"/>
          <w:sz w:val="21"/>
          <w:szCs w:val="21"/>
          <w:color w:val="auto"/>
        </w:rPr>
        <w:t>. Subject to the terms and conditions hereof, at the Closing, Purchaser shall pay or cause to be paid to the Seller, in immediately available funds by wire transfer to a bank account designated by the Seller at least three (3) Business Days prior to the Closing Date in the Estimated Closing Statement, cash in U.S. Dollars in an amount equal to</w:t>
      </w:r>
    </w:p>
    <w:p>
      <w:pPr>
        <w:spacing w:after="0" w:line="2" w:lineRule="exact"/>
        <w:rPr>
          <w:sz w:val="20"/>
          <w:szCs w:val="20"/>
          <w:color w:val="auto"/>
        </w:rPr>
      </w:pPr>
    </w:p>
    <w:p>
      <w:pPr>
        <w:ind w:right="120" w:firstLine="9"/>
        <w:spacing w:after="0" w:line="218" w:lineRule="auto"/>
        <w:tabs>
          <w:tab w:leader="none" w:pos="29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 Price, plus (b) the Estimated Adjustment Amount (which amount may be positive or negative), plus (c) the HR Standup Amount (the “</w:t>
      </w:r>
      <w:r>
        <w:rPr>
          <w:rFonts w:ascii="Times New Roman" w:cs="Times New Roman" w:eastAsia="Times New Roman" w:hAnsi="Times New Roman"/>
          <w:sz w:val="22"/>
          <w:szCs w:val="22"/>
          <w:u w:val="single" w:color="auto"/>
          <w:color w:val="auto"/>
        </w:rPr>
        <w:t>Closing Purchase Price</w:t>
      </w:r>
      <w:r>
        <w:rPr>
          <w:rFonts w:ascii="Times New Roman" w:cs="Times New Roman" w:eastAsia="Times New Roman" w:hAnsi="Times New Roman"/>
          <w:sz w:val="22"/>
          <w:szCs w:val="22"/>
          <w:color w:val="auto"/>
        </w:rPr>
        <w:t xml:space="preserve">”). The Closing Purchase Price shall be subject to further adjustment after the Closing as provided in </w:t>
      </w:r>
      <w:r>
        <w:rPr>
          <w:rFonts w:ascii="Times New Roman" w:cs="Times New Roman" w:eastAsia="Times New Roman" w:hAnsi="Times New Roman"/>
          <w:sz w:val="22"/>
          <w:szCs w:val="22"/>
          <w:u w:val="single" w:color="auto"/>
          <w:color w:val="auto"/>
        </w:rPr>
        <w:t>Section 2.08</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2.07 </w:t>
      </w:r>
      <w:r>
        <w:rPr>
          <w:rFonts w:ascii="Times New Roman" w:cs="Times New Roman" w:eastAsia="Times New Roman" w:hAnsi="Times New Roman"/>
          <w:sz w:val="22"/>
          <w:szCs w:val="22"/>
          <w:u w:val="single" w:color="auto"/>
          <w:color w:val="auto"/>
        </w:rPr>
        <w:t>Estimated Closing Statement</w:t>
      </w:r>
      <w:r>
        <w:rPr>
          <w:rFonts w:ascii="Times New Roman" w:cs="Times New Roman" w:eastAsia="Times New Roman" w:hAnsi="Times New Roman"/>
          <w:sz w:val="22"/>
          <w:szCs w:val="22"/>
          <w:color w:val="auto"/>
        </w:rPr>
        <w:t>. No later than three (3) Business Days prior to the Closing Date, Seller shall prepare in good faith and deliver to Purchaser a statement (the “</w:t>
      </w:r>
      <w:r>
        <w:rPr>
          <w:rFonts w:ascii="Times New Roman" w:cs="Times New Roman" w:eastAsia="Times New Roman" w:hAnsi="Times New Roman"/>
          <w:sz w:val="22"/>
          <w:szCs w:val="22"/>
          <w:u w:val="single" w:color="auto"/>
          <w:color w:val="auto"/>
        </w:rPr>
        <w:t>Estimated Closing Statement</w:t>
      </w:r>
      <w:r>
        <w:rPr>
          <w:rFonts w:ascii="Times New Roman" w:cs="Times New Roman" w:eastAsia="Times New Roman" w:hAnsi="Times New Roman"/>
          <w:sz w:val="22"/>
          <w:szCs w:val="22"/>
          <w:color w:val="auto"/>
        </w:rPr>
        <w:t>”) setting forth (x) the Seller’s good faith estimate of (a) Closing Working Capital (“</w:t>
      </w:r>
      <w:r>
        <w:rPr>
          <w:rFonts w:ascii="Times New Roman" w:cs="Times New Roman" w:eastAsia="Times New Roman" w:hAnsi="Times New Roman"/>
          <w:sz w:val="22"/>
          <w:szCs w:val="22"/>
          <w:u w:val="single" w:color="auto"/>
          <w:color w:val="auto"/>
        </w:rPr>
        <w:t>Estimated Working Capital</w:t>
      </w:r>
      <w:r>
        <w:rPr>
          <w:rFonts w:ascii="Times New Roman" w:cs="Times New Roman" w:eastAsia="Times New Roman" w:hAnsi="Times New Roman"/>
          <w:sz w:val="22"/>
          <w:szCs w:val="22"/>
          <w:color w:val="auto"/>
        </w:rPr>
        <w:t xml:space="preserve">”), (b) the Estimated Adjustment Amount, (c) the HR Standup Amount, and (d) the Closing Purchase Price resulting therefrom, together with such reasonable schedules and data with respect to the determination thereof as are appropriate to support the calculations set forth in the Estimated Closing Statement, and (y) wire instructions for the Seller. The Estimated Closing Statement shall be unaudited, and shall be prepared in accordance with the terms of this Agreement and, in the case of Estimated Working Capital, the Accounting Principles, and shall also be based on the books and records of the Seller and the Business. Purchaser shall have the opportunity to review and comment on the Estimated Closing Statement, which comments Seller shall consider in good faith and, if accepted, shall be deemed incorporated into the Estimated Closing Statement;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in the event of any disagreement, Seller’s good faith estimates so delivered shall be used in calculating the Closing Purchase Price.</w:t>
      </w:r>
    </w:p>
    <w:p>
      <w:pPr>
        <w:spacing w:after="0" w:line="189"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2.08</w:t>
      </w:r>
      <w:r>
        <w:rPr>
          <w:sz w:val="20"/>
          <w:szCs w:val="20"/>
          <w:color w:val="auto"/>
        </w:rPr>
        <w:tab/>
      </w:r>
      <w:r>
        <w:rPr>
          <w:rFonts w:ascii="Times New Roman" w:cs="Times New Roman" w:eastAsia="Times New Roman" w:hAnsi="Times New Roman"/>
          <w:sz w:val="21"/>
          <w:szCs w:val="21"/>
          <w:u w:val="single" w:color="auto"/>
          <w:color w:val="auto"/>
        </w:rPr>
        <w:t>Purchase Price Adjustment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80" w:firstLine="1304"/>
        <w:spacing w:after="0" w:line="248" w:lineRule="auto"/>
        <w:tabs>
          <w:tab w:leader="none" w:pos="1789"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promptly as practicable, and in any event within ninety (90) after the Closing Date, Purchaser shall prepare and deliver to Seller a statement (the “</w:t>
      </w:r>
      <w:r>
        <w:rPr>
          <w:rFonts w:ascii="Times New Roman" w:cs="Times New Roman" w:eastAsia="Times New Roman" w:hAnsi="Times New Roman"/>
          <w:sz w:val="22"/>
          <w:szCs w:val="22"/>
          <w:u w:val="single" w:color="auto"/>
          <w:color w:val="auto"/>
        </w:rPr>
        <w:t>Closing Statement</w:t>
      </w:r>
      <w:r>
        <w:rPr>
          <w:rFonts w:ascii="Times New Roman" w:cs="Times New Roman" w:eastAsia="Times New Roman" w:hAnsi="Times New Roman"/>
          <w:sz w:val="22"/>
          <w:szCs w:val="22"/>
          <w:color w:val="auto"/>
        </w:rPr>
        <w:t xml:space="preserve">”) setting forth Purchaser’s good faith calculation of Closing Working Capital, the Final Adjustment Amount, the HR Standup Amount, and the Final Purchase Price resulting therefrom, together with such reasonable schedules and data with respect to the determination thereof as are appropriate to support the calculations set forth in the Closing Statement. The Closing Statement shall be unaudited, and shall be prepared in accordance with the terms of this Agreement and, in the case of Closing Working Capital, the Accounting Principles, and shall also be based on the books and records of the Seller and the Business. The parties agree that the purpose of preparing the Closing Statement and determining Closing Working Capital and the related adjustments contemplated by this </w:t>
      </w:r>
      <w:r>
        <w:rPr>
          <w:rFonts w:ascii="Times New Roman" w:cs="Times New Roman" w:eastAsia="Times New Roman" w:hAnsi="Times New Roman"/>
          <w:sz w:val="22"/>
          <w:szCs w:val="22"/>
          <w:u w:val="single" w:color="auto"/>
          <w:color w:val="auto"/>
        </w:rPr>
        <w:t>Section 2.08</w:t>
      </w:r>
      <w:r>
        <w:rPr>
          <w:rFonts w:ascii="Times New Roman" w:cs="Times New Roman" w:eastAsia="Times New Roman" w:hAnsi="Times New Roman"/>
          <w:sz w:val="22"/>
          <w:szCs w:val="22"/>
          <w:color w:val="auto"/>
        </w:rPr>
        <w:t xml:space="preserve"> is to measure the amount of Closing Working Capital in accordance with the terms of this Agreement and the Accounting Principles, and such process is not intended to permit the introduction of different accounting methods, policies, principles, practices, procedures, judgments, classifications or estimation methodologies for the purpose of determining the Closing Working Capital other than those set forth in the Accounting Principles.</w:t>
      </w:r>
    </w:p>
    <w:p>
      <w:pPr>
        <w:spacing w:after="0" w:line="197" w:lineRule="exact"/>
        <w:rPr>
          <w:rFonts w:ascii="Times New Roman" w:cs="Times New Roman" w:eastAsia="Times New Roman" w:hAnsi="Times New Roman"/>
          <w:sz w:val="22"/>
          <w:szCs w:val="22"/>
          <w:color w:val="auto"/>
        </w:rPr>
      </w:pPr>
    </w:p>
    <w:p>
      <w:pPr>
        <w:jc w:val="both"/>
        <w:ind w:left="-80" w:firstLine="1304"/>
        <w:spacing w:after="0" w:line="250" w:lineRule="auto"/>
        <w:tabs>
          <w:tab w:leader="none" w:pos="1712"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Closing Statement shall become final and binding upon the parties on the thirtieth (30th) day following receipt thereof by Seller, unless Seller gives written notice of its disagreement with the Closing Statement (a “</w:t>
      </w:r>
      <w:r>
        <w:rPr>
          <w:rFonts w:ascii="Times New Roman" w:cs="Times New Roman" w:eastAsia="Times New Roman" w:hAnsi="Times New Roman"/>
          <w:sz w:val="22"/>
          <w:szCs w:val="22"/>
          <w:u w:val="single" w:color="auto"/>
          <w:color w:val="auto"/>
        </w:rPr>
        <w:t>Notice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Disagreement</w:t>
      </w:r>
      <w:r>
        <w:rPr>
          <w:rFonts w:ascii="Times New Roman" w:cs="Times New Roman" w:eastAsia="Times New Roman" w:hAnsi="Times New Roman"/>
          <w:sz w:val="22"/>
          <w:szCs w:val="22"/>
          <w:color w:val="auto"/>
        </w:rPr>
        <w:t>”) to Purchaser prior to such date. Any Notice of Disagreement shall specify in reasonable detail the nature of any disagreement so asserted and include the Seller’s good faith calculation of the Closing Working Capital, the Final Adjustment Amount, the HR Standup Amount, and the Final Purchase Price resulting therefrom. If a timely Notice of Disagreement is received by Purchaser, then the Closing Statement (as revised in accordance with this sentence) shall become final and binding upon the parties on the earlier of (i) the date on which Purchaser and Seller</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9" w:lineRule="exact"/>
        <w:rPr>
          <w:rFonts w:ascii="Times New Roman" w:cs="Times New Roman" w:eastAsia="Times New Roman" w:hAnsi="Times New Roman"/>
          <w:sz w:val="22"/>
          <w:szCs w:val="22"/>
          <w:color w:val="auto"/>
        </w:rPr>
      </w:pPr>
    </w:p>
    <w:p>
      <w:pPr>
        <w:ind w:left="280" w:hanging="136"/>
        <w:spacing w:after="0"/>
        <w:tabs>
          <w:tab w:leader="none" w:pos="2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30 -</w:t>
      </w:r>
    </w:p>
    <w:p>
      <w:pPr>
        <w:sectPr>
          <w:pgSz w:w="11900" w:h="16838" w:orient="portrait"/>
          <w:cols w:equalWidth="0" w:num="1">
            <w:col w:w="11160"/>
          </w:cols>
          <w:pgMar w:left="400" w:top="1395" w:right="339" w:bottom="1440" w:gutter="0" w:footer="0" w:header="0"/>
        </w:sectPr>
      </w:pPr>
    </w:p>
    <w:bookmarkStart w:id="99" w:name="page100"/>
    <w:bookmarkEnd w:id="99"/>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resolve in writing any differences they have with respect to the matters specified in the Notice of Disagreement and (ii) the date on which all such disputed matters are finally resolved in writing by the Independent Expert pursuant to the procedures set forth in this </w:t>
      </w:r>
      <w:r>
        <w:rPr>
          <w:rFonts w:ascii="Times New Roman" w:cs="Times New Roman" w:eastAsia="Times New Roman" w:hAnsi="Times New Roman"/>
          <w:sz w:val="22"/>
          <w:szCs w:val="22"/>
          <w:u w:val="single" w:color="auto"/>
          <w:color w:val="auto"/>
        </w:rPr>
        <w:t>Section 2.08</w:t>
      </w:r>
      <w:r>
        <w:rPr>
          <w:rFonts w:ascii="Times New Roman" w:cs="Times New Roman" w:eastAsia="Times New Roman" w:hAnsi="Times New Roman"/>
          <w:sz w:val="22"/>
          <w:szCs w:val="22"/>
          <w:color w:val="auto"/>
        </w:rPr>
        <w:t>. During the thirty (30) day period following the delivery of a Notice of Disagreement, Purchaser and the Seller shall work in good faith to resolve in writing any differences that they may have with respect to the matters specified in the Notice of Disagreement, with all such communications, information and documentation being governed by Rule 408 of the Federal Rule of Evidence.</w:t>
      </w:r>
    </w:p>
    <w:p>
      <w:pPr>
        <w:spacing w:after="0" w:line="181" w:lineRule="exact"/>
        <w:rPr>
          <w:sz w:val="20"/>
          <w:szCs w:val="20"/>
          <w:color w:val="auto"/>
        </w:rPr>
      </w:pPr>
    </w:p>
    <w:p>
      <w:pPr>
        <w:jc w:val="both"/>
        <w:ind w:firstLine="1304"/>
        <w:spacing w:after="0" w:line="259" w:lineRule="auto"/>
        <w:tabs>
          <w:tab w:leader="none" w:pos="1769"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At the end of the thirty (30) day period following delivery of the Notice of Disagreement, Purchaser and the Seller shall submit to the Independent Expert for review any and all matters contained in the Notice of Disagreement that remain in dispute. The parties shall instruct the Independent Expert to render its decision as to such disputed items and the effect of its decision on the Closing Statement not later than sixty (60) days (or such longer period as mutually agreed in writing (email sufficient) by the parties) after the date of such submission. Each party shall furnish to the Independent Expert such working papers and other relevant documents and information relating to the disputed items, and shall provide interviews, answer questions and otherwise cooperate with the Independent Expert as the Independent Expert may reasonably request in connection with its determination of such disputed items (and such papers, documents, information and all other communications shall be simultaneously made or delivered to the other party). In the event either party shall participate in teleconferences or meetings with, or make presentations to, the Independent Expert, the other party shall be entitled to reasonable advance notice of, and to participate in, such teleconferences, meetings or presentations. Notwithstanding anything herein to the contrary, there shall be no </w:t>
      </w:r>
      <w:r>
        <w:rPr>
          <w:rFonts w:ascii="Times New Roman" w:cs="Times New Roman" w:eastAsia="Times New Roman" w:hAnsi="Times New Roman"/>
          <w:sz w:val="21"/>
          <w:szCs w:val="21"/>
          <w:i w:val="1"/>
          <w:iCs w:val="1"/>
          <w:color w:val="auto"/>
        </w:rPr>
        <w:t xml:space="preserve">ex parte </w:t>
      </w:r>
      <w:r>
        <w:rPr>
          <w:rFonts w:ascii="Times New Roman" w:cs="Times New Roman" w:eastAsia="Times New Roman" w:hAnsi="Times New Roman"/>
          <w:sz w:val="21"/>
          <w:szCs w:val="21"/>
          <w:color w:val="auto"/>
        </w:rPr>
        <w:t>communications with the Independent Expert without the other party’s prior written consent. The terms of appointment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and engagement of the Independent Expert shall be as agreed upon between the parties in writing. In resolving any such disputed item, the Independent Expert (i) shall act in the capacity of an expert and not as an arbitrator, (ii) shall limit its review to matters specifically set forth in the Notice of Disagreement as to a disputed item (other than matters thereafter resolved by mutual written agreement of the parties) and whether or not such disputed item has been determined in accordance with the terms of this Agreement and, in the case of the Closing Working Capital, the Accounting Principles and (iii) shall not assign a value to any disputed item greater than the greatest value for such item claimed by either party or less than the smallest value for such item claimed by either party in the Closing Statement or in the Notice of Disagreement, as applicable. The Independent Expert is not authorized to, and shall not, make any other determination, including (A) any determination with respect to any matter included in the Closing Statement or the Notice of Disagreement that was not submitted for resolution to the Independent Expert, (B) any determination as to whether the Accounting Principles were followed with respect to the Financial Statements, (C) any determination as to the accuracy of any representation or warranty in this Agreement, or (D) any determination as to compliance by any party with any of its respective covenants in this Agreement (other than as provided under this </w:t>
      </w:r>
      <w:r>
        <w:rPr>
          <w:rFonts w:ascii="Times New Roman" w:cs="Times New Roman" w:eastAsia="Times New Roman" w:hAnsi="Times New Roman"/>
          <w:sz w:val="21"/>
          <w:szCs w:val="21"/>
          <w:u w:val="single" w:color="auto"/>
          <w:color w:val="auto"/>
        </w:rPr>
        <w:t>Section 2.08</w:t>
      </w:r>
      <w:r>
        <w:rPr>
          <w:rFonts w:ascii="Times New Roman" w:cs="Times New Roman" w:eastAsia="Times New Roman" w:hAnsi="Times New Roman"/>
          <w:sz w:val="21"/>
          <w:szCs w:val="21"/>
          <w:color w:val="auto"/>
        </w:rPr>
        <w:t xml:space="preserve">). Any dispute not within the scope of the disputed items to be resolved by the Independent Expert pursuant to this </w:t>
      </w:r>
      <w:r>
        <w:rPr>
          <w:rFonts w:ascii="Times New Roman" w:cs="Times New Roman" w:eastAsia="Times New Roman" w:hAnsi="Times New Roman"/>
          <w:sz w:val="21"/>
          <w:szCs w:val="21"/>
          <w:u w:val="single" w:color="auto"/>
          <w:color w:val="auto"/>
        </w:rPr>
        <w:t>Section 2.08</w:t>
      </w:r>
      <w:r>
        <w:rPr>
          <w:rFonts w:ascii="Times New Roman" w:cs="Times New Roman" w:eastAsia="Times New Roman" w:hAnsi="Times New Roman"/>
          <w:sz w:val="21"/>
          <w:szCs w:val="21"/>
          <w:color w:val="auto"/>
        </w:rPr>
        <w:t xml:space="preserve"> shall be resolved as otherwise provided in this Agreement.</w:t>
      </w:r>
    </w:p>
    <w:p>
      <w:pPr>
        <w:spacing w:after="0" w:line="200" w:lineRule="exact"/>
        <w:rPr>
          <w:rFonts w:ascii="Times New Roman" w:cs="Times New Roman" w:eastAsia="Times New Roman" w:hAnsi="Times New Roman"/>
          <w:sz w:val="21"/>
          <w:szCs w:val="21"/>
          <w:color w:val="auto"/>
        </w:rPr>
      </w:pPr>
    </w:p>
    <w:p>
      <w:pPr>
        <w:spacing w:after="0" w:line="237" w:lineRule="exact"/>
        <w:rPr>
          <w:rFonts w:ascii="Times New Roman" w:cs="Times New Roman" w:eastAsia="Times New Roman" w:hAnsi="Times New Roman"/>
          <w:sz w:val="21"/>
          <w:szCs w:val="21"/>
          <w:color w:val="auto"/>
        </w:rPr>
      </w:pPr>
    </w:p>
    <w:p>
      <w:pPr>
        <w:jc w:val="both"/>
        <w:ind w:firstLine="1304"/>
        <w:spacing w:after="0" w:line="253" w:lineRule="auto"/>
        <w:tabs>
          <w:tab w:leader="none" w:pos="1868"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final determination by the Independent Expert of the disputed items submitted to it pursuant to this </w:t>
      </w:r>
      <w:r>
        <w:rPr>
          <w:rFonts w:ascii="Times New Roman" w:cs="Times New Roman" w:eastAsia="Times New Roman" w:hAnsi="Times New Roman"/>
          <w:sz w:val="22"/>
          <w:szCs w:val="22"/>
          <w:u w:val="single" w:color="auto"/>
          <w:color w:val="auto"/>
        </w:rPr>
        <w:t>Section 2.08</w:t>
      </w:r>
      <w:r>
        <w:rPr>
          <w:rFonts w:ascii="Times New Roman" w:cs="Times New Roman" w:eastAsia="Times New Roman" w:hAnsi="Times New Roman"/>
          <w:sz w:val="22"/>
          <w:szCs w:val="22"/>
          <w:color w:val="auto"/>
        </w:rPr>
        <w:t xml:space="preserve"> shall (i) be in writing, (ii) include the Independent Expert’s calculation of the Final Purchase Price, (iii) include the Independent Expert’s determination of each disputed item submitted to it pursuant to this </w:t>
      </w:r>
      <w:r>
        <w:rPr>
          <w:rFonts w:ascii="Times New Roman" w:cs="Times New Roman" w:eastAsia="Times New Roman" w:hAnsi="Times New Roman"/>
          <w:sz w:val="22"/>
          <w:szCs w:val="22"/>
          <w:u w:val="single" w:color="auto"/>
          <w:color w:val="auto"/>
        </w:rPr>
        <w:t>Section 2.08</w:t>
      </w:r>
      <w:r>
        <w:rPr>
          <w:rFonts w:ascii="Times New Roman" w:cs="Times New Roman" w:eastAsia="Times New Roman" w:hAnsi="Times New Roman"/>
          <w:sz w:val="22"/>
          <w:szCs w:val="22"/>
          <w:color w:val="auto"/>
        </w:rPr>
        <w:t xml:space="preserve"> and (iv) include a reasonably detailed report of the Independent Expert’s reasons for its determination regarding each such disputed item. The final determination of the disputed</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8" w:lineRule="exact"/>
        <w:rPr>
          <w:rFonts w:ascii="Times New Roman" w:cs="Times New Roman" w:eastAsia="Times New Roman" w:hAnsi="Times New Roman"/>
          <w:sz w:val="22"/>
          <w:szCs w:val="22"/>
          <w:color w:val="auto"/>
        </w:rPr>
      </w:pPr>
    </w:p>
    <w:p>
      <w:pPr>
        <w:ind w:left="360" w:hanging="136"/>
        <w:spacing w:after="0"/>
        <w:tabs>
          <w:tab w:leader="none" w:pos="36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31 -</w:t>
      </w:r>
    </w:p>
    <w:p>
      <w:pPr>
        <w:sectPr>
          <w:pgSz w:w="11900" w:h="16838" w:orient="portrait"/>
          <w:cols w:equalWidth="0" w:num="1">
            <w:col w:w="11240"/>
          </w:cols>
          <w:pgMar w:left="320" w:top="1422" w:right="339" w:bottom="1440" w:gutter="0" w:footer="0" w:header="0"/>
        </w:sectPr>
      </w:pPr>
    </w:p>
    <w:bookmarkStart w:id="100" w:name="page101"/>
    <w:bookmarkEnd w:id="100"/>
    <w:p>
      <w:pPr>
        <w:jc w:val="both"/>
        <w:spacing w:after="0" w:line="249" w:lineRule="auto"/>
        <w:rPr>
          <w:sz w:val="20"/>
          <w:szCs w:val="20"/>
          <w:color w:val="auto"/>
        </w:rPr>
      </w:pPr>
      <w:r>
        <w:rPr>
          <w:rFonts w:ascii="Times New Roman" w:cs="Times New Roman" w:eastAsia="Times New Roman" w:hAnsi="Times New Roman"/>
          <w:sz w:val="22"/>
          <w:szCs w:val="22"/>
          <w:color w:val="auto"/>
        </w:rPr>
        <w:t>items by the Independent Expert shall be final and binding upon the parties (absent manifest error or fraud) and an order may be entered in respect thereof by a court having jurisdiction over the party against which such determination is to be enforced. All fees and expenses relating to the work, if any, performed by the Independent Expert shall be borne by Seller and Purchaser in inverse proportion to the allocation of the dollar value of the amounts in dispute between Seller and Purchaser resolved by the Independent Expert, such that the party prevailing on the greatest dollar value of such disputes pays the lesser proportion of the fees. For example, if Seller disputes a total of $100 and the Independent Expert awards $60 in favor of Seller, Purchaser shall pay 60% of all fees and expenses relating to such work of the Independent Expert and Seller shall pay 40% of all fees and expenses relating to such work of the Independent Expert.</w:t>
      </w:r>
    </w:p>
    <w:p>
      <w:pPr>
        <w:spacing w:after="0" w:line="195" w:lineRule="exact"/>
        <w:rPr>
          <w:sz w:val="20"/>
          <w:szCs w:val="20"/>
          <w:color w:val="auto"/>
        </w:rPr>
      </w:pPr>
    </w:p>
    <w:p>
      <w:pPr>
        <w:jc w:val="both"/>
        <w:ind w:firstLine="1304"/>
        <w:spacing w:after="0" w:line="260" w:lineRule="auto"/>
        <w:tabs>
          <w:tab w:leader="none" w:pos="1758"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Following the Closing Statement becoming final and binding upon the parties pursuant to this </w:t>
      </w:r>
      <w:r>
        <w:rPr>
          <w:rFonts w:ascii="Times New Roman" w:cs="Times New Roman" w:eastAsia="Times New Roman" w:hAnsi="Times New Roman"/>
          <w:sz w:val="21"/>
          <w:szCs w:val="21"/>
          <w:u w:val="single" w:color="auto"/>
          <w:color w:val="auto"/>
        </w:rPr>
        <w:t>Section 2.08</w:t>
      </w:r>
      <w:r>
        <w:rPr>
          <w:rFonts w:ascii="Times New Roman" w:cs="Times New Roman" w:eastAsia="Times New Roman" w:hAnsi="Times New Roman"/>
          <w:sz w:val="21"/>
          <w:szCs w:val="21"/>
          <w:color w:val="auto"/>
        </w:rPr>
        <w:t>, a payment (the “</w:t>
      </w:r>
      <w:r>
        <w:rPr>
          <w:rFonts w:ascii="Times New Roman" w:cs="Times New Roman" w:eastAsia="Times New Roman" w:hAnsi="Times New Roman"/>
          <w:sz w:val="21"/>
          <w:szCs w:val="21"/>
          <w:u w:val="single" w:color="auto"/>
          <w:color w:val="auto"/>
        </w:rPr>
        <w:t>Final Purchase Price Adjustment</w:t>
      </w:r>
      <w:r>
        <w:rPr>
          <w:rFonts w:ascii="Times New Roman" w:cs="Times New Roman" w:eastAsia="Times New Roman" w:hAnsi="Times New Roman"/>
          <w:sz w:val="21"/>
          <w:szCs w:val="21"/>
          <w:color w:val="auto"/>
        </w:rPr>
        <w:t xml:space="preserve">”) shall be made by or on behalf of the applicable party in accordance with this </w:t>
      </w:r>
      <w:r>
        <w:rPr>
          <w:rFonts w:ascii="Times New Roman" w:cs="Times New Roman" w:eastAsia="Times New Roman" w:hAnsi="Times New Roman"/>
          <w:sz w:val="21"/>
          <w:szCs w:val="21"/>
          <w:u w:val="single" w:color="auto"/>
          <w:color w:val="auto"/>
        </w:rPr>
        <w:t>Section 2.08(e)</w:t>
      </w:r>
      <w:r>
        <w:rPr>
          <w:rFonts w:ascii="Times New Roman" w:cs="Times New Roman" w:eastAsia="Times New Roman" w:hAnsi="Times New Roman"/>
          <w:sz w:val="21"/>
          <w:szCs w:val="21"/>
          <w:color w:val="auto"/>
        </w:rPr>
        <w:t xml:space="preserve"> as an adjustment to the Purchase Price. The Final Purchase Price Adjustment shall be an amount equal to the Closing Purchase Price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the Final Purchase Price as finally determined pursuant to this </w:t>
      </w:r>
      <w:r>
        <w:rPr>
          <w:rFonts w:ascii="Times New Roman" w:cs="Times New Roman" w:eastAsia="Times New Roman" w:hAnsi="Times New Roman"/>
          <w:sz w:val="21"/>
          <w:szCs w:val="21"/>
          <w:u w:val="single" w:color="auto"/>
          <w:color w:val="auto"/>
        </w:rPr>
        <w:t>Section 2.08</w:t>
      </w:r>
      <w:r>
        <w:rPr>
          <w:rFonts w:ascii="Times New Roman" w:cs="Times New Roman" w:eastAsia="Times New Roman" w:hAnsi="Times New Roman"/>
          <w:sz w:val="21"/>
          <w:szCs w:val="21"/>
          <w:color w:val="auto"/>
        </w:rPr>
        <w:t xml:space="preserve"> and, (i) if the Final Purchase Price Adjustment is positive, an amount equal to the Final Purchase Price Adjustment shall be paid to Purchaser by the Seller and (ii) if the Final Purchase Price Adjustment is negative, an amount equal to the absolute value of the Final Purchase Price Adjustment shall be paid to the Seller by or at the direction of Purchaser. Any payments pursuant to this </w:t>
      </w:r>
      <w:r>
        <w:rPr>
          <w:rFonts w:ascii="Times New Roman" w:cs="Times New Roman" w:eastAsia="Times New Roman" w:hAnsi="Times New Roman"/>
          <w:sz w:val="21"/>
          <w:szCs w:val="21"/>
          <w:u w:val="single" w:color="auto"/>
          <w:color w:val="auto"/>
        </w:rPr>
        <w:t>Section 2.08(e)</w:t>
      </w:r>
      <w:r>
        <w:rPr>
          <w:rFonts w:ascii="Times New Roman" w:cs="Times New Roman" w:eastAsia="Times New Roman" w:hAnsi="Times New Roman"/>
          <w:sz w:val="21"/>
          <w:szCs w:val="21"/>
          <w:color w:val="auto"/>
        </w:rPr>
        <w:t xml:space="preserve"> shall be made in U.S. Dollars by wire transfer of immediately available funds to an account or accounts designated in writing by the receiving party within five (5) Business Days after the Closing Statement becomes final and binding upon the parties or, if later, within two (2) Business Days after the receiving party provides such wire instructions to the other party in writing.</w:t>
      </w:r>
    </w:p>
    <w:p>
      <w:pPr>
        <w:spacing w:after="0" w:line="178" w:lineRule="exact"/>
        <w:rPr>
          <w:rFonts w:ascii="Times New Roman" w:cs="Times New Roman" w:eastAsia="Times New Roman" w:hAnsi="Times New Roman"/>
          <w:sz w:val="21"/>
          <w:szCs w:val="21"/>
          <w:color w:val="auto"/>
        </w:rPr>
      </w:pPr>
    </w:p>
    <w:p>
      <w:pPr>
        <w:jc w:val="both"/>
        <w:ind w:firstLine="1304"/>
        <w:spacing w:after="0" w:line="248" w:lineRule="auto"/>
        <w:tabs>
          <w:tab w:leader="none" w:pos="1800"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the preparation and review of the Closing Statement, (i) the Seller shall (A) assist, and shall cause its Affiliates to assist, Purchaser and its Representatives in Purchaser’s preparation of the Closing Statement and (B) provide Purchaser and its Representatives with reasonable access to the work papers and other documents to the extent relevant to the preparation of, or otherwise related to, the Closing Statement, internal and external accountants and relevant personnel of the Seller and its Affiliates and (ii) Purchaser shall, following the delivery of the Closing Statement, provide to Seller and its Representatives reasonable access to the books and records relating to the Business in the possession of Purchaser or any of its Subsidiaries and Purchaser’s internal and external accountants and relevant personnel, in each case, to the extent relevant to Seller’s review of the Closing Statement. Notwithstanding the foregoing, in no event will such cooperation, information, books, records or access be made available to the extent either party concludes such exclusion is reasonably necessary to preserve attorney-client or work-product privilege (it being agreed that the restricted party shall inform the other party as to the general nature of what is being withheld and shall cooperate in good faith to attempt to design and implement alternative disclosure arrangements to enable the other party to evaluate any such information without jeopardizing the attorney-client or work-product privilege).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91" w:lineRule="exact"/>
        <w:rPr>
          <w:rFonts w:ascii="Times New Roman" w:cs="Times New Roman" w:eastAsia="Times New Roman" w:hAnsi="Times New Roman"/>
          <w:sz w:val="22"/>
          <w:szCs w:val="22"/>
          <w:color w:val="auto"/>
        </w:rPr>
      </w:pPr>
    </w:p>
    <w:p>
      <w:pPr>
        <w:ind w:left="360" w:hanging="136"/>
        <w:spacing w:after="0"/>
        <w:tabs>
          <w:tab w:leader="none" w:pos="36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32 -</w:t>
      </w:r>
    </w:p>
    <w:p>
      <w:pPr>
        <w:sectPr>
          <w:pgSz w:w="11900" w:h="16838" w:orient="portrait"/>
          <w:cols w:equalWidth="0" w:num="1">
            <w:col w:w="11240"/>
          </w:cols>
          <w:pgMar w:left="320" w:top="1422" w:right="339" w:bottom="1440" w:gutter="0" w:footer="0" w:header="0"/>
        </w:sectPr>
      </w:pPr>
    </w:p>
    <w:bookmarkStart w:id="101" w:name="page102"/>
    <w:bookmarkEnd w:id="101"/>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2.09 </w:t>
      </w:r>
      <w:r>
        <w:rPr>
          <w:rFonts w:ascii="Times New Roman" w:cs="Times New Roman" w:eastAsia="Times New Roman" w:hAnsi="Times New Roman"/>
          <w:sz w:val="22"/>
          <w:szCs w:val="22"/>
          <w:u w:val="single" w:color="auto"/>
          <w:color w:val="auto"/>
        </w:rPr>
        <w:t>Withholding Taxes</w:t>
      </w:r>
      <w:r>
        <w:rPr>
          <w:rFonts w:ascii="Times New Roman" w:cs="Times New Roman" w:eastAsia="Times New Roman" w:hAnsi="Times New Roman"/>
          <w:sz w:val="22"/>
          <w:szCs w:val="22"/>
          <w:color w:val="auto"/>
        </w:rPr>
        <w:t xml:space="preserve">. Purchaser shall be entitled to deduct and withhold (or cause to be deducted and withheld) from amounts otherwise payable pursuant to this Agreement such amounts as may be required pursuant to any applicable Law relating to Tax;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(other than in respect of any amounts treated as wages or compensation) prior to deducting or withholding from any amounts deliverable pursuant to this Agreement, Purchaser shall (a) provide Seller with written notice of such intention at least five (5) Business Days prior to making any such deduction or withholding, which notice shall include information regarding the amounts subject to withholding and the basis and method of calculation of the proposed deduction or withholding, and (b) reasonably cooperate with Seller to allow Seller or the applicable member of the Seller Group to establish its right under applicable Laws to an exemption from or reduction in such deduction or withholding. Upon request, Seller or Purchaser, as applicable, shall provide to the other party, as applicable, a receipt or other document evidencing any Taxes withheld or deduction pursuant to this </w:t>
      </w:r>
      <w:r>
        <w:rPr>
          <w:rFonts w:ascii="Times New Roman" w:cs="Times New Roman" w:eastAsia="Times New Roman" w:hAnsi="Times New Roman"/>
          <w:sz w:val="22"/>
          <w:szCs w:val="22"/>
          <w:u w:val="single" w:color="auto"/>
          <w:color w:val="auto"/>
        </w:rPr>
        <w:t>Section 2.09</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ARTICLE III</w:t>
      </w:r>
    </w:p>
    <w:p>
      <w:pPr>
        <w:spacing w:after="0" w:line="26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u w:val="single" w:color="auto"/>
          <w:color w:val="auto"/>
        </w:rPr>
        <w:t>Closing; Closing Deliveries</w:t>
      </w:r>
    </w:p>
    <w:p>
      <w:pPr>
        <w:spacing w:after="0" w:line="22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3.01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The closing of the Transactions (the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xml:space="preserve">”) shall take place at 10:00 a.m., New York City time, at the offices of Squire Patton Boggs (US) LLP, </w:t>
      </w:r>
      <w:r>
        <w:rPr>
          <w:rFonts w:ascii="Times New Roman" w:cs="Times New Roman" w:eastAsia="Times New Roman" w:hAnsi="Times New Roman"/>
          <w:sz w:val="22"/>
          <w:szCs w:val="22"/>
          <w:color w:val="202124"/>
        </w:rPr>
        <w:t>Key Tower 1000, 127 Public Square, Cleveland, OH 44114,</w:t>
      </w:r>
      <w:r>
        <w:rPr>
          <w:rFonts w:ascii="Times New Roman" w:cs="Times New Roman" w:eastAsia="Times New Roman" w:hAnsi="Times New Roman"/>
          <w:sz w:val="22"/>
          <w:szCs w:val="22"/>
          <w:color w:val="auto"/>
        </w:rPr>
        <w:t xml:space="preserve"> on the first Business Day of the first calendar month that begins immediately following the fifth (5th) Business Day after all conditions to the obligations of Purchaser and the Seller under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shall have been satisfied or, to the extent permitted by applicable Law, waived (other than those conditions that by their terms are to be satisfied at the Closing, but subject to the satisfaction or, to the extent permitted by applicable Law, waiver of such conditions at such time), or at such other time, place and date as the parties may agree in writing;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in no event shall the Closing take place on such date that is prior to September 22, 2025 without the express prior written consent of Purchaser. The date on which the Closing occurs is referred to herein as the “</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3.02 </w:t>
      </w:r>
      <w:r>
        <w:rPr>
          <w:rFonts w:ascii="Times New Roman" w:cs="Times New Roman" w:eastAsia="Times New Roman" w:hAnsi="Times New Roman"/>
          <w:sz w:val="22"/>
          <w:szCs w:val="22"/>
          <w:u w:val="single" w:color="auto"/>
          <w:color w:val="auto"/>
        </w:rPr>
        <w:t>Effectiveness</w:t>
      </w:r>
      <w:r>
        <w:rPr>
          <w:rFonts w:ascii="Times New Roman" w:cs="Times New Roman" w:eastAsia="Times New Roman" w:hAnsi="Times New Roman"/>
          <w:sz w:val="22"/>
          <w:szCs w:val="22"/>
          <w:color w:val="auto"/>
        </w:rPr>
        <w:t>. For all economic, accounting and Tax purposes (in each case, to the extent permitted by applicable Law), the consummation of the Transactions shall be deemed to take place on the date immediately preceding the Closing Date at 11:59 p.m., New York City time (such time, the “</w:t>
      </w:r>
      <w:r>
        <w:rPr>
          <w:rFonts w:ascii="Times New Roman" w:cs="Times New Roman" w:eastAsia="Times New Roman" w:hAnsi="Times New Roman"/>
          <w:sz w:val="22"/>
          <w:szCs w:val="22"/>
          <w:u w:val="single" w:color="auto"/>
          <w:color w:val="auto"/>
        </w:rPr>
        <w:t>Effective Time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- 33 -</w:t>
      </w:r>
    </w:p>
    <w:p>
      <w:pPr>
        <w:sectPr>
          <w:pgSz w:w="11900" w:h="16838" w:orient="portrait"/>
          <w:cols w:equalWidth="0" w:num="1">
            <w:col w:w="11160"/>
          </w:cols>
          <w:pgMar w:left="400" w:top="1422" w:right="339" w:bottom="1440" w:gutter="0" w:footer="0" w:header="0"/>
        </w:sectPr>
      </w:pPr>
    </w:p>
    <w:bookmarkStart w:id="102" w:name="page103"/>
    <w:bookmarkEnd w:id="102"/>
    <w:p>
      <w:pPr>
        <w:ind w:left="1156"/>
        <w:spacing w:after="0"/>
        <w:tabs>
          <w:tab w:leader="none" w:pos="2436" w:val="left"/>
        </w:tabs>
        <w:rPr>
          <w:sz w:val="20"/>
          <w:szCs w:val="20"/>
          <w:color w:val="auto"/>
        </w:rPr>
      </w:pPr>
      <w:r>
        <w:rPr>
          <w:rFonts w:ascii="Times New Roman" w:cs="Times New Roman" w:eastAsia="Times New Roman" w:hAnsi="Times New Roman"/>
          <w:sz w:val="22"/>
          <w:szCs w:val="22"/>
          <w:color w:val="auto"/>
        </w:rPr>
        <w:t>Section 3.03</w:t>
      </w:r>
      <w:r>
        <w:rPr>
          <w:sz w:val="20"/>
          <w:szCs w:val="20"/>
          <w:color w:val="auto"/>
        </w:rPr>
        <w:tab/>
      </w:r>
      <w:r>
        <w:rPr>
          <w:rFonts w:ascii="Times New Roman" w:cs="Times New Roman" w:eastAsia="Times New Roman" w:hAnsi="Times New Roman"/>
          <w:sz w:val="21"/>
          <w:szCs w:val="21"/>
          <w:u w:val="single" w:color="auto"/>
          <w:color w:val="auto"/>
        </w:rPr>
        <w:t>Transactions to be Effected at the Closing</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516" w:hanging="436"/>
        <w:spacing w:after="0"/>
        <w:tabs>
          <w:tab w:leader="none" w:pos="1516"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Closing, the Seller shall deliver or cause to be delivered to Purchaser the following:</w:t>
      </w:r>
    </w:p>
    <w:p>
      <w:pPr>
        <w:spacing w:after="0" w:line="219" w:lineRule="exact"/>
        <w:rPr>
          <w:rFonts w:ascii="Times New Roman" w:cs="Times New Roman" w:eastAsia="Times New Roman" w:hAnsi="Times New Roman"/>
          <w:sz w:val="22"/>
          <w:szCs w:val="22"/>
          <w:color w:val="auto"/>
        </w:rPr>
      </w:pPr>
    </w:p>
    <w:p>
      <w:pPr>
        <w:ind w:left="1576" w:hanging="415"/>
        <w:spacing w:after="0"/>
        <w:tabs>
          <w:tab w:leader="none" w:pos="1576"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duly executed counterpart of a bill of sale,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attached hereto;</w:t>
      </w:r>
    </w:p>
    <w:p>
      <w:pPr>
        <w:spacing w:after="0" w:line="233" w:lineRule="exact"/>
        <w:rPr>
          <w:rFonts w:ascii="Times New Roman" w:cs="Times New Roman" w:eastAsia="Times New Roman" w:hAnsi="Times New Roman"/>
          <w:sz w:val="22"/>
          <w:szCs w:val="22"/>
          <w:color w:val="auto"/>
        </w:rPr>
      </w:pPr>
    </w:p>
    <w:p>
      <w:pPr>
        <w:ind w:left="516" w:firstLine="645"/>
        <w:spacing w:after="0" w:line="271" w:lineRule="auto"/>
        <w:tabs>
          <w:tab w:leader="none" w:pos="1671"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duly executed counterpart of an assignment and assumption agreement, in the form of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attached hereto (the “</w:t>
      </w:r>
      <w:r>
        <w:rPr>
          <w:rFonts w:ascii="Times New Roman" w:cs="Times New Roman" w:eastAsia="Times New Roman" w:hAnsi="Times New Roman"/>
          <w:sz w:val="22"/>
          <w:szCs w:val="22"/>
          <w:u w:val="single" w:color="auto"/>
          <w:color w:val="auto"/>
        </w:rPr>
        <w:t>Assignment and Assumption Agreement</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ind w:left="516" w:firstLine="645"/>
        <w:spacing w:after="0" w:line="271" w:lineRule="auto"/>
        <w:tabs>
          <w:tab w:leader="none" w:pos="1713"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duly executed counterpart of a trademark assignment agreement, in the form of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attached hereto (the “</w:t>
      </w:r>
      <w:r>
        <w:rPr>
          <w:rFonts w:ascii="Times New Roman" w:cs="Times New Roman" w:eastAsia="Times New Roman" w:hAnsi="Times New Roman"/>
          <w:sz w:val="22"/>
          <w:szCs w:val="22"/>
          <w:u w:val="single" w:color="auto"/>
          <w:color w:val="auto"/>
        </w:rPr>
        <w:t>Trademark Assignment Agreement</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jc w:val="both"/>
        <w:ind w:left="516" w:firstLine="645"/>
        <w:spacing w:after="0" w:line="263" w:lineRule="auto"/>
        <w:tabs>
          <w:tab w:leader="none" w:pos="1788"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duly executed special warranty deed (or local equivalent) applicable to each Transferred Owned Real Property, conveying to Purchaser fee simple title to such Transferred Owned Real Property, in the form of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 xml:space="preserve"> attached hereto (each, a “</w:t>
      </w:r>
      <w:r>
        <w:rPr>
          <w:rFonts w:ascii="Times New Roman" w:cs="Times New Roman" w:eastAsia="Times New Roman" w:hAnsi="Times New Roman"/>
          <w:sz w:val="22"/>
          <w:szCs w:val="22"/>
          <w:u w:val="single" w:color="auto"/>
          <w:color w:val="auto"/>
        </w:rPr>
        <w:t>Deed</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color w:val="auto"/>
        </w:rPr>
      </w:pPr>
    </w:p>
    <w:p>
      <w:pPr>
        <w:ind w:left="516" w:firstLine="645"/>
        <w:spacing w:after="0" w:line="295" w:lineRule="auto"/>
        <w:tabs>
          <w:tab w:leader="none" w:pos="1677"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duly executed counterpart of a lease assignment and assumption agreement applicable to the Transferred Leased Real Property, in the form of </w:t>
      </w:r>
      <w:r>
        <w:rPr>
          <w:rFonts w:ascii="Times New Roman" w:cs="Times New Roman" w:eastAsia="Times New Roman" w:hAnsi="Times New Roman"/>
          <w:sz w:val="21"/>
          <w:szCs w:val="21"/>
          <w:u w:val="single" w:color="auto"/>
          <w:color w:val="auto"/>
        </w:rPr>
        <w:t>Exhibit F</w:t>
      </w:r>
      <w:r>
        <w:rPr>
          <w:rFonts w:ascii="Times New Roman" w:cs="Times New Roman" w:eastAsia="Times New Roman" w:hAnsi="Times New Roman"/>
          <w:sz w:val="21"/>
          <w:szCs w:val="21"/>
          <w:color w:val="auto"/>
        </w:rPr>
        <w:t xml:space="preserve"> attached hereto (the “</w:t>
      </w:r>
      <w:r>
        <w:rPr>
          <w:rFonts w:ascii="Times New Roman" w:cs="Times New Roman" w:eastAsia="Times New Roman" w:hAnsi="Times New Roman"/>
          <w:sz w:val="21"/>
          <w:szCs w:val="21"/>
          <w:u w:val="single" w:color="auto"/>
          <w:color w:val="auto"/>
        </w:rPr>
        <w:t>Lease Assignment and Assumption Agreement</w:t>
      </w:r>
      <w:r>
        <w:rPr>
          <w:rFonts w:ascii="Times New Roman" w:cs="Times New Roman" w:eastAsia="Times New Roman" w:hAnsi="Times New Roman"/>
          <w:sz w:val="21"/>
          <w:szCs w:val="21"/>
          <w:color w:val="auto"/>
        </w:rPr>
        <w:t>”);</w:t>
      </w:r>
    </w:p>
    <w:p>
      <w:pPr>
        <w:spacing w:after="0" w:line="135" w:lineRule="exact"/>
        <w:rPr>
          <w:rFonts w:ascii="Times New Roman" w:cs="Times New Roman" w:eastAsia="Times New Roman" w:hAnsi="Times New Roman"/>
          <w:sz w:val="21"/>
          <w:szCs w:val="21"/>
          <w:color w:val="auto"/>
        </w:rPr>
      </w:pPr>
    </w:p>
    <w:p>
      <w:pPr>
        <w:ind w:left="516" w:firstLine="645"/>
        <w:spacing w:after="0" w:line="271" w:lineRule="auto"/>
        <w:tabs>
          <w:tab w:leader="none" w:pos="1722"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duly executed counterpart of the Master Supply Agreement between Seller and Purchaser, in the form of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 xml:space="preserve"> attached hereto (the “</w:t>
      </w:r>
      <w:r>
        <w:rPr>
          <w:rFonts w:ascii="Times New Roman" w:cs="Times New Roman" w:eastAsia="Times New Roman" w:hAnsi="Times New Roman"/>
          <w:sz w:val="22"/>
          <w:szCs w:val="22"/>
          <w:u w:val="single" w:color="auto"/>
          <w:color w:val="auto"/>
        </w:rPr>
        <w:t>Supply Agreement</w:t>
      </w:r>
      <w:r>
        <w:rPr>
          <w:rFonts w:ascii="Times New Roman" w:cs="Times New Roman" w:eastAsia="Times New Roman" w:hAnsi="Times New Roman"/>
          <w:sz w:val="22"/>
          <w:szCs w:val="22"/>
          <w:color w:val="auto"/>
        </w:rPr>
        <w:t>”);</w:t>
      </w:r>
    </w:p>
    <w:p>
      <w:pPr>
        <w:spacing w:after="0" w:line="171" w:lineRule="exact"/>
        <w:rPr>
          <w:rFonts w:ascii="Times New Roman" w:cs="Times New Roman" w:eastAsia="Times New Roman" w:hAnsi="Times New Roman"/>
          <w:sz w:val="22"/>
          <w:szCs w:val="22"/>
          <w:color w:val="auto"/>
        </w:rPr>
      </w:pPr>
    </w:p>
    <w:p>
      <w:pPr>
        <w:jc w:val="both"/>
        <w:ind w:left="516" w:right="20" w:firstLine="645"/>
        <w:spacing w:after="0" w:line="257" w:lineRule="auto"/>
        <w:tabs>
          <w:tab w:leader="none" w:pos="1884"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duly executed counterpart of a patent and know-how assignment and grant back license agreement between Seller and Purchaser with respect to the Transferred Patents and Transferred Know-How, in the form of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w:t>
      </w:r>
      <w:r>
        <w:rPr>
          <w:rFonts w:ascii="Times New Roman" w:cs="Times New Roman" w:eastAsia="Times New Roman" w:hAnsi="Times New Roman"/>
          <w:sz w:val="22"/>
          <w:szCs w:val="22"/>
          <w:color w:val="auto"/>
        </w:rPr>
        <w:t xml:space="preserve"> attached hereto (the “</w:t>
      </w:r>
      <w:r>
        <w:rPr>
          <w:rFonts w:ascii="Times New Roman" w:cs="Times New Roman" w:eastAsia="Times New Roman" w:hAnsi="Times New Roman"/>
          <w:sz w:val="22"/>
          <w:szCs w:val="22"/>
          <w:u w:val="single" w:color="auto"/>
          <w:color w:val="auto"/>
        </w:rPr>
        <w:t>Patent and Know-How Agreement</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ind w:left="1816" w:hanging="655"/>
        <w:spacing w:after="0"/>
        <w:tabs>
          <w:tab w:leader="none" w:pos="1816"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duly executed counterpart to the Transition Services Agreement;</w:t>
      </w:r>
    </w:p>
    <w:p>
      <w:pPr>
        <w:spacing w:after="0" w:line="219" w:lineRule="exact"/>
        <w:rPr>
          <w:rFonts w:ascii="Times New Roman" w:cs="Times New Roman" w:eastAsia="Times New Roman" w:hAnsi="Times New Roman"/>
          <w:sz w:val="22"/>
          <w:szCs w:val="22"/>
          <w:color w:val="auto"/>
        </w:rPr>
      </w:pPr>
    </w:p>
    <w:p>
      <w:pPr>
        <w:ind w:left="1696" w:hanging="535"/>
        <w:spacing w:after="0"/>
        <w:tabs>
          <w:tab w:leader="none" w:pos="1696"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certificate contemplated in </w:t>
      </w:r>
      <w:r>
        <w:rPr>
          <w:rFonts w:ascii="Times New Roman" w:cs="Times New Roman" w:eastAsia="Times New Roman" w:hAnsi="Times New Roman"/>
          <w:sz w:val="22"/>
          <w:szCs w:val="22"/>
          <w:u w:val="single" w:color="auto"/>
          <w:color w:val="auto"/>
        </w:rPr>
        <w:t>Section 8.02(c)</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1636" w:hanging="475"/>
        <w:spacing w:after="0"/>
        <w:tabs>
          <w:tab w:leader="none" w:pos="1636"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properly completed and duly executed IRS Form W-9;</w:t>
      </w:r>
    </w:p>
    <w:p>
      <w:pPr>
        <w:spacing w:after="0" w:line="220" w:lineRule="exact"/>
        <w:rPr>
          <w:sz w:val="20"/>
          <w:szCs w:val="20"/>
          <w:color w:val="auto"/>
        </w:rPr>
      </w:pPr>
    </w:p>
    <w:p>
      <w:pPr>
        <w:jc w:val="both"/>
        <w:ind w:left="436" w:firstLine="644"/>
        <w:spacing w:after="0" w:line="253" w:lineRule="auto"/>
        <w:tabs>
          <w:tab w:leader="none" w:pos="1710"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Indebtedness Release, duly executed by the applicable holder (or the trustee or agent (or similar person) on behalf of such holders) with respect to the Seller Indebtedness (including Intellectual Property security interest releases in form and substance necessary for recordation in the United States Patent and Trademark Office, United States Copyright Office, or any other similar domestic or foreign Governmental Authority, evidencing the complete satisfaction in full of all the relevant outstanding Indebtedness); and</w:t>
      </w:r>
    </w:p>
    <w:p>
      <w:pPr>
        <w:spacing w:after="0" w:line="178" w:lineRule="exact"/>
        <w:rPr>
          <w:rFonts w:ascii="Times New Roman" w:cs="Times New Roman" w:eastAsia="Times New Roman" w:hAnsi="Times New Roman"/>
          <w:sz w:val="22"/>
          <w:szCs w:val="22"/>
          <w:color w:val="auto"/>
        </w:rPr>
      </w:pPr>
    </w:p>
    <w:p>
      <w:pPr>
        <w:jc w:val="both"/>
        <w:ind w:left="436" w:firstLine="644"/>
        <w:spacing w:after="0" w:line="257" w:lineRule="auto"/>
        <w:tabs>
          <w:tab w:leader="none" w:pos="1789"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evidence of the completion of the Required HR Items (as defined in </w:t>
      </w:r>
      <w:r>
        <w:rPr>
          <w:rFonts w:ascii="Times New Roman" w:cs="Times New Roman" w:eastAsia="Times New Roman" w:hAnsi="Times New Roman"/>
          <w:sz w:val="22"/>
          <w:szCs w:val="22"/>
          <w:u w:val="single" w:color="auto"/>
          <w:color w:val="auto"/>
        </w:rPr>
        <w:t>Annex 7.21</w:t>
      </w:r>
      <w:r>
        <w:rPr>
          <w:rFonts w:ascii="Times New Roman" w:cs="Times New Roman" w:eastAsia="Times New Roman" w:hAnsi="Times New Roman"/>
          <w:sz w:val="22"/>
          <w:szCs w:val="22"/>
          <w:color w:val="auto"/>
        </w:rPr>
        <w:t xml:space="preserve">) in connection with the HR Standup in accordance with and pursuant to </w:t>
      </w:r>
      <w:r>
        <w:rPr>
          <w:rFonts w:ascii="Times New Roman" w:cs="Times New Roman" w:eastAsia="Times New Roman" w:hAnsi="Times New Roman"/>
          <w:sz w:val="22"/>
          <w:szCs w:val="22"/>
          <w:u w:val="single" w:color="auto"/>
          <w:color w:val="auto"/>
        </w:rPr>
        <w:t>Section 7.21</w:t>
      </w:r>
      <w:r>
        <w:rPr>
          <w:rFonts w:ascii="Times New Roman" w:cs="Times New Roman" w:eastAsia="Times New Roman" w:hAnsi="Times New Roman"/>
          <w:sz w:val="22"/>
          <w:szCs w:val="22"/>
          <w:color w:val="auto"/>
        </w:rPr>
        <w:t xml:space="preserve"> (including, for the avoidance of doubt, the dispute mechanism included in </w:t>
      </w:r>
      <w:r>
        <w:rPr>
          <w:rFonts w:ascii="Times New Roman" w:cs="Times New Roman" w:eastAsia="Times New Roman" w:hAnsi="Times New Roman"/>
          <w:sz w:val="22"/>
          <w:szCs w:val="22"/>
          <w:u w:val="single" w:color="auto"/>
          <w:color w:val="auto"/>
        </w:rPr>
        <w:t>Annex 7.21</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2" w:lineRule="exact"/>
        <w:rPr>
          <w:rFonts w:ascii="Times New Roman" w:cs="Times New Roman" w:eastAsia="Times New Roman" w:hAnsi="Times New Roman"/>
          <w:sz w:val="22"/>
          <w:szCs w:val="22"/>
          <w:color w:val="auto"/>
        </w:rPr>
      </w:pPr>
    </w:p>
    <w:p>
      <w:pPr>
        <w:ind w:left="136" w:hanging="136"/>
        <w:spacing w:after="0"/>
        <w:tabs>
          <w:tab w:leader="none" w:pos="13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34 -</w:t>
      </w:r>
    </w:p>
    <w:p>
      <w:pPr>
        <w:sectPr>
          <w:pgSz w:w="11900" w:h="16838" w:orient="portrait"/>
          <w:cols w:equalWidth="0" w:num="1">
            <w:col w:w="11016"/>
          </w:cols>
          <w:pgMar w:left="544" w:top="1422" w:right="339" w:bottom="1440" w:gutter="0" w:footer="0" w:header="0"/>
        </w:sectPr>
      </w:pPr>
    </w:p>
    <w:bookmarkStart w:id="103" w:name="page104"/>
    <w:bookmarkEnd w:id="103"/>
    <w:p>
      <w:pPr>
        <w:ind w:left="1840" w:hanging="536"/>
        <w:spacing w:after="0"/>
        <w:tabs>
          <w:tab w:leader="none" w:pos="184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Closing, Purchaser shall deliver or cause to be delivered to the Seller or the relevant designees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following:</w:t>
      </w:r>
    </w:p>
    <w:p>
      <w:pPr>
        <w:spacing w:after="0" w:line="196" w:lineRule="exact"/>
        <w:rPr>
          <w:sz w:val="20"/>
          <w:szCs w:val="20"/>
          <w:color w:val="auto"/>
        </w:rPr>
      </w:pPr>
    </w:p>
    <w:p>
      <w:pPr>
        <w:ind w:left="1800" w:hanging="415"/>
        <w:spacing w:after="0"/>
        <w:tabs>
          <w:tab w:leader="none" w:pos="180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Closing Purchase Price in accordance with </w:t>
      </w:r>
      <w:r>
        <w:rPr>
          <w:rFonts w:ascii="Times New Roman" w:cs="Times New Roman" w:eastAsia="Times New Roman" w:hAnsi="Times New Roman"/>
          <w:sz w:val="22"/>
          <w:szCs w:val="22"/>
          <w:u w:val="single" w:color="auto"/>
          <w:color w:val="auto"/>
        </w:rPr>
        <w:t>Section 2.06</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1860" w:hanging="475"/>
        <w:spacing w:after="0"/>
        <w:tabs>
          <w:tab w:leader="none" w:pos="186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duly executed counterpart to the Assignment and Assumption Agreement;</w:t>
      </w:r>
    </w:p>
    <w:p>
      <w:pPr>
        <w:spacing w:after="0" w:line="219" w:lineRule="exact"/>
        <w:rPr>
          <w:rFonts w:ascii="Times New Roman" w:cs="Times New Roman" w:eastAsia="Times New Roman" w:hAnsi="Times New Roman"/>
          <w:sz w:val="22"/>
          <w:szCs w:val="22"/>
          <w:color w:val="auto"/>
        </w:rPr>
      </w:pPr>
    </w:p>
    <w:p>
      <w:pPr>
        <w:ind w:left="1920" w:hanging="535"/>
        <w:spacing w:after="0"/>
        <w:tabs>
          <w:tab w:leader="none" w:pos="192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duly executed counterpart to the Trademark Assignment Agreement;</w:t>
      </w:r>
    </w:p>
    <w:p>
      <w:pPr>
        <w:spacing w:after="0" w:line="219" w:lineRule="exact"/>
        <w:rPr>
          <w:rFonts w:ascii="Times New Roman" w:cs="Times New Roman" w:eastAsia="Times New Roman" w:hAnsi="Times New Roman"/>
          <w:sz w:val="22"/>
          <w:szCs w:val="22"/>
          <w:color w:val="auto"/>
        </w:rPr>
      </w:pPr>
    </w:p>
    <w:p>
      <w:pPr>
        <w:ind w:left="1920" w:hanging="535"/>
        <w:spacing w:after="0"/>
        <w:tabs>
          <w:tab w:leader="none" w:pos="192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duly executed counterpart to the Lease Assignment and Assumption Agreement;</w:t>
      </w:r>
    </w:p>
    <w:p>
      <w:pPr>
        <w:spacing w:after="0" w:line="219" w:lineRule="exact"/>
        <w:rPr>
          <w:rFonts w:ascii="Times New Roman" w:cs="Times New Roman" w:eastAsia="Times New Roman" w:hAnsi="Times New Roman"/>
          <w:sz w:val="22"/>
          <w:szCs w:val="22"/>
          <w:color w:val="auto"/>
        </w:rPr>
      </w:pPr>
    </w:p>
    <w:p>
      <w:pPr>
        <w:ind w:left="1860" w:hanging="475"/>
        <w:spacing w:after="0"/>
        <w:tabs>
          <w:tab w:leader="none" w:pos="186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duly executed counterpart to the Patent and Know-How Agreement;</w:t>
      </w:r>
    </w:p>
    <w:p>
      <w:pPr>
        <w:spacing w:after="0" w:line="219" w:lineRule="exact"/>
        <w:rPr>
          <w:rFonts w:ascii="Times New Roman" w:cs="Times New Roman" w:eastAsia="Times New Roman" w:hAnsi="Times New Roman"/>
          <w:sz w:val="22"/>
          <w:szCs w:val="22"/>
          <w:color w:val="auto"/>
        </w:rPr>
      </w:pPr>
    </w:p>
    <w:p>
      <w:pPr>
        <w:ind w:left="1920" w:hanging="535"/>
        <w:spacing w:after="0"/>
        <w:tabs>
          <w:tab w:leader="none" w:pos="192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duly executed counterpart to the Supply Agreement;</w:t>
      </w:r>
    </w:p>
    <w:p>
      <w:pPr>
        <w:spacing w:after="0" w:line="233" w:lineRule="exact"/>
        <w:rPr>
          <w:rFonts w:ascii="Times New Roman" w:cs="Times New Roman" w:eastAsia="Times New Roman" w:hAnsi="Times New Roman"/>
          <w:sz w:val="22"/>
          <w:szCs w:val="22"/>
          <w:color w:val="auto"/>
        </w:rPr>
      </w:pPr>
    </w:p>
    <w:p>
      <w:pPr>
        <w:ind w:left="1980" w:hanging="595"/>
        <w:spacing w:after="0"/>
        <w:tabs>
          <w:tab w:leader="none" w:pos="198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duly executed counterpart to the Transition Services Agreement;</w:t>
      </w:r>
    </w:p>
    <w:p>
      <w:pPr>
        <w:spacing w:after="0" w:line="219" w:lineRule="exact"/>
        <w:rPr>
          <w:rFonts w:ascii="Times New Roman" w:cs="Times New Roman" w:eastAsia="Times New Roman" w:hAnsi="Times New Roman"/>
          <w:sz w:val="22"/>
          <w:szCs w:val="22"/>
          <w:color w:val="auto"/>
        </w:rPr>
      </w:pPr>
    </w:p>
    <w:p>
      <w:pPr>
        <w:jc w:val="both"/>
        <w:ind w:left="740" w:firstLine="645"/>
        <w:spacing w:after="0" w:line="252" w:lineRule="auto"/>
        <w:tabs>
          <w:tab w:leader="none" w:pos="2074"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evidence that Purchaser or its designated Affiliate has entered into an agreement with each of the unions under the CBAs pursuant to which Purchaser or its designated Affiliate will (A) recognize each of the unions as the exclusive collective bargaining representative of the Business Employees covered by each of the CBAs, and (B) assume each CBA; and</w:t>
      </w:r>
    </w:p>
    <w:p>
      <w:pPr>
        <w:spacing w:after="0" w:line="179" w:lineRule="exact"/>
        <w:rPr>
          <w:rFonts w:ascii="Times New Roman" w:cs="Times New Roman" w:eastAsia="Times New Roman" w:hAnsi="Times New Roman"/>
          <w:sz w:val="22"/>
          <w:szCs w:val="22"/>
          <w:color w:val="auto"/>
        </w:rPr>
      </w:pPr>
    </w:p>
    <w:p>
      <w:pPr>
        <w:ind w:left="1920" w:hanging="535"/>
        <w:spacing w:after="0"/>
        <w:tabs>
          <w:tab w:leader="none" w:pos="192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certificate contemplated in </w:t>
      </w:r>
      <w:r>
        <w:rPr>
          <w:rFonts w:ascii="Times New Roman" w:cs="Times New Roman" w:eastAsia="Times New Roman" w:hAnsi="Times New Roman"/>
          <w:sz w:val="22"/>
          <w:szCs w:val="22"/>
          <w:u w:val="single" w:color="auto"/>
          <w:color w:val="auto"/>
        </w:rPr>
        <w:t>Section 8.03(c)</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left="80"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3.04 </w:t>
      </w:r>
      <w:r>
        <w:rPr>
          <w:rFonts w:ascii="Times New Roman" w:cs="Times New Roman" w:eastAsia="Times New Roman" w:hAnsi="Times New Roman"/>
          <w:sz w:val="22"/>
          <w:szCs w:val="22"/>
          <w:u w:val="single" w:color="auto"/>
          <w:color w:val="auto"/>
        </w:rPr>
        <w:t>Allocation of Purchase Price</w:t>
      </w: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Section 3.04</w:t>
      </w:r>
      <w:r>
        <w:rPr>
          <w:rFonts w:ascii="Times New Roman" w:cs="Times New Roman" w:eastAsia="Times New Roman" w:hAnsi="Times New Roman"/>
          <w:sz w:val="22"/>
          <w:szCs w:val="22"/>
          <w:color w:val="auto"/>
        </w:rPr>
        <w:t xml:space="preserve"> of the Disclosure Letter (the “</w:t>
      </w:r>
      <w:r>
        <w:rPr>
          <w:rFonts w:ascii="Times New Roman" w:cs="Times New Roman" w:eastAsia="Times New Roman" w:hAnsi="Times New Roman"/>
          <w:sz w:val="22"/>
          <w:szCs w:val="22"/>
          <w:u w:val="single" w:color="auto"/>
          <w:color w:val="auto"/>
        </w:rPr>
        <w:t>Allocation Schedule</w:t>
      </w:r>
      <w:r>
        <w:rPr>
          <w:rFonts w:ascii="Times New Roman" w:cs="Times New Roman" w:eastAsia="Times New Roman" w:hAnsi="Times New Roman"/>
          <w:sz w:val="22"/>
          <w:szCs w:val="22"/>
          <w:color w:val="auto"/>
        </w:rPr>
        <w:t xml:space="preserve">”) sets forth principles for the allocation of the Purchase Price, any adjustments thereto pursuant to </w:t>
      </w:r>
      <w:r>
        <w:rPr>
          <w:rFonts w:ascii="Times New Roman" w:cs="Times New Roman" w:eastAsia="Times New Roman" w:hAnsi="Times New Roman"/>
          <w:sz w:val="22"/>
          <w:szCs w:val="22"/>
          <w:u w:val="single" w:color="auto"/>
          <w:color w:val="auto"/>
        </w:rPr>
        <w:t>Section 2.06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2.08</w:t>
      </w:r>
      <w:r>
        <w:rPr>
          <w:rFonts w:ascii="Times New Roman" w:cs="Times New Roman" w:eastAsia="Times New Roman" w:hAnsi="Times New Roman"/>
          <w:sz w:val="22"/>
          <w:szCs w:val="22"/>
          <w:color w:val="auto"/>
        </w:rPr>
        <w:t xml:space="preserve"> and any other amounts treated as consideration for the transfer of the Transferred Assets (collectively, the “</w:t>
      </w:r>
      <w:r>
        <w:rPr>
          <w:rFonts w:ascii="Times New Roman" w:cs="Times New Roman" w:eastAsia="Times New Roman" w:hAnsi="Times New Roman"/>
          <w:sz w:val="22"/>
          <w:szCs w:val="22"/>
          <w:u w:val="single" w:color="auto"/>
          <w:color w:val="auto"/>
        </w:rPr>
        <w:t>Tax Consideration</w:t>
      </w:r>
      <w:r>
        <w:rPr>
          <w:rFonts w:ascii="Times New Roman" w:cs="Times New Roman" w:eastAsia="Times New Roman" w:hAnsi="Times New Roman"/>
          <w:sz w:val="22"/>
          <w:szCs w:val="22"/>
          <w:color w:val="auto"/>
        </w:rPr>
        <w:t xml:space="preserve">”). With respect to any assets treated as transferred for U.S. federal income Tax purposes, pursuant to this Agreement, no later than ninety (90) days after the date on which the Final Purchase Price is finally determined pursuant to </w:t>
      </w:r>
      <w:r>
        <w:rPr>
          <w:rFonts w:ascii="Times New Roman" w:cs="Times New Roman" w:eastAsia="Times New Roman" w:hAnsi="Times New Roman"/>
          <w:sz w:val="22"/>
          <w:szCs w:val="22"/>
          <w:u w:val="single" w:color="auto"/>
          <w:color w:val="auto"/>
        </w:rPr>
        <w:t>Section 2.08</w:t>
      </w:r>
      <w:r>
        <w:rPr>
          <w:rFonts w:ascii="Times New Roman" w:cs="Times New Roman" w:eastAsia="Times New Roman" w:hAnsi="Times New Roman"/>
          <w:sz w:val="22"/>
          <w:szCs w:val="22"/>
          <w:color w:val="auto"/>
        </w:rPr>
        <w:t>, Purchaser shall prepare and deliver to Seller a proposed allocation of the Tax Consideration, prepared in a manner consistent with the Allocation Schedule, the positions taken on any Tax Returns filed with respect to Transfer Taxes, Section 1060 of the Code and the Treasury Regulations promulgated thereunder and other applicable Tax Law (the “</w:t>
      </w:r>
      <w:r>
        <w:rPr>
          <w:rFonts w:ascii="Times New Roman" w:cs="Times New Roman" w:eastAsia="Times New Roman" w:hAnsi="Times New Roman"/>
          <w:sz w:val="22"/>
          <w:szCs w:val="22"/>
          <w:u w:val="single" w:color="auto"/>
          <w:color w:val="auto"/>
        </w:rPr>
        <w:t>Asset Allocation Schedule</w:t>
      </w:r>
      <w:r>
        <w:rPr>
          <w:rFonts w:ascii="Times New Roman" w:cs="Times New Roman" w:eastAsia="Times New Roman" w:hAnsi="Times New Roman"/>
          <w:sz w:val="22"/>
          <w:szCs w:val="22"/>
          <w:color w:val="auto"/>
        </w:rPr>
        <w:t>”). Seller shall have a period of forty-five (45) days after the delivery of the Asset Allocation Schedule to present in writing to Purchaser notice of any objections that Seller may have to the allocations set forth therein (an “</w:t>
      </w:r>
      <w:r>
        <w:rPr>
          <w:rFonts w:ascii="Times New Roman" w:cs="Times New Roman" w:eastAsia="Times New Roman" w:hAnsi="Times New Roman"/>
          <w:sz w:val="22"/>
          <w:szCs w:val="22"/>
          <w:u w:val="single" w:color="auto"/>
          <w:color w:val="auto"/>
        </w:rPr>
        <w:t>Objections Notice</w:t>
      </w:r>
      <w:r>
        <w:rPr>
          <w:rFonts w:ascii="Times New Roman" w:cs="Times New Roman" w:eastAsia="Times New Roman" w:hAnsi="Times New Roman"/>
          <w:sz w:val="22"/>
          <w:szCs w:val="22"/>
          <w:color w:val="auto"/>
        </w:rPr>
        <w:t xml:space="preserve">”). If Seller presents an Objection Notice, the parties shall negotiate in good faith and use their reasonable best efforts to resolve such dispute. If the parties fail to agree within fifteen (15) Business Days after the delivery of the Objections Notice, then the disputed items shall be resolved by the Independent Expert in a manner consistent with the Allocation Schedule and the positions taken on any Tax Returns filed with respect to Transfer Taxes. All of the corresponding costs, fees and expenses of the Independent Expert shall be borne fifty percent (50%) by Purchaser and fifty percent (50%) by Seller. No party shall take, or permit any of its Affiliates to take, any position inconsistent with the Allocation Schedule or the Asset Allocation Schedule for any applicable Tax purpose, unless required to do so pursuant to applicable Law or a “determination” within the meaning of Section 1313(a) of the Code;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- 35 -</w:t>
      </w:r>
    </w:p>
    <w:p>
      <w:pPr>
        <w:sectPr>
          <w:pgSz w:w="11900" w:h="16838" w:orient="portrait"/>
          <w:cols w:equalWidth="0" w:num="1">
            <w:col w:w="11240"/>
          </w:cols>
          <w:pgMar w:left="320" w:top="1422" w:right="339" w:bottom="1440" w:gutter="0" w:footer="0" w:header="0"/>
        </w:sectPr>
      </w:pPr>
    </w:p>
    <w:bookmarkStart w:id="104" w:name="page105"/>
    <w:bookmarkEnd w:id="104"/>
    <w:p>
      <w:pPr>
        <w:ind w:left="80"/>
        <w:spacing w:after="0" w:line="271" w:lineRule="auto"/>
        <w:rPr>
          <w:sz w:val="20"/>
          <w:szCs w:val="20"/>
          <w:color w:val="auto"/>
        </w:rPr>
      </w:pPr>
      <w:r>
        <w:rPr>
          <w:rFonts w:ascii="Times New Roman" w:cs="Times New Roman" w:eastAsia="Times New Roman" w:hAnsi="Times New Roman"/>
          <w:sz w:val="22"/>
          <w:szCs w:val="22"/>
          <w:color w:val="auto"/>
        </w:rPr>
        <w:t>determination shall have any impact on the Purchase Price and the parties hereby agree that no adjustment shall be made to any such payment.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IV</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Representations and Warranties of the Seller</w:t>
      </w:r>
    </w:p>
    <w:p>
      <w:pPr>
        <w:spacing w:after="0" w:line="220"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The Seller represents and warrants to Purchaser that, except as set forth in the confidential disclosure letter delivered by the Seller to Purchaser concurrently with the execution of this Agreement (the “</w:t>
      </w:r>
      <w:r>
        <w:rPr>
          <w:rFonts w:ascii="Times New Roman" w:cs="Times New Roman" w:eastAsia="Times New Roman" w:hAnsi="Times New Roman"/>
          <w:sz w:val="22"/>
          <w:szCs w:val="22"/>
          <w:u w:val="single" w:color="auto"/>
          <w:color w:val="auto"/>
        </w:rPr>
        <w:t>Disclosure Letter</w:t>
      </w:r>
      <w:r>
        <w:rPr>
          <w:rFonts w:ascii="Times New Roman" w:cs="Times New Roman" w:eastAsia="Times New Roman" w:hAnsi="Times New Roman"/>
          <w:sz w:val="22"/>
          <w:szCs w:val="22"/>
          <w:color w:val="auto"/>
        </w:rPr>
        <w:t>”) (it being understood that any information, item or matter set forth on one section or subsection of the Disclosure Letter shall be deemed disclosed with respect to, and shall be deemed to apply to and qualify, the section or subsection of this Agreement to which it corresponds in number and each other section or subsection of this Agreement to the extent that it is reasonably apparent on the face of such disclosure that such information, item or matter is relevant to such other section or subsection):</w:t>
      </w:r>
    </w:p>
    <w:p>
      <w:pPr>
        <w:spacing w:after="0" w:line="181" w:lineRule="exact"/>
        <w:rPr>
          <w:sz w:val="20"/>
          <w:szCs w:val="20"/>
          <w:color w:val="auto"/>
        </w:rPr>
      </w:pPr>
    </w:p>
    <w:p>
      <w:pPr>
        <w:ind w:left="1380"/>
        <w:spacing w:after="0"/>
        <w:tabs>
          <w:tab w:leader="none" w:pos="2660" w:val="left"/>
        </w:tabs>
        <w:rPr>
          <w:sz w:val="20"/>
          <w:szCs w:val="20"/>
          <w:color w:val="auto"/>
        </w:rPr>
      </w:pPr>
      <w:r>
        <w:rPr>
          <w:rFonts w:ascii="Times New Roman" w:cs="Times New Roman" w:eastAsia="Times New Roman" w:hAnsi="Times New Roman"/>
          <w:sz w:val="22"/>
          <w:szCs w:val="22"/>
          <w:color w:val="auto"/>
        </w:rPr>
        <w:t>Section 4.01</w:t>
      </w:r>
      <w:r>
        <w:rPr>
          <w:sz w:val="20"/>
          <w:szCs w:val="20"/>
          <w:color w:val="auto"/>
        </w:rPr>
        <w:tab/>
      </w:r>
      <w:r>
        <w:rPr>
          <w:rFonts w:ascii="Times New Roman" w:cs="Times New Roman" w:eastAsia="Times New Roman" w:hAnsi="Times New Roman"/>
          <w:sz w:val="21"/>
          <w:szCs w:val="21"/>
          <w:u w:val="single" w:color="auto"/>
          <w:color w:val="auto"/>
        </w:rPr>
        <w:t>Organization; Standing</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3" w:lineRule="auto"/>
        <w:tabs>
          <w:tab w:leader="none" w:pos="1791"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is a corporation, duly organized, validly existing and in good standing under the Laws of the State of Ohio and has all requisite power, rights and authority necessary to carry on the Business as it is now being conducted, except (other than with respect to such entity’s due organization, valid existence and good standing) as would not, individually or in the aggregate, have a Material Adverse Effect or otherwise be or reasonably be expected to be material to the Business taken as a whole.</w:t>
      </w:r>
    </w:p>
    <w:p>
      <w:pPr>
        <w:spacing w:after="0" w:line="178" w:lineRule="exact"/>
        <w:rPr>
          <w:rFonts w:ascii="Times New Roman" w:cs="Times New Roman" w:eastAsia="Times New Roman" w:hAnsi="Times New Roman"/>
          <w:sz w:val="22"/>
          <w:szCs w:val="22"/>
          <w:color w:val="auto"/>
        </w:rPr>
      </w:pPr>
    </w:p>
    <w:p>
      <w:pPr>
        <w:jc w:val="both"/>
        <w:ind w:firstLine="1304"/>
        <w:spacing w:after="0" w:line="268" w:lineRule="auto"/>
        <w:tabs>
          <w:tab w:leader="none" w:pos="1788"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Seller is duly licensed or qualified to do business and is in good standing (where such concept is recognized under applicable Law) in each jurisdiction in which the conduct of the Business by it or the character or location of the assets (including the Transferred Assets) owned or leased by it makes such licensing or qualification necessary, except where the failure to be so licensed, qualified or in good standing would not, individually or in the aggregate, reasonably be expected to have a Material Adverse Effect or otherwise be or reasonably be expected to be material to the Business taken as a whole.</w:t>
      </w:r>
    </w:p>
    <w:p>
      <w:pPr>
        <w:spacing w:after="0" w:line="164" w:lineRule="exact"/>
        <w:rPr>
          <w:sz w:val="20"/>
          <w:szCs w:val="20"/>
          <w:color w:val="auto"/>
        </w:rPr>
      </w:pPr>
    </w:p>
    <w:p>
      <w:pPr>
        <w:ind w:left="1380"/>
        <w:spacing w:after="0"/>
        <w:tabs>
          <w:tab w:leader="none" w:pos="2660" w:val="left"/>
        </w:tabs>
        <w:rPr>
          <w:sz w:val="20"/>
          <w:szCs w:val="20"/>
          <w:color w:val="auto"/>
        </w:rPr>
      </w:pPr>
      <w:r>
        <w:rPr>
          <w:rFonts w:ascii="Times New Roman" w:cs="Times New Roman" w:eastAsia="Times New Roman" w:hAnsi="Times New Roman"/>
          <w:sz w:val="22"/>
          <w:szCs w:val="22"/>
          <w:color w:val="auto"/>
        </w:rPr>
        <w:t>Section 4.02</w:t>
      </w:r>
      <w:r>
        <w:rPr>
          <w:sz w:val="20"/>
          <w:szCs w:val="20"/>
          <w:color w:val="auto"/>
        </w:rPr>
        <w:tab/>
      </w:r>
      <w:r>
        <w:rPr>
          <w:rFonts w:ascii="Times New Roman" w:cs="Times New Roman" w:eastAsia="Times New Roman" w:hAnsi="Times New Roman"/>
          <w:sz w:val="21"/>
          <w:szCs w:val="21"/>
          <w:u w:val="single" w:color="auto"/>
          <w:color w:val="auto"/>
        </w:rPr>
        <w:t>Authority; Binding Effect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0" w:lineRule="auto"/>
        <w:tabs>
          <w:tab w:leader="none" w:pos="1754"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and, where applicable, each other Seller Entity, has all necessary power, rights and authority to execute and deliver this Agreement and the other Transaction Documents to which Seller is or will be a party, to perform its obligations hereunder and thereunder and to consummate the applicable Transactions. The execution and delivery of this Agreement and the other Transaction Documents to which Seller is or will be a party, the performance by Seller of its obligations hereunder and thereunder, and the consummation by Seller and, where applicable, the other Seller Entities, of the applicable Transactions, have been, or will have been as of the Closing, duly authorized and approved by all necessary corporate and similar, where applicable, action. Each Seller Entity, other than Seller, is a wholly-owned Subsidiary of Seller.</w:t>
      </w:r>
    </w:p>
    <w:p>
      <w:pPr>
        <w:spacing w:after="0" w:line="180"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54"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Assuming the due authorization, execution and delivery of this Agreement by Purchaser, this Agreement constitutes a legal, valid and binding obligation of Seller, enforceable against Seller in accordance with its terms, except as enforcement may be limited by bankruptcy, insolvency, reorganization, moratorium or similar Laws affecting creditors’ rights generally and by general equity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5" w:lineRule="exact"/>
        <w:rPr>
          <w:rFonts w:ascii="Times New Roman" w:cs="Times New Roman" w:eastAsia="Times New Roman" w:hAnsi="Times New Roman"/>
          <w:sz w:val="22"/>
          <w:szCs w:val="22"/>
          <w:color w:val="auto"/>
        </w:rPr>
      </w:pPr>
    </w:p>
    <w:p>
      <w:pPr>
        <w:ind w:left="360" w:hanging="136"/>
        <w:spacing w:after="0"/>
        <w:tabs>
          <w:tab w:leader="none" w:pos="3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36 -</w:t>
      </w:r>
    </w:p>
    <w:p>
      <w:pPr>
        <w:sectPr>
          <w:pgSz w:w="11900" w:h="16838" w:orient="portrait"/>
          <w:cols w:equalWidth="0" w:num="1">
            <w:col w:w="11240"/>
          </w:cols>
          <w:pgMar w:left="320" w:top="1422" w:right="339" w:bottom="1440" w:gutter="0" w:footer="0" w:header="0"/>
        </w:sectPr>
      </w:pPr>
    </w:p>
    <w:bookmarkStart w:id="105" w:name="page106"/>
    <w:bookmarkEnd w:id="105"/>
    <w:p>
      <w:pPr>
        <w:jc w:val="both"/>
        <w:spacing w:after="0" w:line="253" w:lineRule="auto"/>
        <w:rPr>
          <w:sz w:val="20"/>
          <w:szCs w:val="20"/>
          <w:color w:val="auto"/>
        </w:rPr>
      </w:pPr>
      <w:r>
        <w:rPr>
          <w:rFonts w:ascii="Times New Roman" w:cs="Times New Roman" w:eastAsia="Times New Roman" w:hAnsi="Times New Roman"/>
          <w:sz w:val="22"/>
          <w:szCs w:val="22"/>
          <w:color w:val="auto"/>
        </w:rPr>
        <w:t>principles (the “</w:t>
      </w:r>
      <w:r>
        <w:rPr>
          <w:rFonts w:ascii="Times New Roman" w:cs="Times New Roman" w:eastAsia="Times New Roman" w:hAnsi="Times New Roman"/>
          <w:sz w:val="22"/>
          <w:szCs w:val="22"/>
          <w:u w:val="single" w:color="auto"/>
          <w:color w:val="auto"/>
        </w:rPr>
        <w:t>Enforceability Exceptions</w:t>
      </w:r>
      <w:r>
        <w:rPr>
          <w:rFonts w:ascii="Times New Roman" w:cs="Times New Roman" w:eastAsia="Times New Roman" w:hAnsi="Times New Roman"/>
          <w:sz w:val="22"/>
          <w:szCs w:val="22"/>
          <w:color w:val="auto"/>
        </w:rPr>
        <w:t>”). Assuming the due authorization, execution and delivery of the Transaction Documents by Purchaser or its applicable Affiliate, each Transaction Document to which Seller is or will be a party, when executed and delivered hereunder and thereunder, as applicable, will be duly and validly executed and delivered by Seller, and will constitute a legal, valid and binding obligation of Seller, enforceable against Seller in accordance with its terms, except as enforcement may be limited by the Enforceability Exceptions.</w:t>
      </w:r>
    </w:p>
    <w:p>
      <w:pPr>
        <w:spacing w:after="0" w:line="179" w:lineRule="exact"/>
        <w:rPr>
          <w:sz w:val="20"/>
          <w:szCs w:val="20"/>
          <w:color w:val="auto"/>
        </w:rPr>
      </w:pPr>
    </w:p>
    <w:p>
      <w:pPr>
        <w:ind w:left="1380"/>
        <w:spacing w:after="0"/>
        <w:tabs>
          <w:tab w:leader="none" w:pos="2660" w:val="left"/>
        </w:tabs>
        <w:rPr>
          <w:sz w:val="20"/>
          <w:szCs w:val="20"/>
          <w:color w:val="auto"/>
        </w:rPr>
      </w:pPr>
      <w:r>
        <w:rPr>
          <w:rFonts w:ascii="Times New Roman" w:cs="Times New Roman" w:eastAsia="Times New Roman" w:hAnsi="Times New Roman"/>
          <w:sz w:val="22"/>
          <w:szCs w:val="22"/>
          <w:color w:val="auto"/>
        </w:rPr>
        <w:t>Section 4.03</w:t>
      </w:r>
      <w:r>
        <w:rPr>
          <w:sz w:val="20"/>
          <w:szCs w:val="20"/>
          <w:color w:val="auto"/>
        </w:rPr>
        <w:tab/>
      </w:r>
      <w:r>
        <w:rPr>
          <w:rFonts w:ascii="Times New Roman" w:cs="Times New Roman" w:eastAsia="Times New Roman" w:hAnsi="Times New Roman"/>
          <w:sz w:val="21"/>
          <w:szCs w:val="21"/>
          <w:u w:val="single" w:color="auto"/>
          <w:color w:val="auto"/>
        </w:rPr>
        <w:t>Noncontravention; Governmental Approvals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8" w:lineRule="auto"/>
        <w:tabs>
          <w:tab w:leader="none" w:pos="1752"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Section 4.03(a)</w:t>
      </w:r>
      <w:r>
        <w:rPr>
          <w:rFonts w:ascii="Times New Roman" w:cs="Times New Roman" w:eastAsia="Times New Roman" w:hAnsi="Times New Roman"/>
          <w:sz w:val="22"/>
          <w:szCs w:val="22"/>
          <w:color w:val="auto"/>
        </w:rPr>
        <w:t xml:space="preserve"> of the Disclosure Letter, the execution, delivery and performance of this Agreement and any other Transaction Document to which Seller is or will be a party, and the consummation of the Transactions, do not and will not (whether after the giving of notice or the lapse of time or both) (i) conflict with or violate any provision of the certificate of incorporation, code of regulations or any other organizational documents of Seller, (ii) assuming compliance with the matters set forth in </w:t>
      </w:r>
      <w:r>
        <w:rPr>
          <w:rFonts w:ascii="Times New Roman" w:cs="Times New Roman" w:eastAsia="Times New Roman" w:hAnsi="Times New Roman"/>
          <w:sz w:val="22"/>
          <w:szCs w:val="22"/>
          <w:u w:val="single" w:color="auto"/>
          <w:color w:val="auto"/>
        </w:rPr>
        <w:t>Section 4.03(b)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5.03</w:t>
      </w:r>
      <w:r>
        <w:rPr>
          <w:rFonts w:ascii="Times New Roman" w:cs="Times New Roman" w:eastAsia="Times New Roman" w:hAnsi="Times New Roman"/>
          <w:sz w:val="22"/>
          <w:szCs w:val="22"/>
          <w:color w:val="auto"/>
        </w:rPr>
        <w:t>, violate any Permit, Law, or Judgment applicable to Seller, any other Seller Entity, the Business or any of the Transferred Assets, (iii) (A) (x) require Consent, notice or other action by any Person under, or (y) result in a violation, breach of or constitute a default under, any Transferred Contract, or (B) result in or give rise to a right of termination, cancelation, modification or acceleration of any right or obligation or loss of any benefit under any Transferred Contract, or (iv) result in the creation of any Lien (other than a Permitted Lien) on any of the Transferred Assets, except, in the case of the foregoing clauses (ii) through (iv), as would not, individually or in the aggregate, reasonably be expected to have a Material Adverse Effect or otherwise be or reasonably be expected to be material to the Business taken as a whole.</w:t>
      </w:r>
    </w:p>
    <w:p>
      <w:pPr>
        <w:spacing w:after="0" w:line="184" w:lineRule="exact"/>
        <w:rPr>
          <w:rFonts w:ascii="Times New Roman" w:cs="Times New Roman" w:eastAsia="Times New Roman" w:hAnsi="Times New Roman"/>
          <w:sz w:val="22"/>
          <w:szCs w:val="22"/>
          <w:color w:val="auto"/>
        </w:rPr>
      </w:pPr>
    </w:p>
    <w:p>
      <w:pPr>
        <w:jc w:val="both"/>
        <w:ind w:firstLine="1304"/>
        <w:spacing w:after="0" w:line="252" w:lineRule="auto"/>
        <w:tabs>
          <w:tab w:leader="none" w:pos="177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for (i) filings, clearances, consents or approvals required under, and compliance with other applicable requirements of, (A) the HSR Act, and (B) the other Antitrust Laws set forth in </w:t>
      </w:r>
      <w:r>
        <w:rPr>
          <w:rFonts w:ascii="Times New Roman" w:cs="Times New Roman" w:eastAsia="Times New Roman" w:hAnsi="Times New Roman"/>
          <w:sz w:val="22"/>
          <w:szCs w:val="22"/>
          <w:u w:val="single" w:color="auto"/>
          <w:color w:val="auto"/>
        </w:rPr>
        <w:t>Section 4.03(b)</w:t>
      </w:r>
      <w:r>
        <w:rPr>
          <w:rFonts w:ascii="Times New Roman" w:cs="Times New Roman" w:eastAsia="Times New Roman" w:hAnsi="Times New Roman"/>
          <w:sz w:val="22"/>
          <w:szCs w:val="22"/>
          <w:color w:val="auto"/>
        </w:rPr>
        <w:t xml:space="preserve"> of the Disclosure Letter and (ii) filings, clearances, consents or approvals that may be required solely by reason of Purchaser’s (as opposed to any other third party’s) participation in the Transactions, no Consent of any Governmental Authority is necessary for the execution and delivery by Seller of this Agreement or any other Transaction Document to which Seller is or will be a party, the performance by Seller of its obligations hereunder or thereunder and the consummation by Seller and, where applicable, the other Seller Entities, of the Transactions.</w:t>
      </w:r>
    </w:p>
    <w:p>
      <w:pPr>
        <w:spacing w:after="0" w:line="179" w:lineRule="exact"/>
        <w:rPr>
          <w:sz w:val="20"/>
          <w:szCs w:val="20"/>
          <w:color w:val="auto"/>
        </w:rPr>
      </w:pPr>
    </w:p>
    <w:p>
      <w:pPr>
        <w:ind w:left="1380"/>
        <w:spacing w:after="0"/>
        <w:tabs>
          <w:tab w:leader="none" w:pos="2660" w:val="left"/>
        </w:tabs>
        <w:rPr>
          <w:sz w:val="20"/>
          <w:szCs w:val="20"/>
          <w:color w:val="auto"/>
        </w:rPr>
      </w:pPr>
      <w:r>
        <w:rPr>
          <w:rFonts w:ascii="Times New Roman" w:cs="Times New Roman" w:eastAsia="Times New Roman" w:hAnsi="Times New Roman"/>
          <w:sz w:val="22"/>
          <w:szCs w:val="22"/>
          <w:color w:val="auto"/>
        </w:rPr>
        <w:t>Section 4.04</w:t>
      </w:r>
      <w:r>
        <w:rPr>
          <w:sz w:val="20"/>
          <w:szCs w:val="20"/>
          <w:color w:val="auto"/>
        </w:rPr>
        <w:tab/>
      </w:r>
      <w:r>
        <w:rPr>
          <w:rFonts w:ascii="Times New Roman" w:cs="Times New Roman" w:eastAsia="Times New Roman" w:hAnsi="Times New Roman"/>
          <w:sz w:val="21"/>
          <w:szCs w:val="21"/>
          <w:u w:val="single" w:color="auto"/>
          <w:color w:val="auto"/>
        </w:rPr>
        <w:t>Title to Tangible Personal Property</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7" w:lineRule="auto"/>
        <w:tabs>
          <w:tab w:leader="none" w:pos="177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Section 4.04(a)</w:t>
      </w:r>
      <w:r>
        <w:rPr>
          <w:rFonts w:ascii="Times New Roman" w:cs="Times New Roman" w:eastAsia="Times New Roman" w:hAnsi="Times New Roman"/>
          <w:sz w:val="22"/>
          <w:szCs w:val="22"/>
          <w:color w:val="auto"/>
        </w:rPr>
        <w:t xml:space="preserve"> of the Disclosure Letter, Seller has, and at the Closing will have good, valid and marketable title to or, in the case of leased Transferred Tangible Personal Property, valid leasehold interests in, all the Transferred IT and Transferred Tangible Personal Property, free and clear of any and all Liens, except Permitted Liens.</w:t>
      </w:r>
    </w:p>
    <w:p>
      <w:pPr>
        <w:spacing w:after="0" w:line="172" w:lineRule="exact"/>
        <w:rPr>
          <w:rFonts w:ascii="Times New Roman" w:cs="Times New Roman" w:eastAsia="Times New Roman" w:hAnsi="Times New Roman"/>
          <w:sz w:val="22"/>
          <w:szCs w:val="22"/>
          <w:color w:val="auto"/>
        </w:rPr>
      </w:pPr>
    </w:p>
    <w:p>
      <w:pPr>
        <w:jc w:val="both"/>
        <w:ind w:firstLine="1304"/>
        <w:spacing w:after="0" w:line="253" w:lineRule="auto"/>
        <w:tabs>
          <w:tab w:leader="none" w:pos="1795"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would not reasonably be expected to be material, individually or in the aggregate, to the Business taken as a whole, all Transferred IT and Transferred Tangible Personal Property (i) have been installed, operated and maintained in accordance with the generally accepted policies, procedures and standards of the industry in which the Business operates, and are not the subject of any deferred maintenance or deferred capital expenditures and (ii) are in good operating condition and repair (ordinary course wear and tear excepted).</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8" w:lineRule="exact"/>
        <w:rPr>
          <w:rFonts w:ascii="Times New Roman" w:cs="Times New Roman" w:eastAsia="Times New Roman" w:hAnsi="Times New Roman"/>
          <w:sz w:val="22"/>
          <w:szCs w:val="22"/>
          <w:color w:val="auto"/>
        </w:rPr>
      </w:pPr>
    </w:p>
    <w:p>
      <w:pPr>
        <w:ind w:left="360" w:hanging="136"/>
        <w:spacing w:after="0"/>
        <w:tabs>
          <w:tab w:leader="none" w:pos="36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37 -</w:t>
      </w:r>
    </w:p>
    <w:p>
      <w:pPr>
        <w:sectPr>
          <w:pgSz w:w="11900" w:h="16838" w:orient="portrait"/>
          <w:cols w:equalWidth="0" w:num="1">
            <w:col w:w="11240"/>
          </w:cols>
          <w:pgMar w:left="320" w:top="1422" w:right="339" w:bottom="1440" w:gutter="0" w:footer="0" w:header="0"/>
        </w:sectPr>
      </w:pPr>
    </w:p>
    <w:bookmarkStart w:id="106" w:name="page107"/>
    <w:bookmarkEnd w:id="106"/>
    <w:p>
      <w:pPr>
        <w:jc w:val="both"/>
        <w:ind w:firstLine="1296"/>
        <w:spacing w:after="0" w:line="260" w:lineRule="auto"/>
        <w:rPr>
          <w:sz w:val="20"/>
          <w:szCs w:val="20"/>
          <w:color w:val="auto"/>
        </w:rPr>
      </w:pPr>
      <w:r>
        <w:rPr>
          <w:rFonts w:ascii="Times New Roman" w:cs="Times New Roman" w:eastAsia="Times New Roman" w:hAnsi="Times New Roman"/>
          <w:sz w:val="21"/>
          <w:szCs w:val="21"/>
          <w:color w:val="auto"/>
        </w:rPr>
        <w:t xml:space="preserve">Section 4.05 </w:t>
      </w:r>
      <w:r>
        <w:rPr>
          <w:rFonts w:ascii="Times New Roman" w:cs="Times New Roman" w:eastAsia="Times New Roman" w:hAnsi="Times New Roman"/>
          <w:sz w:val="21"/>
          <w:szCs w:val="21"/>
          <w:u w:val="single" w:color="auto"/>
          <w:color w:val="auto"/>
        </w:rPr>
        <w:t>Sufficiency of Assets</w:t>
      </w:r>
      <w:r>
        <w:rPr>
          <w:rFonts w:ascii="Times New Roman" w:cs="Times New Roman" w:eastAsia="Times New Roman" w:hAnsi="Times New Roman"/>
          <w:sz w:val="21"/>
          <w:szCs w:val="21"/>
          <w:color w:val="auto"/>
        </w:rPr>
        <w:t>. Except (a) for the Shared Services and Assets and Shared Contracts that are not otherwise Transferred Assets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xml:space="preserve">, that are not Included Shared Contracts), (b) for services and other rights that are to be made available pursuant to this Agreement or any other Transaction Document, (c) for assets disposed of after the date of this Agreement in accordance with </w:t>
      </w:r>
      <w:r>
        <w:rPr>
          <w:rFonts w:ascii="Times New Roman" w:cs="Times New Roman" w:eastAsia="Times New Roman" w:hAnsi="Times New Roman"/>
          <w:sz w:val="21"/>
          <w:szCs w:val="21"/>
          <w:u w:val="single" w:color="auto"/>
          <w:color w:val="auto"/>
        </w:rPr>
        <w:t>Section 6.01(b)(i)</w:t>
      </w:r>
      <w:r>
        <w:rPr>
          <w:rFonts w:ascii="Times New Roman" w:cs="Times New Roman" w:eastAsia="Times New Roman" w:hAnsi="Times New Roman"/>
          <w:sz w:val="21"/>
          <w:szCs w:val="21"/>
          <w:color w:val="auto"/>
        </w:rPr>
        <w:t xml:space="preserve">, and (d) as set forth on </w:t>
      </w:r>
      <w:r>
        <w:rPr>
          <w:rFonts w:ascii="Times New Roman" w:cs="Times New Roman" w:eastAsia="Times New Roman" w:hAnsi="Times New Roman"/>
          <w:sz w:val="21"/>
          <w:szCs w:val="21"/>
          <w:u w:val="single" w:color="auto"/>
          <w:color w:val="auto"/>
        </w:rPr>
        <w:t>Section 4.05(d)</w:t>
      </w:r>
      <w:r>
        <w:rPr>
          <w:rFonts w:ascii="Times New Roman" w:cs="Times New Roman" w:eastAsia="Times New Roman" w:hAnsi="Times New Roman"/>
          <w:sz w:val="21"/>
          <w:szCs w:val="21"/>
          <w:color w:val="auto"/>
        </w:rPr>
        <w:t xml:space="preserve"> of the Disclosure Letter, the Transferred Assets constitute all of the assets, properties and rights (excluding rights with respect to Intellectual Property that are covered in </w:t>
      </w:r>
      <w:r>
        <w:rPr>
          <w:rFonts w:ascii="Times New Roman" w:cs="Times New Roman" w:eastAsia="Times New Roman" w:hAnsi="Times New Roman"/>
          <w:sz w:val="21"/>
          <w:szCs w:val="21"/>
          <w:u w:val="single" w:color="auto"/>
          <w:color w:val="auto"/>
        </w:rPr>
        <w:t>Section 4.14(h)</w:t>
      </w:r>
      <w:r>
        <w:rPr>
          <w:rFonts w:ascii="Times New Roman" w:cs="Times New Roman" w:eastAsia="Times New Roman" w:hAnsi="Times New Roman"/>
          <w:sz w:val="21"/>
          <w:szCs w:val="21"/>
          <w:color w:val="auto"/>
        </w:rPr>
        <w:t xml:space="preserve">) of the Seller Group used in or required for use in the conduct of the Business as of the date of this Agreement and as of the Closing and are sufficient for the continued conduct of the Business following the Closing in the same manner in all material respects as currently conducted as of the date of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all Consents set forth on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4.03(a)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of the Disclosure Letter that are required to be made or obtained in connection with the execution, delivery and performance of this Agreement, the other Transaction Documents and the Transactions are so made or obtained and (ii) Purchaser owns or forms legal entities in any necessary jurisdictions and that such legal entities obtain such necessary corporate qualifications to do business in such jurisdictions. The Business Employees constitute all of the employees necessary to conduct the Business in the same manner in all material respects as conducted as of the date of this Agreement.</w:t>
      </w:r>
    </w:p>
    <w:p>
      <w:pPr>
        <w:spacing w:after="0" w:line="177"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4.06</w:t>
      </w:r>
      <w:r>
        <w:rPr>
          <w:sz w:val="20"/>
          <w:szCs w:val="20"/>
          <w:color w:val="auto"/>
        </w:rPr>
        <w:tab/>
      </w:r>
      <w:r>
        <w:rPr>
          <w:rFonts w:ascii="Times New Roman" w:cs="Times New Roman" w:eastAsia="Times New Roman" w:hAnsi="Times New Roman"/>
          <w:sz w:val="21"/>
          <w:szCs w:val="21"/>
          <w:u w:val="single" w:color="auto"/>
          <w:color w:val="auto"/>
        </w:rPr>
        <w:t>Financial Statements; Undisclosed Liabilities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80" w:firstLine="1304"/>
        <w:spacing w:after="0" w:line="247" w:lineRule="auto"/>
        <w:tabs>
          <w:tab w:leader="none" w:pos="1847"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4.06(a)</w:t>
      </w:r>
      <w:r>
        <w:rPr>
          <w:rFonts w:ascii="Times New Roman" w:cs="Times New Roman" w:eastAsia="Times New Roman" w:hAnsi="Times New Roman"/>
          <w:sz w:val="22"/>
          <w:szCs w:val="22"/>
          <w:color w:val="auto"/>
        </w:rPr>
        <w:t xml:space="preserve"> of the Disclosure Letter sets forth true, correct and complete copies of the Financial Statements. The Financial Statements have been derived from the Records of the Seller Entities and prepared in accordance with GAAP applied on a consistent basis during the periods involved (except as expressly indicated in the notes thereto) and fairly present in all material respects the financial position of the Business as of the dates thereof and the results of operations and cash flows of the Business for the periods shown therein (subject, in the case of the Interim Financial Statements, to normal year-end adjustments, none of which are material to the Business either individually or in the aggregate), except that (i) the Business has not operated as a separate standalone entity or business and has received certain allocated charges and credits which do not necessarily reflect amounts that would have resulted from arm’s-length transactions or that the Business would incur on a standalone basis and (ii) the Financial Statements (A) do not include statements of shareholders’ equity and (B) have not been reviewed or audited by Seller’s independent financial accountants and may lack footnotes and other presentation items required by GAAP. The Financial Statements separately disclose the Current Assets included in Transferred Assets and the Current Liabilities included in Assumed Liabilities that in each case are not related to the Business but will convey to Purchaser at Closing.</w:t>
      </w:r>
    </w:p>
    <w:p>
      <w:pPr>
        <w:spacing w:after="0" w:line="192" w:lineRule="exact"/>
        <w:rPr>
          <w:rFonts w:ascii="Times New Roman" w:cs="Times New Roman" w:eastAsia="Times New Roman" w:hAnsi="Times New Roman"/>
          <w:sz w:val="22"/>
          <w:szCs w:val="22"/>
          <w:color w:val="auto"/>
        </w:rPr>
      </w:pPr>
    </w:p>
    <w:p>
      <w:pPr>
        <w:jc w:val="both"/>
        <w:ind w:left="-80" w:firstLine="1304"/>
        <w:spacing w:after="0" w:line="262" w:lineRule="auto"/>
        <w:tabs>
          <w:tab w:leader="none" w:pos="1739"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Seller Entities have maintained and adhered in all material respects to a system of internal accounting controls that are sufficient to provide reasonable assurance (i) regarding the reliability of financial reporting (ii) that the Business is operated in all material respects in accordance with management’s authorization and applicable Law, and (iii) that transactions are reported on the financial statements in conformity with GAAP. Since January 1, 2022, there has not been (i) any significant deficiency or significant weakness in any system of internal accounting controls used by any of the Seller Entities, (ii) any fraud or other similar forms of wrongdoing that involves any of the management or, to the Knowledge of the Seller, other employees of any of the Seller Entities who have, or have had, a role in the preparation of financial statements or the internal accounting controls used by the Seller Entities, or (iii) to the Knowledge of the Seller, any claim or allegation regarding any of the foregoing.</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12" w:lineRule="exact"/>
        <w:rPr>
          <w:rFonts w:ascii="Times New Roman" w:cs="Times New Roman" w:eastAsia="Times New Roman" w:hAnsi="Times New Roman"/>
          <w:sz w:val="21"/>
          <w:szCs w:val="21"/>
          <w:color w:val="auto"/>
        </w:rPr>
      </w:pPr>
    </w:p>
    <w:p>
      <w:pPr>
        <w:ind w:left="280" w:hanging="136"/>
        <w:spacing w:after="0"/>
        <w:tabs>
          <w:tab w:leader="none" w:pos="28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38 -</w:t>
      </w:r>
    </w:p>
    <w:p>
      <w:pPr>
        <w:sectPr>
          <w:pgSz w:w="11900" w:h="16838" w:orient="portrait"/>
          <w:cols w:equalWidth="0" w:num="1">
            <w:col w:w="11160"/>
          </w:cols>
          <w:pgMar w:left="400" w:top="1422" w:right="339" w:bottom="1440" w:gutter="0" w:footer="0" w:header="0"/>
        </w:sectPr>
      </w:pPr>
    </w:p>
    <w:bookmarkStart w:id="107" w:name="page108"/>
    <w:bookmarkEnd w:id="107"/>
    <w:p>
      <w:pPr>
        <w:jc w:val="both"/>
        <w:ind w:left="-80" w:firstLine="1304"/>
        <w:spacing w:after="0" w:line="249" w:lineRule="auto"/>
        <w:tabs>
          <w:tab w:leader="none" w:pos="1681"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Business does not have any Liabilities, other than Liabilities that (i) are specifically reflected on the face of, and adequately reserved against in, the Interim Financial Statements, (ii) are of the type reflected on the Interim Financial Statements which have arisen after the date of the Interim Financial Statements in the ordinary course of business, (iii) arise under executory contracts (none of which is a Liability resulting from breach of Contract, breach of warranty, tort, infringement, misappropriation claim or violation of Law), (iv) are Retained Liabilities or will be specifically and fully reflected, reserved, accrued, recorded or included as liabilities in the final calculation of Closing Working Capital, (v) are disclosed in </w:t>
      </w:r>
      <w:r>
        <w:rPr>
          <w:rFonts w:ascii="Times New Roman" w:cs="Times New Roman" w:eastAsia="Times New Roman" w:hAnsi="Times New Roman"/>
          <w:sz w:val="22"/>
          <w:szCs w:val="22"/>
          <w:u w:val="single" w:color="auto"/>
          <w:color w:val="auto"/>
        </w:rPr>
        <w:t>Section 4.06(c)</w:t>
      </w:r>
      <w:r>
        <w:rPr>
          <w:rFonts w:ascii="Times New Roman" w:cs="Times New Roman" w:eastAsia="Times New Roman" w:hAnsi="Times New Roman"/>
          <w:sz w:val="22"/>
          <w:szCs w:val="22"/>
          <w:color w:val="auto"/>
        </w:rPr>
        <w:t xml:space="preserve"> of the Disclosure Letter, or (vi) would not reasonably be expected to be material, individually or in the aggregate, to the Business taken as a whole.</w:t>
      </w:r>
    </w:p>
    <w:p>
      <w:pPr>
        <w:spacing w:after="0" w:line="195" w:lineRule="exact"/>
        <w:rPr>
          <w:rFonts w:ascii="Times New Roman" w:cs="Times New Roman" w:eastAsia="Times New Roman" w:hAnsi="Times New Roman"/>
          <w:sz w:val="22"/>
          <w:szCs w:val="22"/>
          <w:color w:val="auto"/>
        </w:rPr>
      </w:pPr>
    </w:p>
    <w:p>
      <w:pPr>
        <w:jc w:val="both"/>
        <w:ind w:left="-80" w:firstLine="1304"/>
        <w:spacing w:after="0" w:line="248" w:lineRule="auto"/>
        <w:tabs>
          <w:tab w:leader="none" w:pos="1768"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accounts, notes and other receivables reflected on the Interim Financial Statements, and all accounts, notes and other receivables relating to the Business after the date of the Interim Financial Statements, arose from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arm’s length transactions in the ordinary course of the Business and are fully collectible in the aggregate amount thereof, net of reserves for bad debt, discounts and rebates, and are not subject to any material setoffs or counterclaims other than normal cash discounts accrued in the ordinary course of business. The receivables of the Business outstanding as of the date hereof and as of the Closing Date do not reflect any material changes in discounts, rebates or other benefits offered to customers.</w:t>
      </w:r>
    </w:p>
    <w:p>
      <w:pPr>
        <w:spacing w:after="0" w:line="200" w:lineRule="exact"/>
        <w:rPr>
          <w:rFonts w:ascii="Times New Roman" w:cs="Times New Roman" w:eastAsia="Times New Roman" w:hAnsi="Times New Roman"/>
          <w:sz w:val="22"/>
          <w:szCs w:val="22"/>
          <w:color w:val="auto"/>
        </w:rPr>
      </w:pPr>
    </w:p>
    <w:p>
      <w:pPr>
        <w:jc w:val="both"/>
        <w:ind w:left="-80" w:firstLine="1304"/>
        <w:spacing w:after="0" w:line="257" w:lineRule="auto"/>
        <w:tabs>
          <w:tab w:leader="none" w:pos="1739"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4.06(e)</w:t>
      </w:r>
      <w:r>
        <w:rPr>
          <w:rFonts w:ascii="Times New Roman" w:cs="Times New Roman" w:eastAsia="Times New Roman" w:hAnsi="Times New Roman"/>
          <w:sz w:val="22"/>
          <w:szCs w:val="22"/>
          <w:color w:val="auto"/>
        </w:rPr>
        <w:t xml:space="preserve"> of the Disclosure Letter sets forth a complete and accurate list of all guarantees, letters of credit and bonds, other sureties and performance guarantees provided by any member of the Seller Group in respect of the Business and the Transferred Assets (the “</w:t>
      </w:r>
      <w:r>
        <w:rPr>
          <w:rFonts w:ascii="Times New Roman" w:cs="Times New Roman" w:eastAsia="Times New Roman" w:hAnsi="Times New Roman"/>
          <w:sz w:val="22"/>
          <w:szCs w:val="22"/>
          <w:u w:val="single" w:color="auto"/>
          <w:color w:val="auto"/>
        </w:rPr>
        <w:t>Credit Support Items</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4.07 </w:t>
      </w:r>
      <w:r>
        <w:rPr>
          <w:rFonts w:ascii="Times New Roman" w:cs="Times New Roman" w:eastAsia="Times New Roman" w:hAnsi="Times New Roman"/>
          <w:sz w:val="22"/>
          <w:szCs w:val="22"/>
          <w:u w:val="single" w:color="auto"/>
          <w:color w:val="auto"/>
        </w:rPr>
        <w:t>Absence of Certain Changes</w:t>
      </w:r>
      <w:r>
        <w:rPr>
          <w:rFonts w:ascii="Times New Roman" w:cs="Times New Roman" w:eastAsia="Times New Roman" w:hAnsi="Times New Roman"/>
          <w:sz w:val="22"/>
          <w:szCs w:val="22"/>
          <w:color w:val="auto"/>
        </w:rPr>
        <w:t xml:space="preserve">. Since December 31, 2023, there has not been any Material Adverse Effect. Except (i) as set forth on </w:t>
      </w:r>
      <w:r>
        <w:rPr>
          <w:rFonts w:ascii="Times New Roman" w:cs="Times New Roman" w:eastAsia="Times New Roman" w:hAnsi="Times New Roman"/>
          <w:sz w:val="22"/>
          <w:szCs w:val="22"/>
          <w:u w:val="single" w:color="auto"/>
          <w:color w:val="auto"/>
        </w:rPr>
        <w:t>Section 4.07</w:t>
      </w:r>
      <w:r>
        <w:rPr>
          <w:rFonts w:ascii="Times New Roman" w:cs="Times New Roman" w:eastAsia="Times New Roman" w:hAnsi="Times New Roman"/>
          <w:sz w:val="22"/>
          <w:szCs w:val="22"/>
          <w:color w:val="auto"/>
        </w:rPr>
        <w:t xml:space="preserve"> of the Disclosure Letter, and (ii) for the execution and performance of this Agreement and the other Transaction Documents and the discussions and negotiations related thereto, (a) since December 31, 2023, the Business has been conducted in all material respects in the ordinary course of business, (b) since July 31, 2024, there has not been, with respect to the Business, any action or event that, if such action or event had occurred after the date hereof and prior to Closing, would constitute a violation under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 and (c) since such date that was two (2) years prior to the date hereof, the written specifications pursuant to which Seller and its Affiliates have manufactured and packaged the Products (as defined in the Supply Agreement) have not changed, been modified or revised, and remain identical to the Specifications (as defined in and provided pursuant to the Supply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- 39 -</w:t>
      </w:r>
    </w:p>
    <w:p>
      <w:pPr>
        <w:sectPr>
          <w:pgSz w:w="11900" w:h="16838" w:orient="portrait"/>
          <w:cols w:equalWidth="0" w:num="1">
            <w:col w:w="11160"/>
          </w:cols>
          <w:pgMar w:left="400" w:top="1422" w:right="339" w:bottom="1440" w:gutter="0" w:footer="0" w:header="0"/>
        </w:sectPr>
      </w:pPr>
    </w:p>
    <w:bookmarkStart w:id="108" w:name="page109"/>
    <w:bookmarkEnd w:id="108"/>
    <w:p>
      <w:pPr>
        <w:jc w:val="both"/>
        <w:ind w:firstLine="1296"/>
        <w:spacing w:after="0" w:line="263" w:lineRule="auto"/>
        <w:rPr>
          <w:sz w:val="20"/>
          <w:szCs w:val="20"/>
          <w:color w:val="auto"/>
        </w:rPr>
      </w:pPr>
      <w:r>
        <w:rPr>
          <w:rFonts w:ascii="Times New Roman" w:cs="Times New Roman" w:eastAsia="Times New Roman" w:hAnsi="Times New Roman"/>
          <w:sz w:val="21"/>
          <w:szCs w:val="21"/>
          <w:color w:val="auto"/>
        </w:rPr>
        <w:t xml:space="preserve">Section 4.08 </w:t>
      </w:r>
      <w:r>
        <w:rPr>
          <w:rFonts w:ascii="Times New Roman" w:cs="Times New Roman" w:eastAsia="Times New Roman" w:hAnsi="Times New Roman"/>
          <w:sz w:val="21"/>
          <w:szCs w:val="21"/>
          <w:u w:val="single" w:color="auto"/>
          <w:color w:val="auto"/>
        </w:rPr>
        <w:t>Legal Proceedings</w:t>
      </w:r>
      <w:r>
        <w:rPr>
          <w:rFonts w:ascii="Times New Roman" w:cs="Times New Roman" w:eastAsia="Times New Roman" w:hAnsi="Times New Roman"/>
          <w:sz w:val="21"/>
          <w:szCs w:val="21"/>
          <w:color w:val="auto"/>
        </w:rPr>
        <w:t>. Except as would not reasonably be expected to be material, individually or in the aggregate, to the Business taken as a whole, there is no, and for the past three (3) years there has not been any, (a) pending, threatened in writing or, to the Knowledge of the Seller, threatened orally, legal or administrative proceeding, suit, investigation, enforcement, litigation, charge, inquiry, arbitration, complaint, demand, claim, audit, hearing, action or other proceeding (whether civil, commercial, administrative, criminal, investigative, formal or informal) by or before any Governmental Authority (individually and collectively, an “</w:t>
      </w:r>
      <w:r>
        <w:rPr>
          <w:rFonts w:ascii="Times New Roman" w:cs="Times New Roman" w:eastAsia="Times New Roman" w:hAnsi="Times New Roman"/>
          <w:sz w:val="21"/>
          <w:szCs w:val="21"/>
          <w:u w:val="single" w:color="auto"/>
          <w:color w:val="auto"/>
        </w:rPr>
        <w:t>Action</w:t>
      </w:r>
      <w:r>
        <w:rPr>
          <w:rFonts w:ascii="Times New Roman" w:cs="Times New Roman" w:eastAsia="Times New Roman" w:hAnsi="Times New Roman"/>
          <w:sz w:val="21"/>
          <w:szCs w:val="21"/>
          <w:color w:val="auto"/>
        </w:rPr>
        <w:t>”) against or by any Seller Entity or any other Subsidiary of Seller arising out of, relating to or otherwise affecting the Business or any Transferred Assets or Assumed Liabilities or (b) award, decision, proclamation, order, judgment, injunction, ruling, subpoena, verdict, writ or decree of any Governmental Authority (a “</w:t>
      </w:r>
      <w:r>
        <w:rPr>
          <w:rFonts w:ascii="Times New Roman" w:cs="Times New Roman" w:eastAsia="Times New Roman" w:hAnsi="Times New Roman"/>
          <w:sz w:val="21"/>
          <w:szCs w:val="21"/>
          <w:u w:val="single" w:color="auto"/>
          <w:color w:val="auto"/>
        </w:rPr>
        <w:t>Judgment</w:t>
      </w:r>
      <w:r>
        <w:rPr>
          <w:rFonts w:ascii="Times New Roman" w:cs="Times New Roman" w:eastAsia="Times New Roman" w:hAnsi="Times New Roman"/>
          <w:sz w:val="21"/>
          <w:szCs w:val="21"/>
          <w:color w:val="auto"/>
        </w:rPr>
        <w:t>”) arising out of or relating to or otherwise affecting the Business or any Transferred Assets or Assumed Liabilities.</w:t>
      </w:r>
    </w:p>
    <w:p>
      <w:pPr>
        <w:spacing w:after="0" w:line="170"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4.09</w:t>
      </w:r>
      <w:r>
        <w:rPr>
          <w:sz w:val="20"/>
          <w:szCs w:val="20"/>
          <w:color w:val="auto"/>
        </w:rPr>
        <w:tab/>
      </w:r>
      <w:r>
        <w:rPr>
          <w:rFonts w:ascii="Times New Roman" w:cs="Times New Roman" w:eastAsia="Times New Roman" w:hAnsi="Times New Roman"/>
          <w:sz w:val="21"/>
          <w:szCs w:val="21"/>
          <w:u w:val="single" w:color="auto"/>
          <w:color w:val="auto"/>
        </w:rPr>
        <w:t>Compliance with Laws; Permits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80" w:firstLine="1304"/>
        <w:spacing w:after="0" w:line="253" w:lineRule="auto"/>
        <w:tabs>
          <w:tab w:leader="none" w:pos="1691"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Seller Entity (in each case, with respect to the Business) is, and for the past three (3) years has been, in compliance in all material respects with all federal, state, local or foreign statute, law, ordinance, treaty, rule, code, regulation, writ, restriction, act, approval, Judgment, award, decree, principle of common law or other binding directive or legal restraint, in each case, issued, enacted, promulgated or enforced by or before a Governmental Authority having competent jurisdiction over a given matter (collectively, “</w:t>
      </w:r>
      <w:r>
        <w:rPr>
          <w:rFonts w:ascii="Times New Roman" w:cs="Times New Roman" w:eastAsia="Times New Roman" w:hAnsi="Times New Roman"/>
          <w:sz w:val="22"/>
          <w:szCs w:val="22"/>
          <w:u w:val="single" w:color="auto"/>
          <w:color w:val="auto"/>
        </w:rPr>
        <w:t>Laws</w:t>
      </w:r>
      <w:r>
        <w:rPr>
          <w:rFonts w:ascii="Times New Roman" w:cs="Times New Roman" w:eastAsia="Times New Roman" w:hAnsi="Times New Roman"/>
          <w:sz w:val="22"/>
          <w:szCs w:val="22"/>
          <w:color w:val="auto"/>
        </w:rPr>
        <w:t>”) applicable to the Business.</w:t>
      </w:r>
    </w:p>
    <w:p>
      <w:pPr>
        <w:spacing w:after="0" w:line="178" w:lineRule="exact"/>
        <w:rPr>
          <w:rFonts w:ascii="Times New Roman" w:cs="Times New Roman" w:eastAsia="Times New Roman" w:hAnsi="Times New Roman"/>
          <w:sz w:val="22"/>
          <w:szCs w:val="22"/>
          <w:color w:val="auto"/>
        </w:rPr>
      </w:pPr>
    </w:p>
    <w:p>
      <w:pPr>
        <w:jc w:val="both"/>
        <w:ind w:left="-80" w:firstLine="1304"/>
        <w:spacing w:after="0" w:line="261" w:lineRule="auto"/>
        <w:tabs>
          <w:tab w:leader="none" w:pos="1805"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4.09(b)</w:t>
      </w:r>
      <w:r>
        <w:rPr>
          <w:rFonts w:ascii="Times New Roman" w:cs="Times New Roman" w:eastAsia="Times New Roman" w:hAnsi="Times New Roman"/>
          <w:sz w:val="21"/>
          <w:szCs w:val="21"/>
          <w:color w:val="auto"/>
        </w:rPr>
        <w:t xml:space="preserve"> of the Disclosure Letter sets forth a list of all licenses, franchises, permits, certificates, approvals, registrations and authorizations from Governmental Authorities (collectively, “</w:t>
      </w:r>
      <w:r>
        <w:rPr>
          <w:rFonts w:ascii="Times New Roman" w:cs="Times New Roman" w:eastAsia="Times New Roman" w:hAnsi="Times New Roman"/>
          <w:sz w:val="21"/>
          <w:szCs w:val="21"/>
          <w:u w:val="single" w:color="auto"/>
          <w:color w:val="auto"/>
        </w:rPr>
        <w:t>Permits</w:t>
      </w:r>
      <w:r>
        <w:rPr>
          <w:rFonts w:ascii="Times New Roman" w:cs="Times New Roman" w:eastAsia="Times New Roman" w:hAnsi="Times New Roman"/>
          <w:sz w:val="21"/>
          <w:szCs w:val="21"/>
          <w:color w:val="auto"/>
        </w:rPr>
        <w:t>”) constituting a Transferred Permit that are material to the Business and currently held or being applied for by any Seller Entity or any other Subsidiary of Seller in connection with the ownership of the Transferred Assets or the operation of the Business. Each Seller Entity is in compliance in all material respects with the Transferred Permits. All Transferred Permits are valid and in full force and effect, and no Seller Entity or any other Subsidiary of Seller has, in the past three (3) years, received written notice, or to the Knowledge of Seller oral notice, that any Transferred Permit is not in full force and effect, and except as would not, individually or in the aggregate, reasonably be expected to be material to the Business taken as a whole, no Action is pending or threatened in writing, or to the Knowledge of the Seller, threatened orally, to suspend, terminate, cancel, revoke or limit any such Transferred Permit.</w:t>
      </w:r>
    </w:p>
    <w:p>
      <w:pPr>
        <w:spacing w:after="0" w:line="188" w:lineRule="exact"/>
        <w:rPr>
          <w:rFonts w:ascii="Times New Roman" w:cs="Times New Roman" w:eastAsia="Times New Roman" w:hAnsi="Times New Roman"/>
          <w:sz w:val="21"/>
          <w:szCs w:val="21"/>
          <w:color w:val="auto"/>
        </w:rPr>
      </w:pPr>
    </w:p>
    <w:p>
      <w:pPr>
        <w:jc w:val="both"/>
        <w:ind w:left="-80" w:firstLine="1304"/>
        <w:spacing w:after="0" w:line="247" w:lineRule="auto"/>
        <w:tabs>
          <w:tab w:leader="none" w:pos="1769"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would not reasonably be expected to be material, individually or in aggregate, to the Business taken as a whole, each Seller Entity, and each of its respective directors and officers acting in such capacity, and to the Knowledge of Seller, each employee, agent and advisor of the Business acting on its behalf, is currently, and in the past six (6) years has been, in compliance with (i) the U.S. Foreign Corrupt Practices Act of 1977 and any rules and regulations promulgated thereunder (the “</w:t>
      </w:r>
      <w:r>
        <w:rPr>
          <w:rFonts w:ascii="Times New Roman" w:cs="Times New Roman" w:eastAsia="Times New Roman" w:hAnsi="Times New Roman"/>
          <w:sz w:val="22"/>
          <w:szCs w:val="22"/>
          <w:u w:val="single" w:color="auto"/>
          <w:color w:val="auto"/>
        </w:rPr>
        <w:t>FCPA</w:t>
      </w:r>
      <w:r>
        <w:rPr>
          <w:rFonts w:ascii="Times New Roman" w:cs="Times New Roman" w:eastAsia="Times New Roman" w:hAnsi="Times New Roman"/>
          <w:sz w:val="22"/>
          <w:szCs w:val="22"/>
          <w:color w:val="auto"/>
        </w:rPr>
        <w:t>”) and (ii) the provisions of applicable anti-bribery, anti-corruption, anti-money laundering and sanctions Laws of each jurisdiction in which the Business operates. The Seller Entities have instituted and maintain policies and procedures reasonably designed to ensure compliance by the Business with the FCPA and other anti-bribery, anti-corruption, anti-money laundering and sanctions Laws in each jurisdiction in which the Business operates. No Seller Entity, nor any of their respective directors or officers, nor to the Knowledge of Seller any of their respective employees, agents or advisors acting on a Seller Entity’s behalf,</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0" w:lineRule="exact"/>
        <w:rPr>
          <w:rFonts w:ascii="Times New Roman" w:cs="Times New Roman" w:eastAsia="Times New Roman" w:hAnsi="Times New Roman"/>
          <w:sz w:val="22"/>
          <w:szCs w:val="22"/>
          <w:color w:val="auto"/>
        </w:rPr>
      </w:pPr>
    </w:p>
    <w:p>
      <w:pPr>
        <w:ind w:left="280" w:hanging="136"/>
        <w:spacing w:after="0"/>
        <w:tabs>
          <w:tab w:leader="none" w:pos="28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40 -</w:t>
      </w:r>
    </w:p>
    <w:p>
      <w:pPr>
        <w:sectPr>
          <w:pgSz w:w="11900" w:h="16838" w:orient="portrait"/>
          <w:cols w:equalWidth="0" w:num="1">
            <w:col w:w="11160"/>
          </w:cols>
          <w:pgMar w:left="400" w:top="1422" w:right="339" w:bottom="1440" w:gutter="0" w:footer="0" w:header="0"/>
        </w:sectPr>
      </w:pPr>
    </w:p>
    <w:bookmarkStart w:id="109" w:name="page110"/>
    <w:bookmarkEnd w:id="109"/>
    <w:p>
      <w:pPr>
        <w:spacing w:after="0" w:line="271" w:lineRule="auto"/>
        <w:rPr>
          <w:sz w:val="20"/>
          <w:szCs w:val="20"/>
          <w:color w:val="auto"/>
        </w:rPr>
      </w:pPr>
      <w:r>
        <w:rPr>
          <w:rFonts w:ascii="Times New Roman" w:cs="Times New Roman" w:eastAsia="Times New Roman" w:hAnsi="Times New Roman"/>
          <w:sz w:val="22"/>
          <w:szCs w:val="22"/>
          <w:color w:val="auto"/>
        </w:rPr>
        <w:t>is designated on the list of Specifically Designated Nationals and Blocked Persons maintained by the United States Department of Treasury Office of Foreign Assets Control (OFAC).</w:t>
      </w:r>
    </w:p>
    <w:p>
      <w:pPr>
        <w:spacing w:after="0" w:line="158" w:lineRule="exact"/>
        <w:rPr>
          <w:sz w:val="20"/>
          <w:szCs w:val="20"/>
          <w:color w:val="auto"/>
        </w:rPr>
      </w:pPr>
    </w:p>
    <w:p>
      <w:pPr>
        <w:jc w:val="both"/>
        <w:ind w:firstLine="1304"/>
        <w:spacing w:after="0" w:line="248" w:lineRule="auto"/>
        <w:tabs>
          <w:tab w:leader="none" w:pos="187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past six (6) years, (i) no Seller Entity, nor any of their respective directors or officers, nor to the Knowledge of Seller any of their respective employees, agents or advisors acting on a Seller Entity’s behalf, have been, or have engaged in any dealings with or for the benefit of any person that has been at the time of such dealings (A) the subject or target of sanctions administered by the Office of Foreign Assets Control of the U.S. Department of the Treasury (“</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the U.S. Department of State, or any other equivalent U.S. or non-U.S. Governmental Authority (collectively, “</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or (B) located in, organized in, or a resident of any country or territory subject to, or the government of which is subject to, Sanctions, including Cuba, Iran, North Korea, Sudan, Syria, Venezuela, the Crimea region of Ukraine, the so-called “Donetsk People’s Republic,” and the so-called “Luhansk People’s Republic”; and (ii) each Seller Entity, their respective directors and officers, and to the Knowledge of Seller, their respective employees, agents and advisors acting on such Seller Entity’s behalf, have been in compliance in all material respects with Sanctions, export controls, and anti-boycott Laws, including, without limitation, those administered by the U.S. Department of Commerce, OFAC, and import controls, including, without limitation, valuation, classification, and duty treatment requirements of imported merchandise and other U.S. import laws administered by U.S. Customs and Border Protection (collectively, “</w:t>
      </w:r>
      <w:r>
        <w:rPr>
          <w:rFonts w:ascii="Times New Roman" w:cs="Times New Roman" w:eastAsia="Times New Roman" w:hAnsi="Times New Roman"/>
          <w:sz w:val="22"/>
          <w:szCs w:val="22"/>
          <w:u w:val="single" w:color="auto"/>
          <w:color w:val="auto"/>
        </w:rPr>
        <w:t>Trade Control Laws</w:t>
      </w:r>
      <w:r>
        <w:rPr>
          <w:rFonts w:ascii="Times New Roman" w:cs="Times New Roman" w:eastAsia="Times New Roman" w:hAnsi="Times New Roman"/>
          <w:sz w:val="22"/>
          <w:szCs w:val="22"/>
          <w:color w:val="auto"/>
        </w:rPr>
        <w:t>”).</w:t>
      </w:r>
    </w:p>
    <w:p>
      <w:pPr>
        <w:spacing w:after="0" w:line="192"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1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past six (6) years, no Seller Entity, nor any of their respective directors or officers, nor to the Knowledge of Seller any of their respective employees, agents or advisors acting on a Seller Entity’s behalf, have been the subject to any written or, to the Knowledge of Seller, other investigation, written or, to the Knowledge of Seller, other inquiry or enforcement proceedings by, or have received a written or, to the Knowledge of Seller, other request for information from, a Governmental Authority regarding the FCPA or Trade Control Laws.</w:t>
      </w:r>
    </w:p>
    <w:p>
      <w:pPr>
        <w:spacing w:after="0" w:line="179" w:lineRule="exact"/>
        <w:rPr>
          <w:sz w:val="20"/>
          <w:szCs w:val="20"/>
          <w:color w:val="auto"/>
        </w:rPr>
      </w:pPr>
    </w:p>
    <w:p>
      <w:pPr>
        <w:ind w:left="1380"/>
        <w:spacing w:after="0"/>
        <w:tabs>
          <w:tab w:leader="none" w:pos="2660" w:val="left"/>
        </w:tabs>
        <w:rPr>
          <w:sz w:val="20"/>
          <w:szCs w:val="20"/>
          <w:color w:val="auto"/>
        </w:rPr>
      </w:pPr>
      <w:r>
        <w:rPr>
          <w:rFonts w:ascii="Times New Roman" w:cs="Times New Roman" w:eastAsia="Times New Roman" w:hAnsi="Times New Roman"/>
          <w:sz w:val="22"/>
          <w:szCs w:val="22"/>
          <w:color w:val="auto"/>
        </w:rPr>
        <w:t>Section 4.10</w:t>
      </w:r>
      <w:r>
        <w:rPr>
          <w:sz w:val="20"/>
          <w:szCs w:val="20"/>
          <w:color w:val="auto"/>
        </w:rPr>
        <w:tab/>
      </w:r>
      <w:r>
        <w:rPr>
          <w:rFonts w:ascii="Times New Roman" w:cs="Times New Roman" w:eastAsia="Times New Roman" w:hAnsi="Times New Roman"/>
          <w:sz w:val="21"/>
          <w:szCs w:val="21"/>
          <w:u w:val="single" w:color="auto"/>
          <w:color w:val="auto"/>
        </w:rPr>
        <w:t>Tax Matters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760" w:hanging="456"/>
        <w:spacing w:after="0"/>
        <w:tabs>
          <w:tab w:leader="none" w:pos="1760"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Liens (other than Permitted Liens) for Taxes upon the Transferred Assets.</w:t>
      </w:r>
    </w:p>
    <w:p>
      <w:pPr>
        <w:spacing w:after="0" w:line="219" w:lineRule="exact"/>
        <w:rPr>
          <w:rFonts w:ascii="Times New Roman" w:cs="Times New Roman" w:eastAsia="Times New Roman" w:hAnsi="Times New Roman"/>
          <w:sz w:val="22"/>
          <w:szCs w:val="22"/>
          <w:color w:val="auto"/>
        </w:rPr>
      </w:pPr>
    </w:p>
    <w:p>
      <w:pPr>
        <w:jc w:val="both"/>
        <w:ind w:firstLine="1304"/>
        <w:spacing w:after="0" w:line="256" w:lineRule="auto"/>
        <w:tabs>
          <w:tab w:leader="none" w:pos="1783"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All material Tax Returns required under any applicable Law to be filed by or with respect to the Business have been timely filed; (ii) all such Tax Returns are true, correct, and complete in all material respects; and (iii) all material amounts of Taxes with respect to the Business required to have been paid with respect to such Tax Returns (whether or not shown to be due and payable on such Tax Returns) have been or will be timely paid.</w:t>
      </w:r>
    </w:p>
    <w:p>
      <w:pPr>
        <w:spacing w:after="0" w:line="176" w:lineRule="exact"/>
        <w:rPr>
          <w:rFonts w:ascii="Times New Roman" w:cs="Times New Roman" w:eastAsia="Times New Roman" w:hAnsi="Times New Roman"/>
          <w:sz w:val="22"/>
          <w:szCs w:val="22"/>
          <w:color w:val="auto"/>
        </w:rPr>
      </w:pPr>
    </w:p>
    <w:p>
      <w:pPr>
        <w:ind w:right="20" w:firstLine="1304"/>
        <w:spacing w:after="0" w:line="271" w:lineRule="auto"/>
        <w:tabs>
          <w:tab w:leader="none" w:pos="1902"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material deficiency with respect to Taxes has been asserted in writing against the Business, which deficiency has not been paid, settled or withdrawn.</w:t>
      </w:r>
    </w:p>
    <w:p>
      <w:pPr>
        <w:spacing w:after="0" w:line="157" w:lineRule="exact"/>
        <w:rPr>
          <w:rFonts w:ascii="Times New Roman" w:cs="Times New Roman" w:eastAsia="Times New Roman" w:hAnsi="Times New Roman"/>
          <w:sz w:val="22"/>
          <w:szCs w:val="22"/>
          <w:color w:val="auto"/>
        </w:rPr>
      </w:pPr>
    </w:p>
    <w:p>
      <w:pPr>
        <w:ind w:firstLine="1304"/>
        <w:spacing w:after="0" w:line="271" w:lineRule="auto"/>
        <w:tabs>
          <w:tab w:leader="none" w:pos="1904"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Tax Actions by a Governmental Authority with respect to the Seller (with respect to the Business or the Transferred Assets).</w:t>
      </w:r>
    </w:p>
    <w:p>
      <w:pPr>
        <w:spacing w:after="0" w:line="171" w:lineRule="exact"/>
        <w:rPr>
          <w:rFonts w:ascii="Times New Roman" w:cs="Times New Roman" w:eastAsia="Times New Roman" w:hAnsi="Times New Roman"/>
          <w:sz w:val="22"/>
          <w:szCs w:val="22"/>
          <w:color w:val="auto"/>
        </w:rPr>
      </w:pPr>
    </w:p>
    <w:p>
      <w:pPr>
        <w:ind w:firstLine="1304"/>
        <w:spacing w:after="0" w:line="271" w:lineRule="auto"/>
        <w:tabs>
          <w:tab w:leader="none" w:pos="1766"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(with respect to the Business and the Transferred Assets) has withheld and paid to the appropriate Governmental Authority all material amounts of Taxes required to have been</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97" w:lineRule="exact"/>
        <w:rPr>
          <w:rFonts w:ascii="Times New Roman" w:cs="Times New Roman" w:eastAsia="Times New Roman" w:hAnsi="Times New Roman"/>
          <w:sz w:val="22"/>
          <w:szCs w:val="22"/>
          <w:color w:val="auto"/>
        </w:rPr>
      </w:pPr>
    </w:p>
    <w:p>
      <w:pPr>
        <w:ind w:left="360" w:hanging="136"/>
        <w:spacing w:after="0"/>
        <w:tabs>
          <w:tab w:leader="none" w:pos="3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41 -</w:t>
      </w:r>
    </w:p>
    <w:p>
      <w:pPr>
        <w:sectPr>
          <w:pgSz w:w="11900" w:h="16838" w:orient="portrait"/>
          <w:cols w:equalWidth="0" w:num="1">
            <w:col w:w="11240"/>
          </w:cols>
          <w:pgMar w:left="320" w:top="1422" w:right="339" w:bottom="1440" w:gutter="0" w:footer="0" w:header="0"/>
        </w:sectPr>
      </w:pPr>
    </w:p>
    <w:bookmarkStart w:id="110" w:name="page111"/>
    <w:bookmarkEnd w:id="110"/>
    <w:p>
      <w:pPr>
        <w:spacing w:after="0" w:line="271" w:lineRule="auto"/>
        <w:rPr>
          <w:sz w:val="20"/>
          <w:szCs w:val="20"/>
          <w:color w:val="auto"/>
        </w:rPr>
      </w:pPr>
      <w:r>
        <w:rPr>
          <w:rFonts w:ascii="Times New Roman" w:cs="Times New Roman" w:eastAsia="Times New Roman" w:hAnsi="Times New Roman"/>
          <w:sz w:val="22"/>
          <w:szCs w:val="22"/>
          <w:color w:val="auto"/>
        </w:rPr>
        <w:t>withheld and paid by any of them in connection with amounts paid or owing to any current or former employee, independent contractor, creditor, stockholder or other third party.</w:t>
      </w:r>
    </w:p>
    <w:p>
      <w:pPr>
        <w:spacing w:after="0" w:line="158" w:lineRule="exact"/>
        <w:rPr>
          <w:sz w:val="20"/>
          <w:szCs w:val="20"/>
          <w:color w:val="auto"/>
        </w:rPr>
      </w:pPr>
    </w:p>
    <w:p>
      <w:pPr>
        <w:jc w:val="both"/>
        <w:ind w:firstLine="1304"/>
        <w:spacing w:after="0" w:line="268" w:lineRule="auto"/>
        <w:tabs>
          <w:tab w:leader="none" w:pos="1756"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Since January 1, 2022, Seller has not (i) settled or compromised any material Tax audit, claim or assessment with respect to the Business or the Transferred Assets, (ii) surrendered or abandoned any right to claim a material Tax refund, offset or other reduction in liability with respect to the Business or the Transferred Assets, or (iii) consented to any extension or waiver of the limitations period applicable to any Tax claim or assessment with respect to the Business or the Transferred Assets, in each case that is in respect of a material amount of Taxes and that would have effect on the Purchaser after the Closing.</w:t>
      </w:r>
    </w:p>
    <w:p>
      <w:pPr>
        <w:spacing w:after="0" w:line="164" w:lineRule="exact"/>
        <w:rPr>
          <w:sz w:val="20"/>
          <w:szCs w:val="20"/>
          <w:color w:val="auto"/>
        </w:rPr>
      </w:pPr>
    </w:p>
    <w:p>
      <w:pPr>
        <w:ind w:left="1380"/>
        <w:spacing w:after="0"/>
        <w:tabs>
          <w:tab w:leader="none" w:pos="2660" w:val="left"/>
        </w:tabs>
        <w:rPr>
          <w:sz w:val="20"/>
          <w:szCs w:val="20"/>
          <w:color w:val="auto"/>
        </w:rPr>
      </w:pPr>
      <w:r>
        <w:rPr>
          <w:rFonts w:ascii="Times New Roman" w:cs="Times New Roman" w:eastAsia="Times New Roman" w:hAnsi="Times New Roman"/>
          <w:sz w:val="22"/>
          <w:szCs w:val="22"/>
          <w:color w:val="auto"/>
        </w:rPr>
        <w:t>Section 4.11</w:t>
      </w:r>
      <w:r>
        <w:rPr>
          <w:sz w:val="20"/>
          <w:szCs w:val="20"/>
          <w:color w:val="auto"/>
        </w:rPr>
        <w:tab/>
      </w:r>
      <w:r>
        <w:rPr>
          <w:rFonts w:ascii="Times New Roman" w:cs="Times New Roman" w:eastAsia="Times New Roman" w:hAnsi="Times New Roman"/>
          <w:sz w:val="21"/>
          <w:szCs w:val="21"/>
          <w:u w:val="single" w:color="auto"/>
          <w:color w:val="auto"/>
        </w:rPr>
        <w:t>Employee Benefits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4"/>
        <w:spacing w:after="0" w:line="250" w:lineRule="auto"/>
        <w:tabs>
          <w:tab w:leader="none" w:pos="1765"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4.11(a)</w:t>
      </w:r>
      <w:r>
        <w:rPr>
          <w:rFonts w:ascii="Times New Roman" w:cs="Times New Roman" w:eastAsia="Times New Roman" w:hAnsi="Times New Roman"/>
          <w:sz w:val="22"/>
          <w:szCs w:val="22"/>
          <w:color w:val="auto"/>
        </w:rPr>
        <w:t xml:space="preserve"> of the Disclosure Letter sets forth a complete and accurate list of each material Seller Benefit Plan. Each Seller Benefit Plan that is an Assumed Benefit Plan is denoted with an asterisk in </w:t>
      </w:r>
      <w:r>
        <w:rPr>
          <w:rFonts w:ascii="Times New Roman" w:cs="Times New Roman" w:eastAsia="Times New Roman" w:hAnsi="Times New Roman"/>
          <w:sz w:val="22"/>
          <w:szCs w:val="22"/>
          <w:u w:val="single" w:color="auto"/>
          <w:color w:val="auto"/>
        </w:rPr>
        <w:t>Section 4.11(a)</w:t>
      </w:r>
      <w:r>
        <w:rPr>
          <w:rFonts w:ascii="Times New Roman" w:cs="Times New Roman" w:eastAsia="Times New Roman" w:hAnsi="Times New Roman"/>
          <w:sz w:val="22"/>
          <w:szCs w:val="22"/>
          <w:color w:val="auto"/>
        </w:rPr>
        <w:t xml:space="preserve"> of the Disclosure Letter. Seller has delivered or made available to Purchaser the following with respect to each Assumed Benefit Plan, if applicable: (i) a copy of the applicable Assumed Benefit Plan and any amendments thereto and (ii) the most recent summary plan description for each such Assumed Benefit Plan. Seller has delivered or made available to Purchaser a copy or summary of each material Seller Benefit Plan, and with respect to any Seller Benefit Plan intended to be qualified under Section 401(a) of the Code, a copy of the current IRS determination or opinion letter from the IRS.</w:t>
      </w:r>
    </w:p>
    <w:p>
      <w:pPr>
        <w:spacing w:after="0" w:line="180" w:lineRule="exact"/>
        <w:rPr>
          <w:rFonts w:ascii="Times New Roman" w:cs="Times New Roman" w:eastAsia="Times New Roman" w:hAnsi="Times New Roman"/>
          <w:sz w:val="22"/>
          <w:szCs w:val="22"/>
          <w:color w:val="auto"/>
        </w:rPr>
      </w:pPr>
    </w:p>
    <w:p>
      <w:pPr>
        <w:jc w:val="both"/>
        <w:ind w:firstLine="1304"/>
        <w:spacing w:after="0" w:line="253" w:lineRule="auto"/>
        <w:tabs>
          <w:tab w:leader="none" w:pos="1795"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would not reasonably be expected to be material, individually or in the aggregate, to the Business taken as a whole, each Seller Benefit Plan has been operated in accordance with its terms and with all applicable Laws. Except as set forth on </w:t>
      </w:r>
      <w:r>
        <w:rPr>
          <w:rFonts w:ascii="Times New Roman" w:cs="Times New Roman" w:eastAsia="Times New Roman" w:hAnsi="Times New Roman"/>
          <w:sz w:val="22"/>
          <w:szCs w:val="22"/>
          <w:u w:val="single" w:color="auto"/>
          <w:color w:val="auto"/>
        </w:rPr>
        <w:t>Section 4.11(b)</w:t>
      </w:r>
      <w:r>
        <w:rPr>
          <w:rFonts w:ascii="Times New Roman" w:cs="Times New Roman" w:eastAsia="Times New Roman" w:hAnsi="Times New Roman"/>
          <w:sz w:val="22"/>
          <w:szCs w:val="22"/>
          <w:color w:val="auto"/>
        </w:rPr>
        <w:t xml:space="preserve"> of the Disclosure Letter, no Seller Benefit Plan provides, and no member of the Seller Entities or any other Subsidiary of Seller has any obligation to provide, retiree or post-employment health or life benefits to any Business Employee, except as required by COBRA and for which the covered individual pays the full cost of coverage.</w:t>
      </w:r>
    </w:p>
    <w:p>
      <w:pPr>
        <w:spacing w:after="0" w:line="178"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85"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would not reasonably be expected to be material, individually or in the aggregate, to the Business taken as a whole, (i) there are no pending Actions that have been instituted, threatened in writing or, to the Knowledge of Seller, threatened orally any of the Assumed Benefit Plans, the assets of any of the trusts under such plans, the plan sponsors, the plan administrator or any fiduciary of any such plan (other than routine benefit claims) and (ii) there are no investigations or audits by any Governmental Authority of any such Assumed Benefit Plans, any trusts under such plans, the plan sponsor, the plan administrator or any fiduciary of any such plan that have been instituted, threatened in writing or, to the Knowledge of Seller, threatened orally.</w:t>
      </w:r>
    </w:p>
    <w:p>
      <w:pPr>
        <w:spacing w:after="0" w:line="180" w:lineRule="exact"/>
        <w:rPr>
          <w:rFonts w:ascii="Times New Roman" w:cs="Times New Roman" w:eastAsia="Times New Roman" w:hAnsi="Times New Roman"/>
          <w:sz w:val="22"/>
          <w:szCs w:val="22"/>
          <w:color w:val="auto"/>
        </w:rPr>
      </w:pPr>
    </w:p>
    <w:p>
      <w:pPr>
        <w:jc w:val="both"/>
        <w:ind w:firstLine="1304"/>
        <w:spacing w:after="0" w:line="251" w:lineRule="auto"/>
        <w:tabs>
          <w:tab w:leader="none" w:pos="1807"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Assumed Benefit Plan is or was subject to Title IV of Section 302 of ERISA or Section 412 or 4917 of the Code. No Seller Entity or any other Subsidiary of Seller is obligated to contribute to any Multiemployer Plan on behalf of any Business Employee. With respect to the Seller Entities or any Person or entity that, at any relevant time, would be treated as a single employer with any Seller Entity or any other Subsidiary of Seller for purposes of Section 414(b), (c), (m) or (o) of the Code (an “</w:t>
      </w:r>
      <w:r>
        <w:rPr>
          <w:rFonts w:ascii="Times New Roman" w:cs="Times New Roman" w:eastAsia="Times New Roman" w:hAnsi="Times New Roman"/>
          <w:sz w:val="22"/>
          <w:szCs w:val="22"/>
          <w:u w:val="single" w:color="auto"/>
          <w:color w:val="auto"/>
        </w:rPr>
        <w:t>ERISA Affiliate</w:t>
      </w:r>
      <w:r>
        <w:rPr>
          <w:rFonts w:ascii="Times New Roman" w:cs="Times New Roman" w:eastAsia="Times New Roman" w:hAnsi="Times New Roman"/>
          <w:sz w:val="22"/>
          <w:szCs w:val="22"/>
          <w:color w:val="auto"/>
        </w:rPr>
        <w:t>”), there does not exist, nor do any circumstances exist that could reasonably be expected to result in, any Controlled Group Liability that could result in any Liability, at or after the Closing, to Purchaser or</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0" w:lineRule="exact"/>
        <w:rPr>
          <w:rFonts w:ascii="Times New Roman" w:cs="Times New Roman" w:eastAsia="Times New Roman" w:hAnsi="Times New Roman"/>
          <w:sz w:val="22"/>
          <w:szCs w:val="22"/>
          <w:color w:val="auto"/>
        </w:rPr>
      </w:pPr>
    </w:p>
    <w:p>
      <w:pPr>
        <w:ind w:left="360" w:hanging="136"/>
        <w:spacing w:after="0"/>
        <w:tabs>
          <w:tab w:leader="none" w:pos="36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42 -</w:t>
      </w:r>
    </w:p>
    <w:p>
      <w:pPr>
        <w:sectPr>
          <w:pgSz w:w="11900" w:h="16838" w:orient="portrait"/>
          <w:cols w:equalWidth="0" w:num="1">
            <w:col w:w="11240"/>
          </w:cols>
          <w:pgMar w:left="320" w:top="1422"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22"/>
          <w:szCs w:val="22"/>
          <w:color w:val="auto"/>
        </w:rPr>
        <w:t>any entity that, together with Purchaser, is treated as a single employer under Section 414(b), (c), (m) or (o) of the Code.</w:t>
      </w:r>
    </w:p>
    <w:p>
      <w:pPr>
        <w:spacing w:after="0" w:line="220" w:lineRule="exact"/>
        <w:rPr>
          <w:sz w:val="20"/>
          <w:szCs w:val="20"/>
          <w:color w:val="auto"/>
        </w:rPr>
      </w:pPr>
    </w:p>
    <w:p>
      <w:pPr>
        <w:jc w:val="both"/>
        <w:ind w:firstLine="1304"/>
        <w:spacing w:after="0" w:line="250" w:lineRule="auto"/>
        <w:tabs>
          <w:tab w:leader="none" w:pos="182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execution and delivery of this Agreement by Seller nor the consummation of the Transactions could reasonably be expected to (alone or in combination with any other event) (i) result in an increase in the amount of compensation or benefits or severance pay to any current or former Business Employee or other individual service provider of the Business, (ii) result in the acceleration of the vesting or timing of payment or result in any payment or funding (through a grantor trust or otherwise) of any compensation or benefits payable to or in respect of any current or former Business Employee or other individual service provider of the Business, (iii) limit or restrict the right of the Seller Entities to merge, amend, or terminate any Assumed Benefit Plan, or (iv) result in the payment of any amount (whether in cash or property or the vesting of property) that could, individually or in combination with any other such payment, constitute an “excess parachute payment” (within the meaning of Section 280G of the Code).</w:t>
      </w:r>
    </w:p>
    <w:p>
      <w:pPr>
        <w:spacing w:after="0" w:line="179" w:lineRule="exact"/>
        <w:rPr>
          <w:rFonts w:ascii="Times New Roman" w:cs="Times New Roman" w:eastAsia="Times New Roman" w:hAnsi="Times New Roman"/>
          <w:sz w:val="22"/>
          <w:szCs w:val="22"/>
          <w:color w:val="auto"/>
        </w:rPr>
      </w:pPr>
    </w:p>
    <w:p>
      <w:pPr>
        <w:jc w:val="both"/>
        <w:ind w:firstLine="1304"/>
        <w:spacing w:after="0" w:line="253" w:lineRule="auto"/>
        <w:tabs>
          <w:tab w:leader="none" w:pos="1839"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Assumed Benefit Plan that constitutes in any part a “nonqualified deferred compensation plan” (as defined under Section 409A(d)(1) of the Code) subject to Section 409A of the Code has been operated, maintained and administered in compliance with the requirements of Section 409A of the Code and the regulations thereunder, and no amount under any such plan, agreement or arrangement is or has been subject to the interest and additional Tax set forth under Section 409A(a)(1)(B) of the Code.</w:t>
      </w:r>
    </w:p>
    <w:p>
      <w:pPr>
        <w:spacing w:after="0" w:line="178"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07"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Seller Entities or any other Subsidiary of Seller has an obligation to gross-up, indemnify, reimburse or otherwise make whole any current or former Business Employee or other service provider of the Business for any Tax or related interest or penalties incurred by such individual, including under Sections 409A or 4999 of the Code.</w:t>
      </w:r>
    </w:p>
    <w:p>
      <w:pPr>
        <w:spacing w:after="0" w:line="173" w:lineRule="exact"/>
        <w:rPr>
          <w:sz w:val="20"/>
          <w:szCs w:val="20"/>
          <w:color w:val="auto"/>
        </w:rPr>
      </w:pPr>
    </w:p>
    <w:p>
      <w:pPr>
        <w:ind w:left="1380"/>
        <w:spacing w:after="0"/>
        <w:tabs>
          <w:tab w:leader="none" w:pos="2660" w:val="left"/>
        </w:tabs>
        <w:rPr>
          <w:sz w:val="20"/>
          <w:szCs w:val="20"/>
          <w:color w:val="auto"/>
        </w:rPr>
      </w:pPr>
      <w:r>
        <w:rPr>
          <w:rFonts w:ascii="Times New Roman" w:cs="Times New Roman" w:eastAsia="Times New Roman" w:hAnsi="Times New Roman"/>
          <w:sz w:val="22"/>
          <w:szCs w:val="22"/>
          <w:color w:val="auto"/>
        </w:rPr>
        <w:t>Section 4.12</w:t>
      </w:r>
      <w:r>
        <w:rPr>
          <w:sz w:val="20"/>
          <w:szCs w:val="20"/>
          <w:color w:val="auto"/>
        </w:rPr>
        <w:tab/>
      </w:r>
      <w:r>
        <w:rPr>
          <w:rFonts w:ascii="Times New Roman" w:cs="Times New Roman" w:eastAsia="Times New Roman" w:hAnsi="Times New Roman"/>
          <w:sz w:val="21"/>
          <w:szCs w:val="21"/>
          <w:u w:val="single" w:color="auto"/>
          <w:color w:val="auto"/>
        </w:rPr>
        <w:t>Labor Matters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4"/>
        <w:spacing w:after="0" w:line="260" w:lineRule="auto"/>
        <w:tabs>
          <w:tab w:leader="none" w:pos="1770"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set forth on </w:t>
      </w:r>
      <w:r>
        <w:rPr>
          <w:rFonts w:ascii="Times New Roman" w:cs="Times New Roman" w:eastAsia="Times New Roman" w:hAnsi="Times New Roman"/>
          <w:sz w:val="21"/>
          <w:szCs w:val="21"/>
          <w:u w:val="single" w:color="auto"/>
          <w:color w:val="auto"/>
        </w:rPr>
        <w:t>Section 4.12(a)</w:t>
      </w:r>
      <w:r>
        <w:rPr>
          <w:rFonts w:ascii="Times New Roman" w:cs="Times New Roman" w:eastAsia="Times New Roman" w:hAnsi="Times New Roman"/>
          <w:sz w:val="21"/>
          <w:szCs w:val="21"/>
          <w:color w:val="auto"/>
        </w:rPr>
        <w:t xml:space="preserve"> of the Disclosure Letter, no Seller Entity is a party to or bound by any CBA, and no Business Employee is represented by any labor union, works council, or other labor organization or employee representative body. For the past three (3) years, (i) no demand for recognition as the exclusive bargaining representative of any Business Employee has been made by or on behalf of any labor union or similar organization, (ii) there have been no pending or, to the Knowledge of the Seller, threatened, strikes, lockouts, slowdowns, work stoppages, picketing, handbilling, material labor grievances, labor arbitrations, unfair labor practice charges, or other material labor disputes by or with respect to the Business Employees or against or affecting any Seller Entity or any other Subsidiary of Seller with respect to the Business, and (iii) to the Knowledge of Seller, there have been no union organizing activities against or affecting any Seller Entity or any other Subsidiary of Seller with respect to the Business or the Business Employees. With respect to the Transactions, the Seller Entities and, if applicable, each Subsidiary of Seller, has satisfied in all material respects any notice, consultation or bargaining obligations owed to their employees or their employees’ representatives to the extent required by any CBA or applicable Laws.</w:t>
      </w:r>
    </w:p>
    <w:p>
      <w:pPr>
        <w:spacing w:after="0" w:line="186" w:lineRule="exact"/>
        <w:rPr>
          <w:rFonts w:ascii="Times New Roman" w:cs="Times New Roman" w:eastAsia="Times New Roman" w:hAnsi="Times New Roman"/>
          <w:sz w:val="21"/>
          <w:szCs w:val="21"/>
          <w:color w:val="auto"/>
        </w:rPr>
      </w:pPr>
    </w:p>
    <w:p>
      <w:pPr>
        <w:jc w:val="both"/>
        <w:ind w:firstLine="1304"/>
        <w:spacing w:after="0" w:line="252" w:lineRule="auto"/>
        <w:tabs>
          <w:tab w:leader="none" w:pos="1764"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4.12(b)(i)</w:t>
      </w:r>
      <w:r>
        <w:rPr>
          <w:rFonts w:ascii="Times New Roman" w:cs="Times New Roman" w:eastAsia="Times New Roman" w:hAnsi="Times New Roman"/>
          <w:sz w:val="22"/>
          <w:szCs w:val="22"/>
          <w:color w:val="auto"/>
        </w:rPr>
        <w:t xml:space="preserve"> of the Disclosure Letter sets forth a complete and accurate list of each Business Employee, indicating the following information for each individual: (i) name or employee ID; (ii) job title; (iii) primary work location by state; (iv) hourly wage or base salary (as applicable); (v) incentive compensation (for the current and prior calendar year); (vi) whether exempt or non-exempt from</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8" w:lineRule="exact"/>
        <w:rPr>
          <w:rFonts w:ascii="Times New Roman" w:cs="Times New Roman" w:eastAsia="Times New Roman" w:hAnsi="Times New Roman"/>
          <w:sz w:val="22"/>
          <w:szCs w:val="22"/>
          <w:color w:val="auto"/>
        </w:rPr>
      </w:pPr>
    </w:p>
    <w:p>
      <w:pPr>
        <w:ind w:left="360" w:hanging="136"/>
        <w:spacing w:after="0"/>
        <w:tabs>
          <w:tab w:leader="none" w:pos="36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43 -</w:t>
      </w:r>
    </w:p>
    <w:p>
      <w:pPr>
        <w:sectPr>
          <w:pgSz w:w="11900" w:h="16838" w:orient="portrait"/>
          <w:cols w:equalWidth="0" w:num="1">
            <w:col w:w="11240"/>
          </w:cols>
          <w:pgMar w:left="320" w:top="1422" w:right="339" w:bottom="1440" w:gutter="0" w:footer="0" w:header="0"/>
        </w:sectPr>
      </w:pPr>
    </w:p>
    <w:bookmarkStart w:id="112" w:name="page113"/>
    <w:bookmarkEnd w:id="112"/>
    <w:p>
      <w:pPr>
        <w:jc w:val="both"/>
        <w:spacing w:after="0" w:line="260" w:lineRule="auto"/>
        <w:rPr>
          <w:sz w:val="20"/>
          <w:szCs w:val="20"/>
          <w:color w:val="auto"/>
        </w:rPr>
      </w:pPr>
      <w:r>
        <w:rPr>
          <w:rFonts w:ascii="Times New Roman" w:cs="Times New Roman" w:eastAsia="Times New Roman" w:hAnsi="Times New Roman"/>
          <w:sz w:val="21"/>
          <w:szCs w:val="21"/>
          <w:color w:val="auto"/>
        </w:rPr>
        <w:t>the overtime pay requirements of the Fair Labor Standards Act and analogous state wage and hour Laws; (vii) active or inactive status (and as applicable, type of leave and anticipated return date); (viii) full-time or part-time status; (ix) visa status (as applicable); (x) employing entity; (xi) accrued, unused vacation or other paid time off, (xii) hire date, (xiii) pension type (if applicable), (xiv) applicable bonus plan, (xv) other employment-related benefits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xml:space="preserve">, company cars), (xvi) compensation breakdown over the last three years (to the extent employed by Seller of a Subsidiary thereof) and (xvii) whether a union member or not part of a union. The Business Employees are sufficient in number and skill to operate the Business in substantially the same manner as it was conducted by the Seller Entities prior to the Closing. None of the Seller Entities or any other Subsidiary of Seller employs any individuals who are primarily dedicated to the Business who are not listed on </w:t>
      </w:r>
      <w:r>
        <w:rPr>
          <w:rFonts w:ascii="Times New Roman" w:cs="Times New Roman" w:eastAsia="Times New Roman" w:hAnsi="Times New Roman"/>
          <w:sz w:val="21"/>
          <w:szCs w:val="21"/>
          <w:u w:val="single" w:color="auto"/>
          <w:color w:val="auto"/>
        </w:rPr>
        <w:t>Section 4.12(b)(i)</w:t>
      </w:r>
      <w:r>
        <w:rPr>
          <w:rFonts w:ascii="Times New Roman" w:cs="Times New Roman" w:eastAsia="Times New Roman" w:hAnsi="Times New Roman"/>
          <w:sz w:val="21"/>
          <w:szCs w:val="21"/>
          <w:color w:val="auto"/>
        </w:rPr>
        <w:t xml:space="preserve"> of the Disclosure Letter. Except as set forth on </w:t>
      </w:r>
      <w:r>
        <w:rPr>
          <w:rFonts w:ascii="Times New Roman" w:cs="Times New Roman" w:eastAsia="Times New Roman" w:hAnsi="Times New Roman"/>
          <w:sz w:val="21"/>
          <w:szCs w:val="21"/>
          <w:u w:val="single" w:color="auto"/>
          <w:color w:val="auto"/>
        </w:rPr>
        <w:t>Section 4.12(b)(ii)</w:t>
      </w:r>
      <w:r>
        <w:rPr>
          <w:rFonts w:ascii="Times New Roman" w:cs="Times New Roman" w:eastAsia="Times New Roman" w:hAnsi="Times New Roman"/>
          <w:sz w:val="21"/>
          <w:szCs w:val="21"/>
          <w:color w:val="auto"/>
        </w:rPr>
        <w:t xml:space="preserve"> of the Disclosure Letter, none of the Seller Entities or any other Subsidiary of Seller has, since December 31, 2022, (1) terminated the employment of any individual whose annual base compensation was expected to exceed $100,000 in 2025 (assuming such person was employed for the full year) and who would have been a Business Employee if still employed, (2) hired any individual whose annual base compensation is expected to exceed $100,000 over the twelve (12)-month period following such hiring to be a Business Employee, or (3) modified or altered the duties or responsibilities of any employee such that they are now, or are no longer, primarily or exclusively dedicated to the Business (including where such employee transferred to a different business of the Seller Group that is not the Business).</w:t>
      </w:r>
    </w:p>
    <w:p>
      <w:pPr>
        <w:spacing w:after="0" w:line="180" w:lineRule="exact"/>
        <w:rPr>
          <w:sz w:val="20"/>
          <w:szCs w:val="20"/>
          <w:color w:val="auto"/>
        </w:rPr>
      </w:pPr>
    </w:p>
    <w:p>
      <w:pPr>
        <w:ind w:left="1780" w:hanging="476"/>
        <w:spacing w:after="0"/>
        <w:tabs>
          <w:tab w:leader="none" w:pos="1780" w:val="left"/>
        </w:tabs>
        <w:numPr>
          <w:ilvl w:val="2"/>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the Business, each Seller Entity and each other Subsidiary of Seller is, and for the past three</w:t>
      </w:r>
    </w:p>
    <w:p>
      <w:pPr>
        <w:spacing w:after="0" w:line="39" w:lineRule="exact"/>
        <w:rPr>
          <w:rFonts w:ascii="Times New Roman" w:cs="Times New Roman" w:eastAsia="Times New Roman" w:hAnsi="Times New Roman"/>
          <w:sz w:val="21"/>
          <w:szCs w:val="21"/>
          <w:color w:val="auto"/>
        </w:rPr>
      </w:pPr>
    </w:p>
    <w:p>
      <w:pPr>
        <w:jc w:val="both"/>
        <w:ind w:firstLine="8"/>
        <w:spacing w:after="0" w:line="246" w:lineRule="auto"/>
        <w:tabs>
          <w:tab w:leader="none" w:pos="308"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years has been, in compliance in all material respects with all applicable Laws respecting labor, employment and employment practices, including all Laws respecting terms and conditions of employment, health and safety, wages and hours (including, as applicable, the classification and treatment of independent contractors and exempt and non-exempt employees), immigration (including the completion of Forms I-9 for all U.S. employees and the proper confirmation of employee visas), discrimination, harassment, retaliation, restrictive covenants, pay transparency, disability rights or benefits, equal opportunity, plant closures and layoffs (including WARN), workers’ compensation, labor relations, employee leave issues, employee trainings and notices, COVID-19, affirmative action and unemployment insurance.</w:t>
      </w:r>
    </w:p>
    <w:p>
      <w:pPr>
        <w:spacing w:after="0" w:line="185"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69" w:val="left"/>
        </w:tabs>
        <w:numPr>
          <w:ilvl w:val="2"/>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would not result in material Liability for the Seller Entities: (i) with respect to the Business and the Business Employees, each Seller Entity has fully and timely paid all wages, salaries, wage premiums, commissions, bonuses, severance and termination payments, fees and other compensation that have come due and payable to their current or former employees (including Business Employees) and independent contractors under applicable Law, Contract or policy; and (ii) each individual who is providing or within the past three years has provided services to the Business and who is or was classified and treated as an (y) exempt employee, or (z) independent contractor, consultant, leased employee or other non-employee service provider, in each case, is and has been properly classified and treated as such for all applicable purposes.</w:t>
      </w:r>
    </w:p>
    <w:p>
      <w:pPr>
        <w:spacing w:after="0" w:line="193"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19" w:val="left"/>
        </w:tabs>
        <w:numPr>
          <w:ilvl w:val="2"/>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4.12(e)</w:t>
      </w:r>
      <w:r>
        <w:rPr>
          <w:rFonts w:ascii="Times New Roman" w:cs="Times New Roman" w:eastAsia="Times New Roman" w:hAnsi="Times New Roman"/>
          <w:sz w:val="22"/>
          <w:szCs w:val="22"/>
          <w:color w:val="auto"/>
        </w:rPr>
        <w:t xml:space="preserve"> of the Disclosure Letter sets forth, by termination date (and if applicable, return date) and work location, the name and job title of each individual who was employed (or based out of) the same “site of employment” (as defined by WARN) as any Business Employee, who suffered an “employment loss” (including as a result of a furlough or reduction in hours) under WARN within the ninety (90) days immediately preceding the Closing Date.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8" w:lineRule="exact"/>
        <w:rPr>
          <w:rFonts w:ascii="Times New Roman" w:cs="Times New Roman" w:eastAsia="Times New Roman" w:hAnsi="Times New Roman"/>
          <w:sz w:val="22"/>
          <w:szCs w:val="22"/>
          <w:color w:val="auto"/>
        </w:rPr>
      </w:pPr>
    </w:p>
    <w:p>
      <w:pPr>
        <w:ind w:left="360" w:hanging="136"/>
        <w:spacing w:after="0"/>
        <w:tabs>
          <w:tab w:leader="none" w:pos="360"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44 -</w:t>
      </w:r>
    </w:p>
    <w:p>
      <w:pPr>
        <w:sectPr>
          <w:pgSz w:w="11900" w:h="16838" w:orient="portrait"/>
          <w:cols w:equalWidth="0" w:num="1">
            <w:col w:w="11240"/>
          </w:cols>
          <w:pgMar w:left="320" w:top="1422" w:right="339" w:bottom="1440" w:gutter="0" w:footer="0" w:header="0"/>
        </w:sectPr>
      </w:pPr>
    </w:p>
    <w:bookmarkStart w:id="113" w:name="page114"/>
    <w:bookmarkEnd w:id="113"/>
    <w:p>
      <w:pPr>
        <w:jc w:val="both"/>
        <w:ind w:left="-8" w:firstLine="1304"/>
        <w:spacing w:after="0" w:line="251" w:lineRule="auto"/>
        <w:tabs>
          <w:tab w:leader="none" w:pos="1756"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Business and the Business Employees, each Seller Entity has reasonably investigated all sexual harassment or other harassment, discrimination, or retaliation allegations of which any of them are aware. With respect to each such allegation with potential merit, such Seller Entity has taken prompt corrective action reasonably calculated to prevent further improper action. No Seller Entity reasonably expects any material Liabilities with respect to any such allegations. To the Knowledge of Seller, there are no such allegations relating to officers, directors, or managers of the Business that, if known to the public, would bring the Business into material disrepute.</w:t>
      </w:r>
    </w:p>
    <w:p>
      <w:pPr>
        <w:spacing w:after="0" w:line="181" w:lineRule="exact"/>
        <w:rPr>
          <w:rFonts w:ascii="Times New Roman" w:cs="Times New Roman" w:eastAsia="Times New Roman" w:hAnsi="Times New Roman"/>
          <w:sz w:val="22"/>
          <w:szCs w:val="22"/>
          <w:color w:val="auto"/>
        </w:rPr>
      </w:pPr>
    </w:p>
    <w:p>
      <w:pPr>
        <w:jc w:val="both"/>
        <w:ind w:left="-8" w:firstLine="1304"/>
        <w:spacing w:after="0" w:line="255" w:lineRule="auto"/>
        <w:tabs>
          <w:tab w:leader="none" w:pos="1905"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Seller: (i) no Business Employee or current or former employee or independent contractor of the Business is in any material respect in violation of any term of any employment agreement, nondisclosure agreement, common law nondisclosure obligation, fiduciary duty, noncompetition agreement or restrictive covenant obligation</w:t>
      </w:r>
    </w:p>
    <w:p>
      <w:pPr>
        <w:jc w:val="both"/>
        <w:ind w:left="-8" w:firstLine="8"/>
        <w:spacing w:after="0" w:line="245" w:lineRule="auto"/>
        <w:tabs>
          <w:tab w:leader="none" w:pos="354"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owed to any Seller Entity, or (B) owed to any third party with respect to such individual’s right to perform duties or provide services to the Business; and (ii) no Business Employee with base annual compensation in excess of $100,000 has provided notice of intent to terminate his or her employment within the one year anniversary of the Closing.</w:t>
      </w:r>
    </w:p>
    <w:p>
      <w:pPr>
        <w:spacing w:after="0" w:line="187" w:lineRule="exact"/>
        <w:rPr>
          <w:sz w:val="20"/>
          <w:szCs w:val="20"/>
          <w:color w:val="auto"/>
        </w:rPr>
      </w:pPr>
    </w:p>
    <w:p>
      <w:pPr>
        <w:ind w:left="72" w:right="400"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4.13 </w:t>
      </w:r>
      <w:r>
        <w:rPr>
          <w:rFonts w:ascii="Times New Roman" w:cs="Times New Roman" w:eastAsia="Times New Roman" w:hAnsi="Times New Roman"/>
          <w:sz w:val="22"/>
          <w:szCs w:val="22"/>
          <w:u w:val="single" w:color="auto"/>
          <w:color w:val="auto"/>
        </w:rPr>
        <w:t>Environmental Matters</w:t>
      </w:r>
      <w:r>
        <w:rPr>
          <w:rFonts w:ascii="Times New Roman" w:cs="Times New Roman" w:eastAsia="Times New Roman" w:hAnsi="Times New Roman"/>
          <w:sz w:val="22"/>
          <w:szCs w:val="22"/>
          <w:color w:val="auto"/>
        </w:rPr>
        <w:t xml:space="preserve">. Except as set forth on </w:t>
      </w:r>
      <w:r>
        <w:rPr>
          <w:rFonts w:ascii="Times New Roman" w:cs="Times New Roman" w:eastAsia="Times New Roman" w:hAnsi="Times New Roman"/>
          <w:sz w:val="22"/>
          <w:szCs w:val="22"/>
          <w:u w:val="single" w:color="auto"/>
          <w:color w:val="auto"/>
        </w:rPr>
        <w:t>Section 4.13</w:t>
      </w:r>
      <w:r>
        <w:rPr>
          <w:rFonts w:ascii="Times New Roman" w:cs="Times New Roman" w:eastAsia="Times New Roman" w:hAnsi="Times New Roman"/>
          <w:sz w:val="22"/>
          <w:szCs w:val="22"/>
          <w:color w:val="auto"/>
        </w:rPr>
        <w:t xml:space="preserve"> of the Disclosure Letter, or, except with respect to subsection (h), as would not reasonably be expected to be material, individually or in the aggregate, to the Business taken as a whole:</w:t>
      </w:r>
    </w:p>
    <w:p>
      <w:pPr>
        <w:spacing w:after="0" w:line="167" w:lineRule="exact"/>
        <w:rPr>
          <w:sz w:val="20"/>
          <w:szCs w:val="20"/>
          <w:color w:val="auto"/>
        </w:rPr>
      </w:pPr>
    </w:p>
    <w:p>
      <w:pPr>
        <w:jc w:val="both"/>
        <w:ind w:left="-8" w:firstLine="1304"/>
        <w:spacing w:after="0" w:line="252" w:lineRule="auto"/>
        <w:tabs>
          <w:tab w:leader="none" w:pos="1856"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Entities, to the extent related to the ownership or conduct of the Business or the Transferred Assets, and the Business and the Transferred Assets are, and have been since January 1, 2021, in compliance in all respects with all applicable Environmental Laws, which compliance has included obtaining, maintaining and possessing all Environmental Permits required for the operation of the Business and the occupation of the Transferred Real Property.</w:t>
      </w:r>
    </w:p>
    <w:p>
      <w:pPr>
        <w:spacing w:after="0" w:line="192" w:lineRule="exact"/>
        <w:rPr>
          <w:rFonts w:ascii="Times New Roman" w:cs="Times New Roman" w:eastAsia="Times New Roman" w:hAnsi="Times New Roman"/>
          <w:sz w:val="22"/>
          <w:szCs w:val="22"/>
          <w:color w:val="auto"/>
        </w:rPr>
      </w:pPr>
    </w:p>
    <w:p>
      <w:pPr>
        <w:jc w:val="both"/>
        <w:ind w:left="-8" w:firstLine="1304"/>
        <w:spacing w:after="0" w:line="257" w:lineRule="auto"/>
        <w:tabs>
          <w:tab w:leader="none" w:pos="1793"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Seller Entities or any other Subsidiary of Seller has received any written notice, report or other information alleging an unresolved violation of or Liability under any Environmental Law in connection with the ownership or conduct of the Business or any Transferred Assets.</w:t>
      </w:r>
    </w:p>
    <w:p>
      <w:pPr>
        <w:spacing w:after="0" w:line="172" w:lineRule="exact"/>
        <w:rPr>
          <w:rFonts w:ascii="Times New Roman" w:cs="Times New Roman" w:eastAsia="Times New Roman" w:hAnsi="Times New Roman"/>
          <w:sz w:val="22"/>
          <w:szCs w:val="22"/>
          <w:color w:val="auto"/>
        </w:rPr>
      </w:pPr>
    </w:p>
    <w:p>
      <w:pPr>
        <w:ind w:left="-8" w:right="20" w:firstLine="1304"/>
        <w:spacing w:after="0" w:line="271" w:lineRule="auto"/>
        <w:tabs>
          <w:tab w:leader="none" w:pos="1902"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Action pursuant to any Environmental Law that is pending, threated in writing or, to the Knowledge of Seller, threatened orally with respect to the Business or any Transferred Assets.</w:t>
      </w:r>
    </w:p>
    <w:p>
      <w:pPr>
        <w:spacing w:after="0" w:line="171" w:lineRule="exact"/>
        <w:rPr>
          <w:rFonts w:ascii="Times New Roman" w:cs="Times New Roman" w:eastAsia="Times New Roman" w:hAnsi="Times New Roman"/>
          <w:sz w:val="22"/>
          <w:szCs w:val="22"/>
          <w:color w:val="auto"/>
        </w:rPr>
      </w:pPr>
    </w:p>
    <w:p>
      <w:pPr>
        <w:jc w:val="both"/>
        <w:ind w:left="-8" w:firstLine="1304"/>
        <w:spacing w:after="0" w:line="257" w:lineRule="auto"/>
        <w:tabs>
          <w:tab w:leader="none" w:pos="1851"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Seller Entities or any other Subsidiary of Seller has an existing or ongoing obligation under Environmental Law to conduct investigation, remediation, response or monitoring activities with respect to the Business or at any Transferred Real Property as the result of any Release of Hazardous Materials.</w:t>
      </w:r>
    </w:p>
    <w:p>
      <w:pPr>
        <w:spacing w:after="0" w:line="172" w:lineRule="exact"/>
        <w:rPr>
          <w:rFonts w:ascii="Times New Roman" w:cs="Times New Roman" w:eastAsia="Times New Roman" w:hAnsi="Times New Roman"/>
          <w:sz w:val="22"/>
          <w:szCs w:val="22"/>
          <w:color w:val="auto"/>
        </w:rPr>
      </w:pPr>
    </w:p>
    <w:p>
      <w:pPr>
        <w:jc w:val="both"/>
        <w:ind w:left="-8" w:firstLine="1304"/>
        <w:spacing w:after="0" w:line="257" w:lineRule="auto"/>
        <w:tabs>
          <w:tab w:leader="none" w:pos="1884"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Seller Entities or any other Subsidiary of Seller is subject to any Judgment imposed by a Governmental Authority under which there is any outstanding or unresolved Liability or obligation under Environmental Law with respect to the ownership or conduct of the Business or any Transferred Real Property.</w:t>
      </w:r>
    </w:p>
    <w:p>
      <w:pPr>
        <w:spacing w:after="0" w:line="186" w:lineRule="exact"/>
        <w:rPr>
          <w:rFonts w:ascii="Times New Roman" w:cs="Times New Roman" w:eastAsia="Times New Roman" w:hAnsi="Times New Roman"/>
          <w:sz w:val="22"/>
          <w:szCs w:val="22"/>
          <w:color w:val="auto"/>
        </w:rPr>
      </w:pPr>
    </w:p>
    <w:p>
      <w:pPr>
        <w:ind w:left="-8" w:firstLine="1304"/>
        <w:spacing w:after="0" w:line="271" w:lineRule="auto"/>
        <w:tabs>
          <w:tab w:leader="none" w:pos="1872"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related to the Business or any Transferred Asset, there has been no handling, treatment, transportation, storage, use, generation, marketing, manufacturing, sale, distribution,</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97" w:lineRule="exact"/>
        <w:rPr>
          <w:rFonts w:ascii="Times New Roman" w:cs="Times New Roman" w:eastAsia="Times New Roman" w:hAnsi="Times New Roman"/>
          <w:sz w:val="22"/>
          <w:szCs w:val="22"/>
          <w:color w:val="auto"/>
        </w:rPr>
      </w:pPr>
    </w:p>
    <w:p>
      <w:pPr>
        <w:ind w:left="352" w:hanging="136"/>
        <w:spacing w:after="0"/>
        <w:tabs>
          <w:tab w:leader="none" w:pos="352"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45 -</w:t>
      </w:r>
    </w:p>
    <w:p>
      <w:pPr>
        <w:sectPr>
          <w:pgSz w:w="11900" w:h="16838" w:orient="portrait"/>
          <w:cols w:equalWidth="0" w:num="1">
            <w:col w:w="11232"/>
          </w:cols>
          <w:pgMar w:left="328" w:top="1422" w:right="339" w:bottom="1440" w:gutter="0" w:footer="0" w:header="0"/>
        </w:sectPr>
      </w:pPr>
    </w:p>
    <w:bookmarkStart w:id="114" w:name="page115"/>
    <w:bookmarkEnd w:id="114"/>
    <w:p>
      <w:pPr>
        <w:jc w:val="both"/>
        <w:spacing w:after="0" w:line="257" w:lineRule="auto"/>
        <w:rPr>
          <w:sz w:val="20"/>
          <w:szCs w:val="20"/>
          <w:color w:val="auto"/>
        </w:rPr>
      </w:pPr>
      <w:r>
        <w:rPr>
          <w:rFonts w:ascii="Times New Roman" w:cs="Times New Roman" w:eastAsia="Times New Roman" w:hAnsi="Times New Roman"/>
          <w:sz w:val="22"/>
          <w:szCs w:val="22"/>
          <w:color w:val="auto"/>
        </w:rPr>
        <w:t>disposal or arranging for disposal of, Release, exposure of any Person to, or ownership or operation of any property or facility contaminated by, any Hazardous Materials so as to give rise to any Liability of the Seller Entities or any other Subsidiary of Seller under Environmental Law.</w:t>
      </w:r>
    </w:p>
    <w:p>
      <w:pPr>
        <w:spacing w:after="0" w:line="186" w:lineRule="exact"/>
        <w:rPr>
          <w:sz w:val="20"/>
          <w:szCs w:val="20"/>
          <w:color w:val="auto"/>
        </w:rPr>
      </w:pPr>
    </w:p>
    <w:p>
      <w:pPr>
        <w:jc w:val="both"/>
        <w:ind w:firstLine="1304"/>
        <w:spacing w:after="0" w:line="257" w:lineRule="auto"/>
        <w:tabs>
          <w:tab w:leader="none" w:pos="177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related to the Business or any Transferred Asset, there has been no sale, distribution, marketing or manufacturing of any products or other items containing any Hazardous Materials so as to give rise to any Liability of the Seller Entities or any other Subsidiary of Seller under Environmental Law.</w:t>
      </w:r>
    </w:p>
    <w:p>
      <w:pPr>
        <w:spacing w:after="0" w:line="172" w:lineRule="exact"/>
        <w:rPr>
          <w:rFonts w:ascii="Times New Roman" w:cs="Times New Roman" w:eastAsia="Times New Roman" w:hAnsi="Times New Roman"/>
          <w:sz w:val="22"/>
          <w:szCs w:val="22"/>
          <w:color w:val="auto"/>
        </w:rPr>
      </w:pPr>
    </w:p>
    <w:p>
      <w:pPr>
        <w:jc w:val="both"/>
        <w:ind w:firstLine="1304"/>
        <w:spacing w:after="0" w:line="256" w:lineRule="auto"/>
        <w:tabs>
          <w:tab w:leader="none" w:pos="1789"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made available to Purchaser copies of all environmental audits, assessments and reports and other material environmental, health or safety documents relating to the current properties, facilities or operations of the Business or the Transferred Assets that are in the possession, custody, and control of the Seller Entities or any other Subsidiary of Seller and are not privileged.</w:t>
      </w:r>
    </w:p>
    <w:p>
      <w:pPr>
        <w:spacing w:after="0" w:line="176" w:lineRule="exact"/>
        <w:rPr>
          <w:sz w:val="20"/>
          <w:szCs w:val="20"/>
          <w:color w:val="auto"/>
        </w:rPr>
      </w:pPr>
    </w:p>
    <w:p>
      <w:pPr>
        <w:ind w:left="1380"/>
        <w:spacing w:after="0"/>
        <w:tabs>
          <w:tab w:leader="none" w:pos="2660" w:val="left"/>
        </w:tabs>
        <w:rPr>
          <w:sz w:val="20"/>
          <w:szCs w:val="20"/>
          <w:color w:val="auto"/>
        </w:rPr>
      </w:pPr>
      <w:r>
        <w:rPr>
          <w:rFonts w:ascii="Times New Roman" w:cs="Times New Roman" w:eastAsia="Times New Roman" w:hAnsi="Times New Roman"/>
          <w:sz w:val="22"/>
          <w:szCs w:val="22"/>
          <w:color w:val="auto"/>
        </w:rPr>
        <w:t>Section 4.14</w:t>
      </w:r>
      <w:r>
        <w:rPr>
          <w:sz w:val="20"/>
          <w:szCs w:val="20"/>
          <w:color w:val="auto"/>
        </w:rPr>
        <w:tab/>
      </w:r>
      <w:r>
        <w:rPr>
          <w:rFonts w:ascii="Times New Roman" w:cs="Times New Roman" w:eastAsia="Times New Roman" w:hAnsi="Times New Roman"/>
          <w:sz w:val="21"/>
          <w:szCs w:val="21"/>
          <w:u w:val="single" w:color="auto"/>
          <w:color w:val="auto"/>
        </w:rPr>
        <w:t>Intellectual Property</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66" w:lineRule="auto"/>
        <w:tabs>
          <w:tab w:leader="none" w:pos="1765" w:val="left"/>
        </w:tabs>
        <w:numPr>
          <w:ilvl w:val="2"/>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4.14(a)</w:t>
      </w:r>
      <w:r>
        <w:rPr>
          <w:rFonts w:ascii="Times New Roman" w:cs="Times New Roman" w:eastAsia="Times New Roman" w:hAnsi="Times New Roman"/>
          <w:sz w:val="21"/>
          <w:szCs w:val="21"/>
          <w:color w:val="auto"/>
        </w:rPr>
        <w:t xml:space="preserve"> of the Disclosure Letter sets forth a complete and accurate list, as of the date hereof, of all (i) Transferred Patents and Transferred Trademarks (including Domain Names) included in the Transferred Intellectual Property, and</w:t>
      </w:r>
    </w:p>
    <w:p>
      <w:pPr>
        <w:spacing w:after="0" w:line="1" w:lineRule="exact"/>
        <w:rPr>
          <w:rFonts w:ascii="Times New Roman" w:cs="Times New Roman" w:eastAsia="Times New Roman" w:hAnsi="Times New Roman"/>
          <w:sz w:val="21"/>
          <w:szCs w:val="21"/>
          <w:color w:val="auto"/>
        </w:rPr>
      </w:pPr>
    </w:p>
    <w:p>
      <w:pPr>
        <w:ind w:right="20" w:firstLine="8"/>
        <w:spacing w:after="0" w:line="261" w:lineRule="auto"/>
        <w:tabs>
          <w:tab w:leader="none" w:pos="319"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Transferred Intellectual Property registered with a Governmental Authority (the “</w:t>
      </w:r>
      <w:r>
        <w:rPr>
          <w:rFonts w:ascii="Times New Roman" w:cs="Times New Roman" w:eastAsia="Times New Roman" w:hAnsi="Times New Roman"/>
          <w:sz w:val="22"/>
          <w:szCs w:val="22"/>
          <w:u w:val="single" w:color="auto"/>
          <w:color w:val="auto"/>
        </w:rPr>
        <w:t>Registered Intellectual Property</w:t>
      </w:r>
      <w:r>
        <w:rPr>
          <w:rFonts w:ascii="Times New Roman" w:cs="Times New Roman" w:eastAsia="Times New Roman" w:hAnsi="Times New Roman"/>
          <w:sz w:val="22"/>
          <w:szCs w:val="22"/>
          <w:color w:val="auto"/>
        </w:rPr>
        <w:t>”). All of the Registered Intellectual Property is subsisting, valid, and to the Knowledge of the Seller, enforceable.</w:t>
      </w:r>
    </w:p>
    <w:p>
      <w:pPr>
        <w:spacing w:after="0" w:line="168" w:lineRule="exact"/>
        <w:rPr>
          <w:rFonts w:ascii="Times New Roman" w:cs="Times New Roman" w:eastAsia="Times New Roman" w:hAnsi="Times New Roman"/>
          <w:sz w:val="22"/>
          <w:szCs w:val="22"/>
          <w:color w:val="auto"/>
        </w:rPr>
      </w:pPr>
    </w:p>
    <w:p>
      <w:pPr>
        <w:jc w:val="both"/>
        <w:ind w:firstLine="1304"/>
        <w:spacing w:after="0" w:line="247" w:lineRule="auto"/>
        <w:tabs>
          <w:tab w:leader="none" w:pos="1769" w:val="left"/>
        </w:tabs>
        <w:numPr>
          <w:ilvl w:val="2"/>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Seller Entity and other Subsidiary of Seller has required, and enforces a policy requiring, each Business Employee, employee of any Seller Entity or other Subsidiary of Seller involved in the Business, independent contractor, and consultant of the Business to execute proprietary information, confidentiality and Intellectual Property assignment agreements substantially on Seller’s standard form Contract, which form is attached to </w:t>
      </w:r>
      <w:r>
        <w:rPr>
          <w:rFonts w:ascii="Times New Roman" w:cs="Times New Roman" w:eastAsia="Times New Roman" w:hAnsi="Times New Roman"/>
          <w:sz w:val="22"/>
          <w:szCs w:val="22"/>
          <w:u w:val="single" w:color="auto"/>
          <w:color w:val="auto"/>
        </w:rPr>
        <w:t>Section 4.14(b)</w:t>
      </w:r>
      <w:r>
        <w:rPr>
          <w:rFonts w:ascii="Times New Roman" w:cs="Times New Roman" w:eastAsia="Times New Roman" w:hAnsi="Times New Roman"/>
          <w:sz w:val="22"/>
          <w:szCs w:val="22"/>
          <w:color w:val="auto"/>
        </w:rPr>
        <w:t xml:space="preserve"> of the Disclosure Letter, and all current and former employees, independent contractors, and consultants of the Seller Entities and other Subsidiaries of Seller have executed such an agreement, with respect to Transferred Intellectual Property. To the Knowledge of Seller, no such employee, consultant, or independent contractor is in material violation of any such Contract or duty. Except as set forth in </w:t>
      </w:r>
      <w:r>
        <w:rPr>
          <w:rFonts w:ascii="Times New Roman" w:cs="Times New Roman" w:eastAsia="Times New Roman" w:hAnsi="Times New Roman"/>
          <w:sz w:val="22"/>
          <w:szCs w:val="22"/>
          <w:u w:val="single" w:color="auto"/>
          <w:color w:val="auto"/>
        </w:rPr>
        <w:t>Section 4.14(a)</w:t>
      </w:r>
      <w:r>
        <w:rPr>
          <w:rFonts w:ascii="Times New Roman" w:cs="Times New Roman" w:eastAsia="Times New Roman" w:hAnsi="Times New Roman"/>
          <w:sz w:val="22"/>
          <w:szCs w:val="22"/>
          <w:color w:val="auto"/>
        </w:rPr>
        <w:t xml:space="preserve"> of the Disclosure Letter, no Seller Entity or other Subsidiary of Seller has sought, applied for or received any funding, resources or assistance from any Governmental Authority or university in connection with, or for the development or creation of any Transferred Intellectual Property. Except as set forth in </w:t>
      </w:r>
      <w:r>
        <w:rPr>
          <w:rFonts w:ascii="Times New Roman" w:cs="Times New Roman" w:eastAsia="Times New Roman" w:hAnsi="Times New Roman"/>
          <w:sz w:val="22"/>
          <w:szCs w:val="22"/>
          <w:u w:val="single" w:color="auto"/>
          <w:color w:val="auto"/>
        </w:rPr>
        <w:t>Section 4.14(a)</w:t>
      </w:r>
      <w:r>
        <w:rPr>
          <w:rFonts w:ascii="Times New Roman" w:cs="Times New Roman" w:eastAsia="Times New Roman" w:hAnsi="Times New Roman"/>
          <w:sz w:val="22"/>
          <w:szCs w:val="22"/>
          <w:color w:val="auto"/>
        </w:rPr>
        <w:t xml:space="preserve"> of the Disclosure Letter, no Governmental Authority or university has sponsored any research or development conducted by a Seller Entity or other Subsidiary of Seller with respect to the Transferred Intellectual Property, or has any claim of right or ownership of or Lien on any Transferred Intellectual Property.</w:t>
      </w:r>
    </w:p>
    <w:p>
      <w:pPr>
        <w:spacing w:after="0" w:line="192" w:lineRule="exact"/>
        <w:rPr>
          <w:rFonts w:ascii="Times New Roman" w:cs="Times New Roman" w:eastAsia="Times New Roman" w:hAnsi="Times New Roman"/>
          <w:sz w:val="22"/>
          <w:szCs w:val="22"/>
          <w:color w:val="auto"/>
        </w:rPr>
      </w:pPr>
    </w:p>
    <w:p>
      <w:pPr>
        <w:jc w:val="both"/>
        <w:ind w:firstLine="1304"/>
        <w:spacing w:after="0" w:line="255" w:lineRule="auto"/>
        <w:tabs>
          <w:tab w:leader="none" w:pos="1756" w:val="left"/>
        </w:tabs>
        <w:numPr>
          <w:ilvl w:val="2"/>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Actions are pending or threatened, and for the past three (3) years, none of the Seller Entities or any other Subsidiary of Seller has received any written (or, to the Knowledge of Seller, other) notices, requests for indemnification, or claims asserting or threatening to assert any Action against any Seller Entity or other Subsidiary of Seller, in each case,</w:t>
      </w:r>
    </w:p>
    <w:p>
      <w:pPr>
        <w:jc w:val="both"/>
        <w:ind w:firstLine="8"/>
        <w:spacing w:after="0" w:line="245" w:lineRule="auto"/>
        <w:tabs>
          <w:tab w:leader="none" w:pos="301"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challenging the ownership, validity, enforceability or use by any Seller Entity or any other Subsidiary of Seller of any Transferred Intellectual Property, or (ii) alleging that any Seller Entity or any other Subsidiary of Seller is infringing, misappropriating, diluting, or otherwise violating the Intellectual Property rights of any Person in connection with the conduct of the Business.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4" w:lineRule="exact"/>
        <w:rPr>
          <w:rFonts w:ascii="Times New Roman" w:cs="Times New Roman" w:eastAsia="Times New Roman" w:hAnsi="Times New Roman"/>
          <w:sz w:val="22"/>
          <w:szCs w:val="22"/>
          <w:color w:val="auto"/>
        </w:rPr>
      </w:pPr>
    </w:p>
    <w:p>
      <w:pPr>
        <w:ind w:left="360" w:hanging="136"/>
        <w:spacing w:after="0"/>
        <w:tabs>
          <w:tab w:leader="none" w:pos="360"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46 -</w:t>
      </w:r>
    </w:p>
    <w:p>
      <w:pPr>
        <w:sectPr>
          <w:pgSz w:w="11900" w:h="16838" w:orient="portrait"/>
          <w:cols w:equalWidth="0" w:num="1">
            <w:col w:w="11240"/>
          </w:cols>
          <w:pgMar w:left="320" w:top="1422" w:right="339" w:bottom="1440" w:gutter="0" w:footer="0" w:header="0"/>
        </w:sectPr>
      </w:pPr>
    </w:p>
    <w:bookmarkStart w:id="115" w:name="page116"/>
    <w:bookmarkEnd w:id="115"/>
    <w:p>
      <w:pPr>
        <w:jc w:val="both"/>
        <w:ind w:firstLine="1304"/>
        <w:spacing w:after="0" w:line="256" w:lineRule="auto"/>
        <w:tabs>
          <w:tab w:leader="none" w:pos="1774" w:val="left"/>
        </w:tabs>
        <w:numPr>
          <w:ilvl w:val="2"/>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past three (3) years, to the Knowledge of Seller, no Person has infringed, misappropriated, diluted, or otherwise violated any Transferred Intellectual Property. The operation of the Business does not infringe, misappropriate, dilute or otherwise violate, and for the past six (6) years has not violated, misappropriated, diluted, or infringed in any material respect the Intellectual Property rights of any other Person.</w:t>
      </w:r>
    </w:p>
    <w:p>
      <w:pPr>
        <w:spacing w:after="0" w:line="176" w:lineRule="exact"/>
        <w:rPr>
          <w:rFonts w:ascii="Times New Roman" w:cs="Times New Roman" w:eastAsia="Times New Roman" w:hAnsi="Times New Roman"/>
          <w:sz w:val="22"/>
          <w:szCs w:val="22"/>
          <w:color w:val="auto"/>
        </w:rPr>
      </w:pPr>
    </w:p>
    <w:p>
      <w:pPr>
        <w:jc w:val="both"/>
        <w:ind w:firstLine="1304"/>
        <w:spacing w:after="0" w:line="260" w:lineRule="auto"/>
        <w:tabs>
          <w:tab w:leader="none" w:pos="1882" w:val="left"/>
        </w:tabs>
        <w:numPr>
          <w:ilvl w:val="2"/>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Seller Entity and, where applicable, other Subsidiary of Seller has taken commercially reasonable measures to (i) maintain, enforce, and protect all Transferred Intellectual Property, including the secrecy, confidentiality, and value of the trade secrets owned by it and used in the Business, (ii) prevent the unauthorized disclosure or use of any such trade secrets and (iii) protect the confidentiality of all trade secrets related to the Business and provided to a Seller Entity or other Subsidiary of Seller by any third party. No Seller Entity or any other Subsidiary of Seller has disclosed or made accessible or has a duty or obligation (whether present, contingent, or otherwise) to disclose or make accessible, any confidential Transferred Intellectual Property to any Person other than pursuant to a valid, written, and to the Knowledge of Seller, enforceable confidentiality Contract, entered into in the ordinary course of business, pursuant to which such third party agrees to protect such confidential information, and no Seller Entity or any other Subsidiary of Seller has knowingly received or knowingly solicited any trade secrets related to the Business of any Person in violation of any underlying obligation of confidentiality.</w:t>
      </w:r>
    </w:p>
    <w:p>
      <w:pPr>
        <w:spacing w:after="0" w:line="191" w:lineRule="exact"/>
        <w:rPr>
          <w:rFonts w:ascii="Times New Roman" w:cs="Times New Roman" w:eastAsia="Times New Roman" w:hAnsi="Times New Roman"/>
          <w:sz w:val="21"/>
          <w:szCs w:val="21"/>
          <w:color w:val="auto"/>
        </w:rPr>
      </w:pPr>
    </w:p>
    <w:p>
      <w:pPr>
        <w:ind w:left="1760" w:hanging="456"/>
        <w:spacing w:after="0"/>
        <w:tabs>
          <w:tab w:leader="none" w:pos="1760" w:val="left"/>
        </w:tabs>
        <w:numPr>
          <w:ilvl w:val="2"/>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Seller Entity and, where applicable, other Subsidiary of Seller has taken commercially reasonable steps</w:t>
      </w:r>
    </w:p>
    <w:p>
      <w:pPr>
        <w:spacing w:after="0" w:line="39" w:lineRule="exact"/>
        <w:rPr>
          <w:rFonts w:ascii="Times New Roman" w:cs="Times New Roman" w:eastAsia="Times New Roman" w:hAnsi="Times New Roman"/>
          <w:sz w:val="21"/>
          <w:szCs w:val="21"/>
          <w:color w:val="auto"/>
        </w:rPr>
      </w:pPr>
    </w:p>
    <w:p>
      <w:pPr>
        <w:jc w:val="both"/>
        <w:ind w:firstLine="8"/>
        <w:spacing w:after="0" w:line="245" w:lineRule="auto"/>
        <w:tabs>
          <w:tab w:leader="none" w:pos="279"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maintain and protect the security, integrity and operation of its information technology systems, infrastructure, computer systems (including all Software, databases, firmware, hardware and related documentation), middleware, servers, peripherals, workstations, routers, hubs, switches, electronic data processing systems or networks, data communications lines, and all other information technology equipment, including any outsourced systems that are owned, used or held for use by any Seller Entity or other Subsidiary of Seller in connection with the Business (the “</w:t>
      </w:r>
      <w:r>
        <w:rPr>
          <w:rFonts w:ascii="Times New Roman" w:cs="Times New Roman" w:eastAsia="Times New Roman" w:hAnsi="Times New Roman"/>
          <w:sz w:val="22"/>
          <w:szCs w:val="22"/>
          <w:u w:val="single" w:color="auto"/>
          <w:color w:val="auto"/>
        </w:rPr>
        <w:t>IT Systems</w:t>
      </w:r>
      <w:r>
        <w:rPr>
          <w:rFonts w:ascii="Times New Roman" w:cs="Times New Roman" w:eastAsia="Times New Roman" w:hAnsi="Times New Roman"/>
          <w:sz w:val="22"/>
          <w:szCs w:val="22"/>
          <w:color w:val="auto"/>
        </w:rPr>
        <w:t>”) and the data stored or contained therein or transmitted thereby, and (ii) to prevent any material unauthorized use, access, interruption or modification of the IT Systems. All IT Systems are in good working condition and are sufficient for the operation of the Business as currently conducted, and the Transferred IT together with the IT Systems made available to Purchaser under the Transition Services Agreement are sufficient for the current and presently anticipated needs of the Business. For the past three (3) years, there has been no actual or alleged security breach or unauthorized access to or use of any IT Systems or any Personally Identifiable Information, payment card information, confidential or proprietary data or any other such information collected, maintained or stored by or on behalf of the Seller Entities and other Subsidiaries of Seller in connection with the Business (or any unauthorized acquisition, use, loss, destruction, compromise or disclosure thereof) by any other Person.</w:t>
      </w:r>
    </w:p>
    <w:p>
      <w:pPr>
        <w:spacing w:after="0" w:line="196" w:lineRule="exact"/>
        <w:rPr>
          <w:rFonts w:ascii="Times New Roman" w:cs="Times New Roman" w:eastAsia="Times New Roman" w:hAnsi="Times New Roman"/>
          <w:sz w:val="22"/>
          <w:szCs w:val="22"/>
          <w:color w:val="auto"/>
        </w:rPr>
      </w:pPr>
    </w:p>
    <w:p>
      <w:pPr>
        <w:ind w:left="1820" w:hanging="516"/>
        <w:spacing w:after="0"/>
        <w:tabs>
          <w:tab w:leader="none" w:pos="1820" w:val="left"/>
        </w:tabs>
        <w:numPr>
          <w:ilvl w:val="2"/>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Seller Entity and, where applicable, each other Subsidiary of Seller, has at all times for the past three</w:t>
      </w:r>
    </w:p>
    <w:p>
      <w:pPr>
        <w:spacing w:after="0" w:line="27" w:lineRule="exact"/>
        <w:rPr>
          <w:rFonts w:ascii="Times New Roman" w:cs="Times New Roman" w:eastAsia="Times New Roman" w:hAnsi="Times New Roman"/>
          <w:sz w:val="22"/>
          <w:szCs w:val="22"/>
          <w:color w:val="auto"/>
        </w:rPr>
      </w:pPr>
    </w:p>
    <w:p>
      <w:pPr>
        <w:jc w:val="both"/>
        <w:spacing w:after="0" w:line="24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 years, conducted the Business in compliance, in all material respects, with all applicable Information Security and Privacy Requirements. No Action by any Governmental Authority or Person has been asserted or threatened in writing against any Seller Entity or any other Subsidiary of Seller alleging a violation of Information Security and Privacy Requirements in connection with such Seller Entity’s and Subsidiary’s conduct of the Business. The Transactions will not result in violation any Information Security and Privacy Requirements on the part of the Seller Entities or any other Subsidiary of Seller with respect to the Business.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8" w:lineRule="exact"/>
        <w:rPr>
          <w:rFonts w:ascii="Times New Roman" w:cs="Times New Roman" w:eastAsia="Times New Roman" w:hAnsi="Times New Roman"/>
          <w:sz w:val="22"/>
          <w:szCs w:val="22"/>
          <w:color w:val="auto"/>
        </w:rPr>
      </w:pPr>
    </w:p>
    <w:p>
      <w:pPr>
        <w:ind w:left="360" w:hanging="136"/>
        <w:spacing w:after="0"/>
        <w:tabs>
          <w:tab w:leader="none" w:pos="360"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47 -</w:t>
      </w:r>
    </w:p>
    <w:p>
      <w:pPr>
        <w:sectPr>
          <w:pgSz w:w="11900" w:h="16838" w:orient="portrait"/>
          <w:cols w:equalWidth="0" w:num="1">
            <w:col w:w="11240"/>
          </w:cols>
          <w:pgMar w:left="320" w:top="1422" w:right="339" w:bottom="1440" w:gutter="0" w:footer="0" w:header="0"/>
        </w:sectPr>
      </w:pPr>
    </w:p>
    <w:bookmarkStart w:id="116" w:name="page117"/>
    <w:bookmarkEnd w:id="116"/>
    <w:p>
      <w:pPr>
        <w:jc w:val="both"/>
        <w:ind w:left="-224" w:firstLine="1304"/>
        <w:spacing w:after="0" w:line="262" w:lineRule="auto"/>
        <w:tabs>
          <w:tab w:leader="none" w:pos="1657"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Transferred Intellectual Property, the Transferred IP Licenses, the licenses and rights granted under </w:t>
      </w:r>
      <w:r>
        <w:rPr>
          <w:rFonts w:ascii="Times New Roman" w:cs="Times New Roman" w:eastAsia="Times New Roman" w:hAnsi="Times New Roman"/>
          <w:sz w:val="21"/>
          <w:szCs w:val="21"/>
          <w:u w:val="single" w:color="auto"/>
          <w:color w:val="auto"/>
        </w:rPr>
        <w:t>Section 7.10(d)</w:t>
      </w:r>
      <w:r>
        <w:rPr>
          <w:rFonts w:ascii="Times New Roman" w:cs="Times New Roman" w:eastAsia="Times New Roman" w:hAnsi="Times New Roman"/>
          <w:sz w:val="21"/>
          <w:szCs w:val="21"/>
          <w:color w:val="auto"/>
        </w:rPr>
        <w:t xml:space="preserve">, and the licenses and services to be provided through the Transition Services Agreement (subject to obtaining any necessary Consents thereunder) and other Transaction Documents constitute all of the Intellectual Property used in, developed and currently held for use in, or necessary for the conduct of the Business. Subject to </w:t>
      </w:r>
      <w:r>
        <w:rPr>
          <w:rFonts w:ascii="Times New Roman" w:cs="Times New Roman" w:eastAsia="Times New Roman" w:hAnsi="Times New Roman"/>
          <w:sz w:val="21"/>
          <w:szCs w:val="21"/>
          <w:u w:val="single" w:color="auto"/>
          <w:color w:val="auto"/>
        </w:rPr>
        <w:t>Section 2.04</w:t>
      </w:r>
      <w:r>
        <w:rPr>
          <w:rFonts w:ascii="Times New Roman" w:cs="Times New Roman" w:eastAsia="Times New Roman" w:hAnsi="Times New Roman"/>
          <w:sz w:val="21"/>
          <w:szCs w:val="21"/>
          <w:color w:val="auto"/>
        </w:rPr>
        <w:t>, all such Intellectual Property shall be owned, licensed to, or available for use by the Purchaser immediately after the Closing on terms and conditions identical to those under which the Seller Entities and other Subsidiaries of Seller owned, licensed or made available to it such Intellectual Property immediately prior to the Closing without payment of additional amounts or consideration other than ongoing fees, royalties or payments that the Seller Entities and other Subsidiaries of Seller would otherwise have been required to pay.</w:t>
      </w:r>
    </w:p>
    <w:p>
      <w:pPr>
        <w:spacing w:after="0" w:line="186" w:lineRule="exact"/>
        <w:rPr>
          <w:rFonts w:ascii="Times New Roman" w:cs="Times New Roman" w:eastAsia="Times New Roman" w:hAnsi="Times New Roman"/>
          <w:sz w:val="21"/>
          <w:szCs w:val="21"/>
          <w:color w:val="auto"/>
        </w:rPr>
      </w:pPr>
    </w:p>
    <w:p>
      <w:pPr>
        <w:jc w:val="both"/>
        <w:ind w:left="-224" w:firstLine="1304"/>
        <w:spacing w:after="0" w:line="250" w:lineRule="auto"/>
        <w:tabs>
          <w:tab w:leader="none" w:pos="168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Seller Entities exclusively own and possess all right, title, and interest in and to all Transferred Intellectual Property, free and clear of all Liens (other than Permitted Liens). After the Closing, other than the licenses and services to be provided by Purchaser to any Seller Entity through any Transaction Document, no Transferred Intellectual Property shall be used in the conduct of the Retained Businesses and no member of the Seller Group shall own or be the licensee of any Transferred Intellectual Property used in the conduct of the Business. Subject to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 the Purchaser or its Affiliate(s) will exclusively own, free and clear of all Liens (other than Permitted Liens), all right, title, and interest in and to all Transferred Intellectual Property immediately after the Closing Date.</w:t>
      </w:r>
    </w:p>
    <w:p>
      <w:pPr>
        <w:spacing w:after="0" w:line="180" w:lineRule="exact"/>
        <w:rPr>
          <w:sz w:val="20"/>
          <w:szCs w:val="20"/>
          <w:color w:val="auto"/>
        </w:rPr>
      </w:pPr>
    </w:p>
    <w:p>
      <w:pPr>
        <w:ind w:left="1156"/>
        <w:spacing w:after="0"/>
        <w:tabs>
          <w:tab w:leader="none" w:pos="2436" w:val="left"/>
        </w:tabs>
        <w:rPr>
          <w:sz w:val="20"/>
          <w:szCs w:val="20"/>
          <w:color w:val="auto"/>
        </w:rPr>
      </w:pPr>
      <w:r>
        <w:rPr>
          <w:rFonts w:ascii="Times New Roman" w:cs="Times New Roman" w:eastAsia="Times New Roman" w:hAnsi="Times New Roman"/>
          <w:sz w:val="22"/>
          <w:szCs w:val="22"/>
          <w:color w:val="auto"/>
        </w:rPr>
        <w:t>Section 4.15</w:t>
      </w:r>
      <w:r>
        <w:rPr>
          <w:sz w:val="20"/>
          <w:szCs w:val="20"/>
          <w:color w:val="auto"/>
        </w:rPr>
        <w:tab/>
      </w:r>
      <w:r>
        <w:rPr>
          <w:rFonts w:ascii="Times New Roman" w:cs="Times New Roman" w:eastAsia="Times New Roman" w:hAnsi="Times New Roman"/>
          <w:sz w:val="21"/>
          <w:szCs w:val="21"/>
          <w:u w:val="single" w:color="auto"/>
          <w:color w:val="auto"/>
        </w:rPr>
        <w:t>Transferred Real Property</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224" w:firstLine="1304"/>
        <w:spacing w:after="0" w:line="250" w:lineRule="auto"/>
        <w:tabs>
          <w:tab w:leader="none" w:pos="1544"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each Transferred Owned Real Property, (i) the Seller Entities have good and valid fee simple title to such parcel of Transferred Owned Real Property, free and clear of all Liens (other than Permitted Liens), (ii) there are no outstanding options, rights of first offer or rights of first refusal to purchase the Transferred Owned Real Property or any portion thereof, (iii) there is no pending, threatened in writing or, to the Knowledge of the Seller, threatened orally condemnation, eminent domain or similar proceeding affecting all or any part of the Transferred Owned Real Property and (iv) no Seller Entity or any other Subsidiary of Seller has granted to any third party the right to use or occupy any portion of the Transferred Owned Real Property.</w:t>
      </w:r>
    </w:p>
    <w:p>
      <w:pPr>
        <w:spacing w:after="0" w:line="180" w:lineRule="exact"/>
        <w:rPr>
          <w:rFonts w:ascii="Times New Roman" w:cs="Times New Roman" w:eastAsia="Times New Roman" w:hAnsi="Times New Roman"/>
          <w:sz w:val="22"/>
          <w:szCs w:val="22"/>
          <w:color w:val="auto"/>
        </w:rPr>
      </w:pPr>
    </w:p>
    <w:p>
      <w:pPr>
        <w:jc w:val="both"/>
        <w:ind w:left="-224" w:firstLine="1304"/>
        <w:spacing w:after="0" w:line="249" w:lineRule="auto"/>
        <w:tabs>
          <w:tab w:leader="none" w:pos="1729"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each Transferred Real Property Lease, (i) the Seller Entities have a valid leasehold, subleasehold or licensee interest in the real property subject to each Transferred Real Property Lease, free and clear of all Liens (other than Permitted Liens), (ii) each Transferred Real Property Lease is in full force and effect, (iii) none of the Seller Entities, any other Subsidiary of Seller, nor, to the Knowledge of the Seller, the landlord, sublandlord or licensor under such Transferred Real Property Lease is in breach or default thereunder, (iv) to the Knowledge of the Seller, no event has occurred that, with or without notice or lapse of time or both, would result in a breach or default by any Seller Entity, any other Subsidiary of Seller or permit the termination, modification or acceleration of rent under such Transferred Real Property Lease, (v) none of the Seller Entities or any other Subsidiary of Seller has granted to any third party the right to use or occupy any portion of the Transferred Leased Real Property, and (vi) none of the Seller Entities or any other Subsidiary of Seller has collaterally assigned or granted any other security interest in such Transferred Real Property Lease or any interest therein.</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2" w:lineRule="exact"/>
        <w:rPr>
          <w:rFonts w:ascii="Times New Roman" w:cs="Times New Roman" w:eastAsia="Times New Roman" w:hAnsi="Times New Roman"/>
          <w:sz w:val="22"/>
          <w:szCs w:val="22"/>
          <w:color w:val="auto"/>
        </w:rPr>
      </w:pPr>
    </w:p>
    <w:p>
      <w:pPr>
        <w:ind w:left="136" w:hanging="136"/>
        <w:spacing w:after="0"/>
        <w:tabs>
          <w:tab w:leader="none" w:pos="136"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48 -</w:t>
      </w:r>
    </w:p>
    <w:p>
      <w:pPr>
        <w:sectPr>
          <w:pgSz w:w="11900" w:h="16838" w:orient="portrait"/>
          <w:cols w:equalWidth="0" w:num="1">
            <w:col w:w="11016"/>
          </w:cols>
          <w:pgMar w:left="544" w:top="1422" w:right="339" w:bottom="1440" w:gutter="0" w:footer="0" w:header="0"/>
        </w:sectPr>
      </w:pPr>
    </w:p>
    <w:bookmarkStart w:id="117" w:name="page118"/>
    <w:bookmarkEnd w:id="117"/>
    <w:p>
      <w:pPr>
        <w:ind w:left="1372"/>
        <w:spacing w:after="0"/>
        <w:tabs>
          <w:tab w:leader="none" w:pos="2652" w:val="left"/>
        </w:tabs>
        <w:rPr>
          <w:sz w:val="20"/>
          <w:szCs w:val="20"/>
          <w:color w:val="auto"/>
        </w:rPr>
      </w:pPr>
      <w:r>
        <w:rPr>
          <w:rFonts w:ascii="Times New Roman" w:cs="Times New Roman" w:eastAsia="Times New Roman" w:hAnsi="Times New Roman"/>
          <w:sz w:val="22"/>
          <w:szCs w:val="22"/>
          <w:color w:val="auto"/>
        </w:rPr>
        <w:t>Section 4.16</w:t>
      </w:r>
      <w:r>
        <w:rPr>
          <w:sz w:val="20"/>
          <w:szCs w:val="20"/>
          <w:color w:val="auto"/>
        </w:rPr>
        <w:tab/>
      </w:r>
      <w:r>
        <w:rPr>
          <w:rFonts w:ascii="Times New Roman" w:cs="Times New Roman" w:eastAsia="Times New Roman" w:hAnsi="Times New Roman"/>
          <w:sz w:val="21"/>
          <w:szCs w:val="21"/>
          <w:u w:val="single" w:color="auto"/>
          <w:color w:val="auto"/>
        </w:rPr>
        <w:t>Contracts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8" w:firstLine="1304"/>
        <w:spacing w:after="0" w:line="255" w:lineRule="auto"/>
        <w:tabs>
          <w:tab w:leader="none" w:pos="1798" w:val="left"/>
        </w:tabs>
        <w:numPr>
          <w:ilvl w:val="2"/>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4.16(a)</w:t>
      </w:r>
      <w:r>
        <w:rPr>
          <w:rFonts w:ascii="Times New Roman" w:cs="Times New Roman" w:eastAsia="Times New Roman" w:hAnsi="Times New Roman"/>
          <w:sz w:val="22"/>
          <w:szCs w:val="22"/>
          <w:color w:val="auto"/>
        </w:rPr>
        <w:t xml:space="preserve"> of the Disclosure Letter sets forth a list of all Material Business Contracts as of the date of this Agreement. For purposes of this Agreement, “</w:t>
      </w:r>
      <w:r>
        <w:rPr>
          <w:rFonts w:ascii="Times New Roman" w:cs="Times New Roman" w:eastAsia="Times New Roman" w:hAnsi="Times New Roman"/>
          <w:sz w:val="22"/>
          <w:szCs w:val="22"/>
          <w:u w:val="single" w:color="auto"/>
          <w:color w:val="auto"/>
        </w:rPr>
        <w:t>Material Business Contract</w:t>
      </w:r>
      <w:r>
        <w:rPr>
          <w:rFonts w:ascii="Times New Roman" w:cs="Times New Roman" w:eastAsia="Times New Roman" w:hAnsi="Times New Roman"/>
          <w:sz w:val="22"/>
          <w:szCs w:val="22"/>
          <w:color w:val="auto"/>
        </w:rPr>
        <w:t>” means, except for Contracts solely constituting</w:t>
      </w:r>
    </w:p>
    <w:p>
      <w:pPr>
        <w:spacing w:after="0" w:line="1" w:lineRule="exact"/>
        <w:rPr>
          <w:rFonts w:ascii="Times New Roman" w:cs="Times New Roman" w:eastAsia="Times New Roman" w:hAnsi="Times New Roman"/>
          <w:sz w:val="22"/>
          <w:szCs w:val="22"/>
          <w:color w:val="auto"/>
        </w:rPr>
      </w:pPr>
    </w:p>
    <w:p>
      <w:pPr>
        <w:jc w:val="both"/>
        <w:ind w:left="-8" w:firstLine="8"/>
        <w:spacing w:after="0" w:line="251" w:lineRule="auto"/>
        <w:tabs>
          <w:tab w:leader="none" w:pos="315"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Excluded Assets (other than Shared Contracts) or (y) Retained Liabilities, any of the following Contracts to which (A) any Seller Entity is a party or otherwise bound in connection with the Business or (B) the Transferred Assets or the Business is otherwise bound:</w:t>
      </w:r>
    </w:p>
    <w:p>
      <w:pPr>
        <w:spacing w:after="0" w:line="179" w:lineRule="exact"/>
        <w:rPr>
          <w:rFonts w:ascii="Times New Roman" w:cs="Times New Roman" w:eastAsia="Times New Roman" w:hAnsi="Times New Roman"/>
          <w:sz w:val="22"/>
          <w:szCs w:val="22"/>
          <w:color w:val="auto"/>
        </w:rPr>
      </w:pPr>
    </w:p>
    <w:p>
      <w:pPr>
        <w:jc w:val="both"/>
        <w:ind w:left="732" w:firstLine="645"/>
        <w:spacing w:after="0" w:line="263" w:lineRule="auto"/>
        <w:tabs>
          <w:tab w:leader="none" w:pos="1836" w:val="left"/>
        </w:tabs>
        <w:numPr>
          <w:ilvl w:val="3"/>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Contracts limiting in any material respect the freedom of any Seller Entity (with respect to the Business) to compete with any Person in a product line, line of business, geographic area or during any period of time (including through non-compete provisions);</w:t>
      </w:r>
    </w:p>
    <w:p>
      <w:pPr>
        <w:spacing w:after="0" w:line="167" w:lineRule="exact"/>
        <w:rPr>
          <w:rFonts w:ascii="Times New Roman" w:cs="Times New Roman" w:eastAsia="Times New Roman" w:hAnsi="Times New Roman"/>
          <w:sz w:val="22"/>
          <w:szCs w:val="22"/>
          <w:color w:val="auto"/>
        </w:rPr>
      </w:pPr>
    </w:p>
    <w:p>
      <w:pPr>
        <w:ind w:left="1852" w:hanging="475"/>
        <w:spacing w:after="0"/>
        <w:tabs>
          <w:tab w:leader="none" w:pos="1852" w:val="left"/>
        </w:tabs>
        <w:numPr>
          <w:ilvl w:val="3"/>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Contracts with a Top Customer, Top Supplier or Top Distributor;</w:t>
      </w:r>
    </w:p>
    <w:p>
      <w:pPr>
        <w:spacing w:after="0" w:line="219" w:lineRule="exact"/>
        <w:rPr>
          <w:rFonts w:ascii="Times New Roman" w:cs="Times New Roman" w:eastAsia="Times New Roman" w:hAnsi="Times New Roman"/>
          <w:sz w:val="22"/>
          <w:szCs w:val="22"/>
          <w:color w:val="auto"/>
        </w:rPr>
      </w:pPr>
    </w:p>
    <w:p>
      <w:pPr>
        <w:ind w:left="732" w:firstLine="645"/>
        <w:spacing w:after="0" w:line="271" w:lineRule="auto"/>
        <w:tabs>
          <w:tab w:leader="none" w:pos="1968" w:val="left"/>
        </w:tabs>
        <w:numPr>
          <w:ilvl w:val="3"/>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Contracts that provide for the formation, creation, governance, economics or control of any joint venture, partnership or other similar arrangement;</w:t>
      </w:r>
    </w:p>
    <w:p>
      <w:pPr>
        <w:spacing w:after="0" w:line="157" w:lineRule="exact"/>
        <w:rPr>
          <w:rFonts w:ascii="Times New Roman" w:cs="Times New Roman" w:eastAsia="Times New Roman" w:hAnsi="Times New Roman"/>
          <w:sz w:val="22"/>
          <w:szCs w:val="22"/>
          <w:color w:val="auto"/>
        </w:rPr>
      </w:pPr>
    </w:p>
    <w:p>
      <w:pPr>
        <w:jc w:val="both"/>
        <w:ind w:left="732" w:firstLine="645"/>
        <w:spacing w:after="0" w:line="263" w:lineRule="auto"/>
        <w:tabs>
          <w:tab w:leader="none" w:pos="2016" w:val="left"/>
        </w:tabs>
        <w:numPr>
          <w:ilvl w:val="3"/>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Contracts under which (A) any Person that is not a Seller Entity guarantees, directly or indirectly, any material Liabilities of any Seller Entity or (B) any Seller Entity guarantees any material Liabilities of any Person that is not a Seller Entity;</w:t>
      </w:r>
    </w:p>
    <w:p>
      <w:pPr>
        <w:spacing w:after="0" w:line="167" w:lineRule="exact"/>
        <w:rPr>
          <w:rFonts w:ascii="Times New Roman" w:cs="Times New Roman" w:eastAsia="Times New Roman" w:hAnsi="Times New Roman"/>
          <w:sz w:val="22"/>
          <w:szCs w:val="22"/>
          <w:color w:val="auto"/>
        </w:rPr>
      </w:pPr>
    </w:p>
    <w:p>
      <w:pPr>
        <w:ind w:left="1852" w:hanging="475"/>
        <w:spacing w:after="0"/>
        <w:tabs>
          <w:tab w:leader="none" w:pos="1852" w:val="left"/>
        </w:tabs>
        <w:numPr>
          <w:ilvl w:val="3"/>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Contracts pursuant to which a Lien (other than a Permitted Lien) is granted on any Transferred Asset;</w:t>
      </w:r>
    </w:p>
    <w:p>
      <w:pPr>
        <w:spacing w:after="0" w:line="219" w:lineRule="exact"/>
        <w:rPr>
          <w:rFonts w:ascii="Times New Roman" w:cs="Times New Roman" w:eastAsia="Times New Roman" w:hAnsi="Times New Roman"/>
          <w:sz w:val="22"/>
          <w:szCs w:val="22"/>
          <w:color w:val="auto"/>
        </w:rPr>
      </w:pPr>
    </w:p>
    <w:p>
      <w:pPr>
        <w:ind w:left="2072" w:hanging="695"/>
        <w:spacing w:after="0"/>
        <w:tabs>
          <w:tab w:leader="none" w:pos="2072" w:val="left"/>
        </w:tabs>
        <w:numPr>
          <w:ilvl w:val="3"/>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Contracts evidencing Indebtedness for borrowed money in excess of $500,000 or any other material</w:t>
      </w:r>
    </w:p>
    <w:p>
      <w:pPr>
        <w:spacing w:after="0" w:line="27" w:lineRule="exact"/>
        <w:rPr>
          <w:rFonts w:ascii="Times New Roman" w:cs="Times New Roman" w:eastAsia="Times New Roman" w:hAnsi="Times New Roman"/>
          <w:sz w:val="22"/>
          <w:szCs w:val="22"/>
          <w:color w:val="auto"/>
        </w:rPr>
      </w:pPr>
    </w:p>
    <w:p>
      <w:pPr>
        <w:ind w:left="732"/>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w:t>
      </w:r>
    </w:p>
    <w:p>
      <w:pPr>
        <w:spacing w:after="0" w:line="195" w:lineRule="exact"/>
        <w:rPr>
          <w:rFonts w:ascii="Times New Roman" w:cs="Times New Roman" w:eastAsia="Times New Roman" w:hAnsi="Times New Roman"/>
          <w:sz w:val="22"/>
          <w:szCs w:val="22"/>
          <w:color w:val="auto"/>
        </w:rPr>
      </w:pPr>
    </w:p>
    <w:p>
      <w:pPr>
        <w:jc w:val="both"/>
        <w:ind w:left="732" w:firstLine="645"/>
        <w:spacing w:after="0" w:line="253" w:lineRule="auto"/>
        <w:tabs>
          <w:tab w:leader="none" w:pos="2016" w:val="left"/>
        </w:tabs>
        <w:numPr>
          <w:ilvl w:val="3"/>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Contracts that relate to the acquisition or disposition of any equity securities, material assets, business or product line (whether by merger, sale of stock, sale of assets or otherwise and including any option to acquire) during the last two (2) years or pursuant to which there is any continuing earn-out, purchase price adjustment or similar contingent payment obligations or any other Liability (including indemnification or other monetary obligations, or other performance obligations outstanding);</w:t>
      </w:r>
    </w:p>
    <w:p>
      <w:pPr>
        <w:spacing w:after="0" w:line="178" w:lineRule="exact"/>
        <w:rPr>
          <w:rFonts w:ascii="Times New Roman" w:cs="Times New Roman" w:eastAsia="Times New Roman" w:hAnsi="Times New Roman"/>
          <w:sz w:val="22"/>
          <w:szCs w:val="22"/>
          <w:color w:val="auto"/>
        </w:rPr>
      </w:pPr>
    </w:p>
    <w:p>
      <w:pPr>
        <w:ind w:left="2032" w:hanging="655"/>
        <w:spacing w:after="0"/>
        <w:tabs>
          <w:tab w:leader="none" w:pos="2032" w:val="left"/>
        </w:tabs>
        <w:numPr>
          <w:ilvl w:val="3"/>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Transferred Real Property Lease;</w:t>
      </w:r>
    </w:p>
    <w:p>
      <w:pPr>
        <w:spacing w:after="0" w:line="233" w:lineRule="exact"/>
        <w:rPr>
          <w:rFonts w:ascii="Times New Roman" w:cs="Times New Roman" w:eastAsia="Times New Roman" w:hAnsi="Times New Roman"/>
          <w:sz w:val="22"/>
          <w:szCs w:val="22"/>
          <w:color w:val="auto"/>
        </w:rPr>
      </w:pPr>
    </w:p>
    <w:p>
      <w:pPr>
        <w:jc w:val="both"/>
        <w:ind w:left="732" w:firstLine="645"/>
        <w:spacing w:after="0" w:line="250" w:lineRule="auto"/>
        <w:tabs>
          <w:tab w:leader="none" w:pos="1930" w:val="left"/>
        </w:tabs>
        <w:numPr>
          <w:ilvl w:val="3"/>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Contracts reflecting a settlement, release, compromise, conciliation or waiver of any threatened or pending Action or Judgment either (A) entered into in the past three (3) years and under which a payment in excess of $100,000 (together with amounts contemplated under all related Contracts) was or will be made or (B) containing continuing obligations (including any payment obligations, covenants not to sue, or co-existence covenants) or restrictions on the Business or any of the Transferred Assets;</w:t>
      </w:r>
    </w:p>
    <w:p>
      <w:pPr>
        <w:spacing w:after="0" w:line="180" w:lineRule="exact"/>
        <w:rPr>
          <w:rFonts w:ascii="Times New Roman" w:cs="Times New Roman" w:eastAsia="Times New Roman" w:hAnsi="Times New Roman"/>
          <w:sz w:val="22"/>
          <w:szCs w:val="22"/>
          <w:color w:val="auto"/>
        </w:rPr>
      </w:pPr>
    </w:p>
    <w:p>
      <w:pPr>
        <w:ind w:left="1852" w:hanging="475"/>
        <w:spacing w:after="0"/>
        <w:tabs>
          <w:tab w:leader="none" w:pos="1852" w:val="left"/>
        </w:tabs>
        <w:numPr>
          <w:ilvl w:val="3"/>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Contracts with a Governmental Authority;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9" w:lineRule="exact"/>
        <w:rPr>
          <w:rFonts w:ascii="Times New Roman" w:cs="Times New Roman" w:eastAsia="Times New Roman" w:hAnsi="Times New Roman"/>
          <w:sz w:val="22"/>
          <w:szCs w:val="22"/>
          <w:color w:val="auto"/>
        </w:rPr>
      </w:pPr>
    </w:p>
    <w:p>
      <w:pPr>
        <w:ind w:left="352" w:hanging="136"/>
        <w:spacing w:after="0"/>
        <w:tabs>
          <w:tab w:leader="none" w:pos="352"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49 -</w:t>
      </w:r>
    </w:p>
    <w:p>
      <w:pPr>
        <w:sectPr>
          <w:pgSz w:w="11900" w:h="16838" w:orient="portrait"/>
          <w:cols w:equalWidth="0" w:num="1">
            <w:col w:w="11232"/>
          </w:cols>
          <w:pgMar w:left="328" w:top="1422" w:right="339" w:bottom="1440" w:gutter="0" w:footer="0" w:header="0"/>
        </w:sectPr>
      </w:pPr>
    </w:p>
    <w:bookmarkStart w:id="118" w:name="page119"/>
    <w:bookmarkEnd w:id="118"/>
    <w:p>
      <w:pPr>
        <w:jc w:val="both"/>
        <w:ind w:left="516" w:firstLine="645"/>
        <w:spacing w:after="0" w:line="257" w:lineRule="auto"/>
        <w:tabs>
          <w:tab w:leader="none" w:pos="1714" w:val="left"/>
        </w:tabs>
        <w:numPr>
          <w:ilvl w:val="2"/>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Contracts with each Business Employee who receives annual compensation (excluding bonus) in excess of $150,000, other than such Contracts that are terminable by Seller at-will with a notice period of thirty (30) days or less and without triggering severance;</w:t>
      </w:r>
    </w:p>
    <w:p>
      <w:pPr>
        <w:spacing w:after="0" w:line="186" w:lineRule="exact"/>
        <w:rPr>
          <w:rFonts w:ascii="Times New Roman" w:cs="Times New Roman" w:eastAsia="Times New Roman" w:hAnsi="Times New Roman"/>
          <w:sz w:val="22"/>
          <w:szCs w:val="22"/>
          <w:color w:val="auto"/>
        </w:rPr>
      </w:pPr>
    </w:p>
    <w:p>
      <w:pPr>
        <w:jc w:val="both"/>
        <w:ind w:left="516" w:firstLine="645"/>
        <w:spacing w:after="0" w:line="250" w:lineRule="auto"/>
        <w:tabs>
          <w:tab w:leader="none" w:pos="1763" w:val="left"/>
        </w:tabs>
        <w:numPr>
          <w:ilvl w:val="2"/>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Contracts that grant exclusivity in favor of a third party; (B) Contracts that include minimum purchase requirements binding on the Seller Entities or any other Subsidiary of Seller and involve annual payments or consideration in excess of $2,500,000; (C) Contracts containing a “most favored nation”, “best pricing” or any other similar provision by which another party to such Contract is entitled to any benefit, right or privilege which, under the terms of such Contract, must be at least as favorable to such party as those offered to another Person and/or (D) Contracts that provide for the grant of any right of first refusal, right of first negotiation, right of first offer or any other similar preferential right to a third party;</w:t>
      </w:r>
    </w:p>
    <w:p>
      <w:pPr>
        <w:spacing w:after="0" w:line="180" w:lineRule="exact"/>
        <w:rPr>
          <w:rFonts w:ascii="Times New Roman" w:cs="Times New Roman" w:eastAsia="Times New Roman" w:hAnsi="Times New Roman"/>
          <w:sz w:val="22"/>
          <w:szCs w:val="22"/>
          <w:color w:val="auto"/>
        </w:rPr>
      </w:pPr>
    </w:p>
    <w:p>
      <w:pPr>
        <w:ind w:left="516" w:firstLine="645"/>
        <w:spacing w:after="0" w:line="271" w:lineRule="auto"/>
        <w:tabs>
          <w:tab w:leader="none" w:pos="1815" w:val="left"/>
        </w:tabs>
        <w:numPr>
          <w:ilvl w:val="2"/>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Contracts requiring future capital commitment or capital expenditure obligations of the Business in excess of $100,000 individually or $500,000 in the aggregate;</w:t>
      </w:r>
    </w:p>
    <w:p>
      <w:pPr>
        <w:spacing w:after="0" w:line="157" w:lineRule="exact"/>
        <w:rPr>
          <w:rFonts w:ascii="Times New Roman" w:cs="Times New Roman" w:eastAsia="Times New Roman" w:hAnsi="Times New Roman"/>
          <w:sz w:val="22"/>
          <w:szCs w:val="22"/>
          <w:color w:val="auto"/>
        </w:rPr>
      </w:pPr>
    </w:p>
    <w:p>
      <w:pPr>
        <w:ind w:left="1796" w:hanging="635"/>
        <w:spacing w:after="0"/>
        <w:tabs>
          <w:tab w:leader="none" w:pos="1796" w:val="left"/>
        </w:tabs>
        <w:numPr>
          <w:ilvl w:val="2"/>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CBA;</w:t>
      </w:r>
    </w:p>
    <w:p>
      <w:pPr>
        <w:spacing w:after="0" w:line="219" w:lineRule="exact"/>
        <w:rPr>
          <w:rFonts w:ascii="Times New Roman" w:cs="Times New Roman" w:eastAsia="Times New Roman" w:hAnsi="Times New Roman"/>
          <w:sz w:val="22"/>
          <w:szCs w:val="22"/>
          <w:color w:val="auto"/>
        </w:rPr>
      </w:pPr>
    </w:p>
    <w:p>
      <w:pPr>
        <w:jc w:val="both"/>
        <w:ind w:left="516" w:firstLine="645"/>
        <w:spacing w:after="0" w:line="263" w:lineRule="auto"/>
        <w:tabs>
          <w:tab w:leader="none" w:pos="1848" w:val="left"/>
        </w:tabs>
        <w:numPr>
          <w:ilvl w:val="2"/>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material Shared Contract that is not a Shared Services and Asset (assuming, for purposes of this subsection (xv) only, that Shared Contracts were not excluded from the definition of Shared Services and Assets), including with any suppliers and customers;</w:t>
      </w:r>
    </w:p>
    <w:p>
      <w:pPr>
        <w:spacing w:after="0" w:line="167" w:lineRule="exact"/>
        <w:rPr>
          <w:rFonts w:ascii="Times New Roman" w:cs="Times New Roman" w:eastAsia="Times New Roman" w:hAnsi="Times New Roman"/>
          <w:sz w:val="22"/>
          <w:szCs w:val="22"/>
          <w:color w:val="auto"/>
        </w:rPr>
      </w:pPr>
    </w:p>
    <w:p>
      <w:pPr>
        <w:ind w:left="1796" w:hanging="635"/>
        <w:spacing w:after="0"/>
        <w:tabs>
          <w:tab w:leader="none" w:pos="1796" w:val="left"/>
        </w:tabs>
        <w:numPr>
          <w:ilvl w:val="2"/>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Credit Support Item;</w:t>
      </w:r>
    </w:p>
    <w:p>
      <w:pPr>
        <w:spacing w:after="0" w:line="219" w:lineRule="exact"/>
        <w:rPr>
          <w:rFonts w:ascii="Times New Roman" w:cs="Times New Roman" w:eastAsia="Times New Roman" w:hAnsi="Times New Roman"/>
          <w:sz w:val="22"/>
          <w:szCs w:val="22"/>
          <w:color w:val="auto"/>
        </w:rPr>
      </w:pPr>
    </w:p>
    <w:p>
      <w:pPr>
        <w:jc w:val="both"/>
        <w:ind w:left="516" w:firstLine="645"/>
        <w:spacing w:after="0" w:line="248" w:lineRule="auto"/>
        <w:tabs>
          <w:tab w:leader="none" w:pos="1897" w:val="left"/>
        </w:tabs>
        <w:numPr>
          <w:ilvl w:val="2"/>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the Transferred IP Licenses, any license, royalty or other Contract with respect to Intellectual Property under which (A) any member of the Seller Group is a licensee or is otherwise granted by a third party any rights to use any material Intellectual Property in connection with the Business, (B) any member of the Seller Group is a licensor and grants a third party any rights to use any material Transferred Intellectual Property, or (C) any third Person has developed or has been engaged to develop any material Transferred Intellectual Property (other than in each case (x) non-exclusive licenses for generally commercially available, “off-the-shelf” software programs used solely for the Seller Entities’ internal use with respect to the Business that have a total replacement cost or annual license fee attributable to the Business of less than $200,000, (y) Contracts with employees and contractors entered into in the ordinary course of business on standard forms of agreement under which such employees and contractors assign the rights in all developed material Transferred Intellectual Property to a Seller Entity) or (z) non-exclusive licenses granted by a Seller Entity to customers in the ordinary course of business; and</w:t>
      </w:r>
    </w:p>
    <w:p>
      <w:pPr>
        <w:spacing w:after="0" w:line="188" w:lineRule="exact"/>
        <w:rPr>
          <w:rFonts w:ascii="Times New Roman" w:cs="Times New Roman" w:eastAsia="Times New Roman" w:hAnsi="Times New Roman"/>
          <w:sz w:val="22"/>
          <w:szCs w:val="22"/>
          <w:color w:val="auto"/>
        </w:rPr>
      </w:pPr>
    </w:p>
    <w:p>
      <w:pPr>
        <w:ind w:left="1916" w:hanging="755"/>
        <w:spacing w:after="0"/>
        <w:tabs>
          <w:tab w:leader="none" w:pos="1916" w:val="left"/>
        </w:tabs>
        <w:numPr>
          <w:ilvl w:val="2"/>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Transferred IP Licenses.</w:t>
      </w:r>
    </w:p>
    <w:p>
      <w:pPr>
        <w:spacing w:after="0" w:line="219" w:lineRule="exact"/>
        <w:rPr>
          <w:rFonts w:ascii="Times New Roman" w:cs="Times New Roman" w:eastAsia="Times New Roman" w:hAnsi="Times New Roman"/>
          <w:sz w:val="22"/>
          <w:szCs w:val="22"/>
          <w:color w:val="auto"/>
        </w:rPr>
      </w:pPr>
    </w:p>
    <w:p>
      <w:pPr>
        <w:jc w:val="both"/>
        <w:ind w:left="-224" w:firstLine="1304"/>
        <w:spacing w:after="0" w:line="253" w:lineRule="auto"/>
        <w:tabs>
          <w:tab w:leader="none" w:pos="1568"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Material Business Contract is valid and binding on each Seller Entity that is a party thereto, and to the Knowledge of the Seller, each other party thereto, and is in full force and effect and enforceable by such Seller Entity and, to the Knowledge of the Seller, each other party thereto, in accordance with its respective terms, subject in each case to the Enforceability Exceptions. As to each Material Business Contract, there does not exist thereunder as of the date hereof any material breach or default (whether after the giving of notice or the lapse of time or both) on the part of any Seller Entity or, to</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8" w:lineRule="exact"/>
        <w:rPr>
          <w:rFonts w:ascii="Times New Roman" w:cs="Times New Roman" w:eastAsia="Times New Roman" w:hAnsi="Times New Roman"/>
          <w:sz w:val="22"/>
          <w:szCs w:val="22"/>
          <w:color w:val="auto"/>
        </w:rPr>
      </w:pPr>
    </w:p>
    <w:p>
      <w:pPr>
        <w:ind w:left="136" w:hanging="136"/>
        <w:spacing w:after="0"/>
        <w:tabs>
          <w:tab w:leader="none" w:pos="136"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50 -</w:t>
      </w:r>
    </w:p>
    <w:p>
      <w:pPr>
        <w:sectPr>
          <w:pgSz w:w="11900" w:h="16838" w:orient="portrait"/>
          <w:cols w:equalWidth="0" w:num="1">
            <w:col w:w="11016"/>
          </w:cols>
          <w:pgMar w:left="544" w:top="1422" w:right="339" w:bottom="1440" w:gutter="0" w:footer="0" w:header="0"/>
        </w:sectPr>
      </w:pPr>
    </w:p>
    <w:bookmarkStart w:id="119" w:name="page120"/>
    <w:bookmarkEnd w:id="119"/>
    <w:p>
      <w:pPr>
        <w:jc w:val="both"/>
        <w:spacing w:after="0" w:line="253" w:lineRule="auto"/>
        <w:rPr>
          <w:sz w:val="20"/>
          <w:szCs w:val="20"/>
          <w:color w:val="auto"/>
        </w:rPr>
      </w:pPr>
      <w:r>
        <w:rPr>
          <w:rFonts w:ascii="Times New Roman" w:cs="Times New Roman" w:eastAsia="Times New Roman" w:hAnsi="Times New Roman"/>
          <w:sz w:val="22"/>
          <w:szCs w:val="22"/>
          <w:color w:val="auto"/>
        </w:rPr>
        <w:t>the Knowledge of the Seller, any other party to such Material Business Contract. For the past three (3) years, none of the Seller Entities or any other Subsidiary of Seller has received written, or to the Knowledge of the Seller, oral notice of any material breach of, or default or violation under, any Material Business Contract. True, correct and complete copies of all Material Business Contracts, including any amendments, supplements or other modifications thereto, have been made available to Purchaser.</w:t>
      </w:r>
    </w:p>
    <w:p>
      <w:pPr>
        <w:spacing w:after="0" w:line="179" w:lineRule="exact"/>
        <w:rPr>
          <w:sz w:val="20"/>
          <w:szCs w:val="20"/>
          <w:color w:val="auto"/>
        </w:rPr>
      </w:pPr>
    </w:p>
    <w:p>
      <w:pPr>
        <w:ind w:left="1380"/>
        <w:spacing w:after="0"/>
        <w:tabs>
          <w:tab w:leader="none" w:pos="2660" w:val="left"/>
        </w:tabs>
        <w:rPr>
          <w:sz w:val="20"/>
          <w:szCs w:val="20"/>
          <w:color w:val="auto"/>
        </w:rPr>
      </w:pPr>
      <w:r>
        <w:rPr>
          <w:rFonts w:ascii="Times New Roman" w:cs="Times New Roman" w:eastAsia="Times New Roman" w:hAnsi="Times New Roman"/>
          <w:sz w:val="22"/>
          <w:szCs w:val="22"/>
          <w:color w:val="auto"/>
        </w:rPr>
        <w:t>Section 4.17</w:t>
      </w:r>
      <w:r>
        <w:rPr>
          <w:sz w:val="20"/>
          <w:szCs w:val="20"/>
          <w:color w:val="auto"/>
        </w:rPr>
        <w:tab/>
      </w:r>
      <w:r>
        <w:rPr>
          <w:rFonts w:ascii="Times New Roman" w:cs="Times New Roman" w:eastAsia="Times New Roman" w:hAnsi="Times New Roman"/>
          <w:sz w:val="21"/>
          <w:szCs w:val="21"/>
          <w:u w:val="single" w:color="auto"/>
          <w:color w:val="auto"/>
        </w:rPr>
        <w:t>Brokers and Other Advisors</w:t>
      </w:r>
    </w:p>
    <w:p>
      <w:pPr>
        <w:spacing w:after="0" w:line="220" w:lineRule="exact"/>
        <w:rPr>
          <w:sz w:val="20"/>
          <w:szCs w:val="20"/>
          <w:color w:val="auto"/>
        </w:rPr>
      </w:pPr>
    </w:p>
    <w:p>
      <w:pPr>
        <w:jc w:val="both"/>
        <w:ind w:firstLine="8"/>
        <w:spacing w:after="0" w:line="253" w:lineRule="auto"/>
        <w:tabs>
          <w:tab w:leader="none" w:pos="135"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Lazard and Deutsche Bank, the fees and expenses of which will be paid by Seller (the “</w:t>
      </w:r>
      <w:r>
        <w:rPr>
          <w:rFonts w:ascii="Times New Roman" w:cs="Times New Roman" w:eastAsia="Times New Roman" w:hAnsi="Times New Roman"/>
          <w:sz w:val="22"/>
          <w:szCs w:val="22"/>
          <w:u w:val="single" w:color="auto"/>
          <w:color w:val="auto"/>
        </w:rPr>
        <w:t>Lazard Fees</w:t>
      </w:r>
      <w:r>
        <w:rPr>
          <w:rFonts w:ascii="Times New Roman" w:cs="Times New Roman" w:eastAsia="Times New Roman" w:hAnsi="Times New Roman"/>
          <w:sz w:val="22"/>
          <w:szCs w:val="22"/>
          <w:color w:val="auto"/>
        </w:rPr>
        <w:t>” and such agreement related thereto, the “</w:t>
      </w:r>
      <w:r>
        <w:rPr>
          <w:rFonts w:ascii="Times New Roman" w:cs="Times New Roman" w:eastAsia="Times New Roman" w:hAnsi="Times New Roman"/>
          <w:sz w:val="22"/>
          <w:szCs w:val="22"/>
          <w:u w:val="single" w:color="auto"/>
          <w:color w:val="auto"/>
        </w:rPr>
        <w:t>Lazard Agreement</w:t>
      </w:r>
      <w:r>
        <w:rPr>
          <w:rFonts w:ascii="Times New Roman" w:cs="Times New Roman" w:eastAsia="Times New Roman" w:hAnsi="Times New Roman"/>
          <w:sz w:val="22"/>
          <w:szCs w:val="22"/>
          <w:color w:val="auto"/>
        </w:rPr>
        <w:t>”), no broker, investment banker, financial advisor or other Person is entitled to any broker’s, finder’s, financial advisor’s or other similar fee or commission (contingent or otherwise), or the reimbursement of expenses in connection therewith, in connection with the Transactions based upon arrangements made by or on behalf of any member of the Seller Group.</w:t>
      </w:r>
    </w:p>
    <w:p>
      <w:pPr>
        <w:spacing w:after="0" w:line="179" w:lineRule="exact"/>
        <w:rPr>
          <w:sz w:val="20"/>
          <w:szCs w:val="20"/>
          <w:color w:val="auto"/>
        </w:rPr>
      </w:pPr>
    </w:p>
    <w:p>
      <w:pPr>
        <w:jc w:val="both"/>
        <w:ind w:left="80"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4.18 </w:t>
      </w:r>
      <w:r>
        <w:rPr>
          <w:rFonts w:ascii="Times New Roman" w:cs="Times New Roman" w:eastAsia="Times New Roman" w:hAnsi="Times New Roman"/>
          <w:sz w:val="22"/>
          <w:szCs w:val="22"/>
          <w:u w:val="single" w:color="auto"/>
          <w:color w:val="auto"/>
        </w:rPr>
        <w:t>Top Customers, Top Suppliers and Top Distributors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4.18(a)</w:t>
      </w:r>
      <w:r>
        <w:rPr>
          <w:rFonts w:ascii="Times New Roman" w:cs="Times New Roman" w:eastAsia="Times New Roman" w:hAnsi="Times New Roman"/>
          <w:sz w:val="22"/>
          <w:szCs w:val="22"/>
          <w:color w:val="auto"/>
        </w:rPr>
        <w:t xml:space="preserve"> of the Disclosure Letter sets forth a true, correct and complete list of the Top Customers, the Top Suppliers and Top Distributors, together with the corresponding amounts of revenue generated or expenses incurred, as applicable, in calendar year 2023, calendar year 2024 and the three (3) month period ended March 31, 2025. Except as set forth in </w:t>
      </w:r>
      <w:r>
        <w:rPr>
          <w:rFonts w:ascii="Times New Roman" w:cs="Times New Roman" w:eastAsia="Times New Roman" w:hAnsi="Times New Roman"/>
          <w:sz w:val="22"/>
          <w:szCs w:val="22"/>
          <w:u w:val="single" w:color="auto"/>
          <w:color w:val="auto"/>
        </w:rPr>
        <w:t>Section 4.18(b)</w:t>
      </w:r>
      <w:r>
        <w:rPr>
          <w:rFonts w:ascii="Times New Roman" w:cs="Times New Roman" w:eastAsia="Times New Roman" w:hAnsi="Times New Roman"/>
          <w:sz w:val="22"/>
          <w:szCs w:val="22"/>
          <w:color w:val="auto"/>
        </w:rPr>
        <w:t xml:space="preserve"> of the Disclosure Letter, no Top Customer, Top Supplier or Top Distributor has discontinued, canceled, terminated or adversely and materially reduced its relationship with the Business, or has notified any Seller Entity or any other Subsidiary of Seller in writing, or to the Knowledge of the Seller, orally that it intends or is considering to do the same. No Seller Entity or any other Subsidiary of Seller is involved in any pending, threatened in writing or, to the Knowledge of the Seller, threatened orally, Action or other dispute with any Top Customer, Top Supplier or Top Distributor with respect to the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- 51 -</w:t>
      </w:r>
    </w:p>
    <w:p>
      <w:pPr>
        <w:sectPr>
          <w:pgSz w:w="11900" w:h="16838" w:orient="portrait"/>
          <w:cols w:equalWidth="0" w:num="1">
            <w:col w:w="11240"/>
          </w:cols>
          <w:pgMar w:left="320" w:top="1422" w:right="339" w:bottom="1440" w:gutter="0" w:footer="0" w:header="0"/>
        </w:sectPr>
      </w:pPr>
    </w:p>
    <w:bookmarkStart w:id="120" w:name="page121"/>
    <w:bookmarkEnd w:id="120"/>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4.19 </w:t>
      </w: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4.19</w:t>
      </w:r>
      <w:r>
        <w:rPr>
          <w:rFonts w:ascii="Times New Roman" w:cs="Times New Roman" w:eastAsia="Times New Roman" w:hAnsi="Times New Roman"/>
          <w:sz w:val="22"/>
          <w:szCs w:val="22"/>
          <w:color w:val="auto"/>
        </w:rPr>
        <w:t xml:space="preserve"> of the Disclosure Letter sets forth a true, correct and complete list and description of all material insurance policies owned or maintained by any member of the Seller Group with respect to, or that provide coverage to, the Business, the Transferred Assets or the Assumed Liabilities, and specifically identifies all such insurance policies covering solely any one or more of the Business, the Transferred Assets or the Assumed Liabilities.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4.19</w:t>
      </w:r>
      <w:r>
        <w:rPr>
          <w:rFonts w:ascii="Times New Roman" w:cs="Times New Roman" w:eastAsia="Times New Roman" w:hAnsi="Times New Roman"/>
          <w:sz w:val="22"/>
          <w:szCs w:val="22"/>
          <w:color w:val="auto"/>
        </w:rPr>
        <w:t xml:space="preserve"> of the Disclosure Letter also contains a list of all pending claims with any insurer by any member of the Seller Group with respect to the Business, the Transferred Assets or the Assumed Liabilities. No insurer has made any “reservation of rights” or refused to cover all or any portion of any material pending claims made by any member of the Seller Group with respect to the Business, the Transferred Assets or the Assumed Liabilities. No member of the Seller Group is in material breach or default with respect to its obligations under any of such insurance policies with respect to the Business, the Transferred Assets or the Assumed Liabilities, nor has any member of the Seller Group received any written or, to Seller’s Knowledge, oral notification of cancellation of any such policies. Each Seller Entity has, in all material respects, all insurance coverage required by applicable Laws and the terms of any Transferred Contracts and Included Shared Contracts to which such Seller Entity, as applicable, is a party, and for the present conduct of the Business.</w:t>
      </w:r>
    </w:p>
    <w:p>
      <w:pPr>
        <w:spacing w:after="0" w:line="193"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4.20</w:t>
      </w:r>
      <w:r>
        <w:rPr>
          <w:sz w:val="20"/>
          <w:szCs w:val="20"/>
          <w:color w:val="auto"/>
        </w:rPr>
        <w:tab/>
      </w:r>
      <w:r>
        <w:rPr>
          <w:rFonts w:ascii="Times New Roman" w:cs="Times New Roman" w:eastAsia="Times New Roman" w:hAnsi="Times New Roman"/>
          <w:sz w:val="21"/>
          <w:szCs w:val="21"/>
          <w:u w:val="single" w:color="auto"/>
          <w:color w:val="auto"/>
        </w:rPr>
        <w:t>Related Person; Affiliate Agreements and Shared Services and Assets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80" w:firstLine="1304"/>
        <w:spacing w:after="0" w:line="247" w:lineRule="auto"/>
        <w:tabs>
          <w:tab w:leader="none" w:pos="1702"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Section 4.20(a)</w:t>
      </w:r>
      <w:r>
        <w:rPr>
          <w:rFonts w:ascii="Times New Roman" w:cs="Times New Roman" w:eastAsia="Times New Roman" w:hAnsi="Times New Roman"/>
          <w:sz w:val="22"/>
          <w:szCs w:val="22"/>
          <w:color w:val="auto"/>
        </w:rPr>
        <w:t xml:space="preserve"> of the Disclosure Letter (any such Contract set forth on or required to be set forth on </w:t>
      </w:r>
      <w:r>
        <w:rPr>
          <w:rFonts w:ascii="Times New Roman" w:cs="Times New Roman" w:eastAsia="Times New Roman" w:hAnsi="Times New Roman"/>
          <w:sz w:val="22"/>
          <w:szCs w:val="22"/>
          <w:u w:val="single" w:color="auto"/>
          <w:color w:val="auto"/>
        </w:rPr>
        <w:t>Section 4.20(a)</w:t>
      </w:r>
      <w:r>
        <w:rPr>
          <w:rFonts w:ascii="Times New Roman" w:cs="Times New Roman" w:eastAsia="Times New Roman" w:hAnsi="Times New Roman"/>
          <w:sz w:val="22"/>
          <w:szCs w:val="22"/>
          <w:color w:val="auto"/>
        </w:rPr>
        <w:t xml:space="preserve"> of the Disclosure Letter, a “</w:t>
      </w:r>
      <w:r>
        <w:rPr>
          <w:rFonts w:ascii="Times New Roman" w:cs="Times New Roman" w:eastAsia="Times New Roman" w:hAnsi="Times New Roman"/>
          <w:sz w:val="22"/>
          <w:szCs w:val="22"/>
          <w:u w:val="single" w:color="auto"/>
          <w:color w:val="auto"/>
        </w:rPr>
        <w:t>Related Person Agreement</w:t>
      </w:r>
      <w:r>
        <w:rPr>
          <w:rFonts w:ascii="Times New Roman" w:cs="Times New Roman" w:eastAsia="Times New Roman" w:hAnsi="Times New Roman"/>
          <w:sz w:val="22"/>
          <w:szCs w:val="22"/>
          <w:color w:val="auto"/>
        </w:rPr>
        <w:t>”) and Contracts in respect of (a) employee compensation and other incidence of employment (including participation in employee benefit plans) and (b) equity ownership, no director, officer or employee of a Seller Entity or any other Subsidiary of the Seller (each, a “</w:t>
      </w:r>
      <w:r>
        <w:rPr>
          <w:rFonts w:ascii="Times New Roman" w:cs="Times New Roman" w:eastAsia="Times New Roman" w:hAnsi="Times New Roman"/>
          <w:sz w:val="22"/>
          <w:szCs w:val="22"/>
          <w:u w:val="single" w:color="auto"/>
          <w:color w:val="auto"/>
        </w:rPr>
        <w:t>Related Person</w:t>
      </w:r>
      <w:r>
        <w:rPr>
          <w:rFonts w:ascii="Times New Roman" w:cs="Times New Roman" w:eastAsia="Times New Roman" w:hAnsi="Times New Roman"/>
          <w:sz w:val="22"/>
          <w:szCs w:val="22"/>
          <w:color w:val="auto"/>
        </w:rPr>
        <w:t>”), is a party to or otherwise bound by any Contract with any member of the Seller Group used in or necessary for the conduct of the Business or by which the Transferred Assets are bound, or has any direct or indirect (i) right, title or interest in any material asset or material property (including any Intellectual Property) used or owned by any member of the Seller Group in, or that is otherwise necessary for, the conduct of the Business, (ii) to the Knowledge of Seller, financial interest in (other than a passive investment, in the aggregate of less than 5% of the outstanding shares or other equity interests of capital stock, of any corporation or other entity listed on a national securities exchange or publicly traded on any nationally recognized over-the-counter market), or is a director, officer or employee of, any Person (other than the Seller Group) which is a material sponsor, customer, reseller, supplier, client, lessor, lessee, competitor or other material business relation of the Seller Entities or any other Subsidiary of Seller in connection with the Business or (iii) Liability to the Seller Entities or any other Subsidiary of Seller in connection with the Business for borrowed money or other loans or advances other than such Liabilities that are Retained Liabilities or that are expressly set forth on the face of the Interim Financial Statements.</w:t>
      </w:r>
    </w:p>
    <w:p>
      <w:pPr>
        <w:spacing w:after="0" w:line="185" w:lineRule="exact"/>
        <w:rPr>
          <w:rFonts w:ascii="Times New Roman" w:cs="Times New Roman" w:eastAsia="Times New Roman" w:hAnsi="Times New Roman"/>
          <w:sz w:val="22"/>
          <w:szCs w:val="22"/>
          <w:color w:val="auto"/>
        </w:rPr>
      </w:pPr>
    </w:p>
    <w:p>
      <w:pPr>
        <w:jc w:val="both"/>
        <w:ind w:left="-80" w:firstLine="1304"/>
        <w:spacing w:after="0" w:line="256" w:lineRule="auto"/>
        <w:tabs>
          <w:tab w:leader="none" w:pos="1750"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 Related Person Agreement and (ii) Contract to which any Seller Entity, on the one hand, and any other member of the Seller Group, on the other hand, is a party to or otherwise bound by that is used in or necessary for the conduct of the Business or by which any of the Transferred Assets are bound (each of (i) and (ii), an “</w:t>
      </w:r>
      <w:r>
        <w:rPr>
          <w:rFonts w:ascii="Times New Roman" w:cs="Times New Roman" w:eastAsia="Times New Roman" w:hAnsi="Times New Roman"/>
          <w:sz w:val="22"/>
          <w:szCs w:val="22"/>
          <w:u w:val="single" w:color="auto"/>
          <w:color w:val="auto"/>
        </w:rPr>
        <w:t>Affiliate Agreement</w:t>
      </w:r>
      <w:r>
        <w:rPr>
          <w:rFonts w:ascii="Times New Roman" w:cs="Times New Roman" w:eastAsia="Times New Roman" w:hAnsi="Times New Roman"/>
          <w:sz w:val="22"/>
          <w:szCs w:val="22"/>
          <w:color w:val="auto"/>
        </w:rPr>
        <w:t>”) has been entered into on arms-length terms.</w:t>
      </w:r>
    </w:p>
    <w:p>
      <w:pPr>
        <w:spacing w:after="0" w:line="176" w:lineRule="exact"/>
        <w:rPr>
          <w:rFonts w:ascii="Times New Roman" w:cs="Times New Roman" w:eastAsia="Times New Roman" w:hAnsi="Times New Roman"/>
          <w:sz w:val="22"/>
          <w:szCs w:val="22"/>
          <w:color w:val="auto"/>
        </w:rPr>
      </w:pPr>
    </w:p>
    <w:p>
      <w:pPr>
        <w:jc w:val="both"/>
        <w:ind w:left="-80" w:firstLine="1304"/>
        <w:spacing w:after="0" w:line="263" w:lineRule="auto"/>
        <w:tabs>
          <w:tab w:leader="none" w:pos="1677"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for the Shared Services and Assets provided under the Transition Services Agreement or the excluded services set forth on Schedule II of the Transition Services Agreement, </w:t>
      </w:r>
      <w:r>
        <w:rPr>
          <w:rFonts w:ascii="Times New Roman" w:cs="Times New Roman" w:eastAsia="Times New Roman" w:hAnsi="Times New Roman"/>
          <w:sz w:val="22"/>
          <w:szCs w:val="22"/>
          <w:u w:val="single" w:color="auto"/>
          <w:color w:val="auto"/>
        </w:rPr>
        <w:t>Section 4.20(c)</w:t>
      </w:r>
      <w:r>
        <w:rPr>
          <w:rFonts w:ascii="Times New Roman" w:cs="Times New Roman" w:eastAsia="Times New Roman" w:hAnsi="Times New Roman"/>
          <w:sz w:val="22"/>
          <w:szCs w:val="22"/>
          <w:color w:val="auto"/>
        </w:rPr>
        <w:t xml:space="preserve"> of the Disclosure Letter sets forth a list of Shared Services and Assets, as of the date of this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6" w:lineRule="exact"/>
        <w:rPr>
          <w:rFonts w:ascii="Times New Roman" w:cs="Times New Roman" w:eastAsia="Times New Roman" w:hAnsi="Times New Roman"/>
          <w:sz w:val="22"/>
          <w:szCs w:val="22"/>
          <w:color w:val="auto"/>
        </w:rPr>
      </w:pPr>
    </w:p>
    <w:p>
      <w:pPr>
        <w:ind w:left="280" w:hanging="136"/>
        <w:spacing w:after="0"/>
        <w:tabs>
          <w:tab w:leader="none" w:pos="28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52 -</w:t>
      </w:r>
    </w:p>
    <w:p>
      <w:pPr>
        <w:sectPr>
          <w:pgSz w:w="11900" w:h="16838" w:orient="portrait"/>
          <w:cols w:equalWidth="0" w:num="1">
            <w:col w:w="11160"/>
          </w:cols>
          <w:pgMar w:left="400" w:top="1422" w:right="339" w:bottom="1440" w:gutter="0" w:footer="0" w:header="0"/>
        </w:sectPr>
      </w:pPr>
    </w:p>
    <w:bookmarkStart w:id="121" w:name="page122"/>
    <w:bookmarkEnd w:id="121"/>
    <w:p>
      <w:pPr>
        <w:ind w:right="20"/>
        <w:spacing w:after="0" w:line="271" w:lineRule="auto"/>
        <w:rPr>
          <w:sz w:val="20"/>
          <w:szCs w:val="20"/>
          <w:color w:val="auto"/>
        </w:rPr>
      </w:pPr>
      <w:r>
        <w:rPr>
          <w:rFonts w:ascii="Times New Roman" w:cs="Times New Roman" w:eastAsia="Times New Roman" w:hAnsi="Times New Roman"/>
          <w:sz w:val="22"/>
          <w:szCs w:val="22"/>
          <w:color w:val="auto"/>
        </w:rPr>
        <w:t>Agreement, that are material, individually or in the aggregate, to or otherwise reasonably necessary in connection with running, the Business taken as a whole.</w:t>
      </w:r>
    </w:p>
    <w:p>
      <w:pPr>
        <w:spacing w:after="0" w:line="158" w:lineRule="exact"/>
        <w:rPr>
          <w:sz w:val="20"/>
          <w:szCs w:val="20"/>
          <w:color w:val="auto"/>
        </w:rPr>
      </w:pPr>
    </w:p>
    <w:p>
      <w:pPr>
        <w:ind w:left="1380"/>
        <w:spacing w:after="0"/>
        <w:tabs>
          <w:tab w:leader="none" w:pos="2660" w:val="left"/>
        </w:tabs>
        <w:rPr>
          <w:sz w:val="20"/>
          <w:szCs w:val="20"/>
          <w:color w:val="auto"/>
        </w:rPr>
      </w:pPr>
      <w:r>
        <w:rPr>
          <w:rFonts w:ascii="Times New Roman" w:cs="Times New Roman" w:eastAsia="Times New Roman" w:hAnsi="Times New Roman"/>
          <w:sz w:val="22"/>
          <w:szCs w:val="22"/>
          <w:color w:val="auto"/>
        </w:rPr>
        <w:t>Section 4.21</w:t>
      </w:r>
      <w:r>
        <w:rPr>
          <w:sz w:val="20"/>
          <w:szCs w:val="20"/>
          <w:color w:val="auto"/>
        </w:rPr>
        <w:tab/>
      </w:r>
      <w:r>
        <w:rPr>
          <w:rFonts w:ascii="Times New Roman" w:cs="Times New Roman" w:eastAsia="Times New Roman" w:hAnsi="Times New Roman"/>
          <w:sz w:val="21"/>
          <w:szCs w:val="21"/>
          <w:u w:val="single" w:color="auto"/>
          <w:color w:val="auto"/>
        </w:rPr>
        <w:t>FDA Regulatory Matters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4"/>
        <w:spacing w:after="0" w:line="251" w:lineRule="auto"/>
        <w:tabs>
          <w:tab w:leader="none" w:pos="1769"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Entities are in compliance in all material respects with all applicable Laws administered or issued by the U.S. Food and Drug Administration (“</w:t>
      </w:r>
      <w:r>
        <w:rPr>
          <w:rFonts w:ascii="Times New Roman" w:cs="Times New Roman" w:eastAsia="Times New Roman" w:hAnsi="Times New Roman"/>
          <w:sz w:val="22"/>
          <w:szCs w:val="22"/>
          <w:u w:val="single" w:color="auto"/>
          <w:color w:val="auto"/>
        </w:rPr>
        <w:t>FDA</w:t>
      </w:r>
      <w:r>
        <w:rPr>
          <w:rFonts w:ascii="Times New Roman" w:cs="Times New Roman" w:eastAsia="Times New Roman" w:hAnsi="Times New Roman"/>
          <w:sz w:val="22"/>
          <w:szCs w:val="22"/>
          <w:color w:val="auto"/>
        </w:rPr>
        <w:t>”) or any comparable Governmental Authority in jurisdictions where any Seller Entity manufactures its food grade Polymer Chemicals (“</w:t>
      </w:r>
      <w:r>
        <w:rPr>
          <w:rFonts w:ascii="Times New Roman" w:cs="Times New Roman" w:eastAsia="Times New Roman" w:hAnsi="Times New Roman"/>
          <w:sz w:val="22"/>
          <w:szCs w:val="22"/>
          <w:u w:val="single" w:color="auto"/>
          <w:color w:val="auto"/>
        </w:rPr>
        <w:t>Food Laws</w:t>
      </w:r>
      <w:r>
        <w:rPr>
          <w:rFonts w:ascii="Times New Roman" w:cs="Times New Roman" w:eastAsia="Times New Roman" w:hAnsi="Times New Roman"/>
          <w:sz w:val="22"/>
          <w:szCs w:val="22"/>
          <w:color w:val="auto"/>
        </w:rPr>
        <w:t>”). The food grade Polymer Chemicals (i) comply in all material respects with all applicable federal and state labeling requirements, (ii) have been manufactured in all material respects in accordance with all Food Laws of such jurisdictions where such products are manufactured and (iii) are not, and, to the Knowledge of the Seller, have not been, adulterated, mislabeled or misbranded in violation of any Food Laws.</w:t>
      </w:r>
    </w:p>
    <w:p>
      <w:pPr>
        <w:spacing w:after="0" w:line="181" w:lineRule="exact"/>
        <w:rPr>
          <w:rFonts w:ascii="Times New Roman" w:cs="Times New Roman" w:eastAsia="Times New Roman" w:hAnsi="Times New Roman"/>
          <w:sz w:val="22"/>
          <w:szCs w:val="22"/>
          <w:color w:val="auto"/>
        </w:rPr>
      </w:pPr>
    </w:p>
    <w:p>
      <w:pPr>
        <w:jc w:val="both"/>
        <w:ind w:firstLine="1304"/>
        <w:spacing w:after="0" w:line="248" w:lineRule="auto"/>
        <w:tabs>
          <w:tab w:leader="none" w:pos="1895"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There is no Action pending, threatened in writing or, to the Knowledge of the Seller, threatened orally and (ii) for the past three (3) years, no Seller Entity or any other Subsidiary of the Seller has received any written notice from the FDA or any comparable Governmental Authority that alleges, in either the case of clause (i) or (ii), that such Seller Entity or Subsidiary is not in compliance in any material respect with Food Laws with respect to the Business or the Transferred Assets. No Seller Entity or any other Subsidiary of the Seller is subject to any Liability arising under an administrative or regulatory action, or commitment made to or with the FDA or any comparable Governmental Authority with respect to the Business or the Transferred Assets. There are no open FDA inspections, and, for the past three (3) years, no Seller Entity or any other Subsidiary of Seller has received any FDA Form 483, “warning letters,” “untitled letters,” or similar correspondence from any other Governmental Authority with respect to the Business or the Transferred Assets.</w:t>
      </w:r>
    </w:p>
    <w:p>
      <w:pPr>
        <w:spacing w:after="0" w:line="185" w:lineRule="exact"/>
        <w:rPr>
          <w:rFonts w:ascii="Times New Roman" w:cs="Times New Roman" w:eastAsia="Times New Roman" w:hAnsi="Times New Roman"/>
          <w:sz w:val="22"/>
          <w:szCs w:val="22"/>
          <w:color w:val="auto"/>
        </w:rPr>
      </w:pPr>
    </w:p>
    <w:p>
      <w:pPr>
        <w:jc w:val="both"/>
        <w:ind w:firstLine="1304"/>
        <w:spacing w:after="0" w:line="248" w:lineRule="auto"/>
        <w:tabs>
          <w:tab w:leader="none" w:pos="1817"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the past three (3) years, no food grade Polymer Chemicals or products containing food grade Polymer Chemicals have been seized, withdrawn, recalled, detained or subject to a suspension of manufacturing, and to the Knowledge of the Seller, there are no facts or circumstances reasonably likely to cause the FDA, any comparable Governmental Authority or the FTC to require (i) a safety alert relating to any food grade Polymer Chemicals, (ii) a change in the labeling or advertising of any food grade Polymer Chemicals or (iii) the seizure, withdrawal, recall, detention, termination, suspension of manufacturing or suspension of marketing of any food grade Polymer Chemicals. Except as set forth in </w:t>
      </w:r>
      <w:r>
        <w:rPr>
          <w:rFonts w:ascii="Times New Roman" w:cs="Times New Roman" w:eastAsia="Times New Roman" w:hAnsi="Times New Roman"/>
          <w:sz w:val="22"/>
          <w:szCs w:val="22"/>
          <w:u w:val="single" w:color="auto"/>
          <w:color w:val="auto"/>
        </w:rPr>
        <w:t>Section 4.21(c)</w:t>
      </w:r>
      <w:r>
        <w:rPr>
          <w:rFonts w:ascii="Times New Roman" w:cs="Times New Roman" w:eastAsia="Times New Roman" w:hAnsi="Times New Roman"/>
          <w:sz w:val="22"/>
          <w:szCs w:val="22"/>
          <w:color w:val="auto"/>
        </w:rPr>
        <w:t xml:space="preserve"> of the Disclosure Letter, no Actions seeking the relabeling, withdrawal, recall, suspension, import detention, seizure of any food grade Polymer Chemicals, or imposing fines for violation of applicable Laws, are pending, threatened in writing or, to the Knowledge of Seller, threatened orally against any Seller Entity or any other Subsidiary of Seller. For the past three (3) years, no food grade Polymer Chemicals manufactured, distributed or sold by any Seller Entity has been discontinued (whether voluntarily or otherwise) due to concerns over potential harm to human health or safety.</w:t>
      </w:r>
    </w:p>
    <w:p>
      <w:pPr>
        <w:spacing w:after="0" w:line="189" w:lineRule="exact"/>
        <w:rPr>
          <w:sz w:val="20"/>
          <w:szCs w:val="20"/>
          <w:color w:val="auto"/>
        </w:rPr>
      </w:pPr>
    </w:p>
    <w:p>
      <w:pPr>
        <w:jc w:val="both"/>
        <w:ind w:left="80"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4.22 </w:t>
      </w:r>
      <w:r>
        <w:rPr>
          <w:rFonts w:ascii="Times New Roman" w:cs="Times New Roman" w:eastAsia="Times New Roman" w:hAnsi="Times New Roman"/>
          <w:sz w:val="22"/>
          <w:szCs w:val="22"/>
          <w:u w:val="single" w:color="auto"/>
          <w:color w:val="auto"/>
        </w:rPr>
        <w:t>Inventory</w:t>
      </w:r>
      <w:r>
        <w:rPr>
          <w:rFonts w:ascii="Times New Roman" w:cs="Times New Roman" w:eastAsia="Times New Roman" w:hAnsi="Times New Roman"/>
          <w:sz w:val="22"/>
          <w:szCs w:val="22"/>
          <w:color w:val="auto"/>
        </w:rPr>
        <w:t>. All Inventory reflected in the Interim Financial Statements consists of a quality and quantity usable and salable in the ordinary course of the Business, except for obsolete, damaged, defective or slow-moving items that have all been written off or written down to net realizable value or for which adequate reserves have been established, in each case, in accordance with GAAP and consistent with the ordinary course of the Business. The value at which Seller carries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- 53 -</w:t>
      </w:r>
    </w:p>
    <w:p>
      <w:pPr>
        <w:sectPr>
          <w:pgSz w:w="11900" w:h="16838" w:orient="portrait"/>
          <w:cols w:equalWidth="0" w:num="1">
            <w:col w:w="11240"/>
          </w:cols>
          <w:pgMar w:left="320" w:top="1422" w:right="339" w:bottom="1440" w:gutter="0" w:footer="0" w:header="0"/>
        </w:sectPr>
      </w:pPr>
    </w:p>
    <w:bookmarkStart w:id="122" w:name="page123"/>
    <w:bookmarkEnd w:id="122"/>
    <w:p>
      <w:pPr>
        <w:jc w:val="both"/>
        <w:spacing w:after="0" w:line="271" w:lineRule="auto"/>
        <w:rPr>
          <w:sz w:val="20"/>
          <w:szCs w:val="20"/>
          <w:color w:val="auto"/>
        </w:rPr>
      </w:pPr>
      <w:r>
        <w:rPr>
          <w:rFonts w:ascii="Times New Roman" w:cs="Times New Roman" w:eastAsia="Times New Roman" w:hAnsi="Times New Roman"/>
          <w:sz w:val="22"/>
          <w:szCs w:val="22"/>
          <w:color w:val="auto"/>
        </w:rPr>
        <w:t>Inventory on the Interim Financial Statements is in accordance with GAAP and reflects their customary inventory valuation policy.</w:t>
      </w:r>
    </w:p>
    <w:p>
      <w:pPr>
        <w:spacing w:after="0" w:line="15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1"/>
          <w:szCs w:val="21"/>
          <w:color w:val="auto"/>
        </w:rPr>
        <w:t xml:space="preserve">Section 4.23 </w:t>
      </w:r>
      <w:r>
        <w:rPr>
          <w:rFonts w:ascii="Times New Roman" w:cs="Times New Roman" w:eastAsia="Times New Roman" w:hAnsi="Times New Roman"/>
          <w:sz w:val="21"/>
          <w:szCs w:val="21"/>
          <w:u w:val="single" w:color="auto"/>
          <w:color w:val="auto"/>
        </w:rPr>
        <w:t>No Other Representations or Warranties</w:t>
      </w:r>
      <w:r>
        <w:rPr>
          <w:rFonts w:ascii="Times New Roman" w:cs="Times New Roman" w:eastAsia="Times New Roman" w:hAnsi="Times New Roman"/>
          <w:sz w:val="21"/>
          <w:szCs w:val="21"/>
          <w:color w:val="auto"/>
        </w:rPr>
        <w:t xml:space="preserve">. EXCEPT FOR THE REPRESENTATIONS AND WARRANTIES MADE BY THE SELLER IN THIS </w:t>
      </w:r>
      <w:r>
        <w:rPr>
          <w:rFonts w:ascii="Times New Roman" w:cs="Times New Roman" w:eastAsia="Times New Roman" w:hAnsi="Times New Roman"/>
          <w:sz w:val="21"/>
          <w:szCs w:val="21"/>
          <w:u w:val="single" w:color="auto"/>
          <w:color w:val="auto"/>
        </w:rPr>
        <w:t>ARTICLE IV,</w:t>
      </w:r>
      <w:r>
        <w:rPr>
          <w:rFonts w:ascii="Times New Roman" w:cs="Times New Roman" w:eastAsia="Times New Roman" w:hAnsi="Times New Roman"/>
          <w:sz w:val="21"/>
          <w:szCs w:val="21"/>
          <w:color w:val="auto"/>
        </w:rPr>
        <w:t xml:space="preserve"> IN THE CERTIFICATES REQUIRED TO BE DELIVERED BY THE SELLER UNDER </w:t>
      </w:r>
      <w:r>
        <w:rPr>
          <w:rFonts w:ascii="Times New Roman" w:cs="Times New Roman" w:eastAsia="Times New Roman" w:hAnsi="Times New Roman"/>
          <w:sz w:val="21"/>
          <w:szCs w:val="21"/>
          <w:u w:val="single" w:color="auto"/>
          <w:color w:val="auto"/>
        </w:rPr>
        <w:t>SECTION 8.02</w:t>
      </w:r>
      <w:r>
        <w:rPr>
          <w:rFonts w:ascii="Times New Roman" w:cs="Times New Roman" w:eastAsia="Times New Roman" w:hAnsi="Times New Roman"/>
          <w:sz w:val="21"/>
          <w:szCs w:val="21"/>
          <w:color w:val="auto"/>
        </w:rPr>
        <w:t xml:space="preserve"> AND IN THE OTHER TRANSACTION DOCUMENTS, SELLER HAS NOT MADE AND IS NOT MAKING ANY OTHER EXPRESS OR IMPLIED REPRESENTATION OR WARRANTY WITH RESPECT TO THE TRANSFERRED ASSETS OR THE ASSUMED LIABILITIES OR THE BUSINESS, OPERATIONS, PROPERTIES, ASSETS, LIABILITIES, CONDITION (FINANCIAL OR OTHERWISE) OR PROSPECTS OF THE BUSINESS OR ANY ESTIMATES, PROJECTIONS, FORECASTS AND OTHER FORWARD-LOOKING INFORMATION OR BUSINESS AND STRATEGIC PLAN INFORMATION RELATING TO THE BUSINESS, INCLUDING ANY WARRANTY WITH RESPECT TO MERCHANTABILITY OR FITNESS FOR ANY PARTICULAR PURPOSE, AND ALL OTHER REPRESENTATIONS OR WARRANTIES ARE HEREBY EXPRESSLY DISCLAIMED. IN PARTICULAR, AND WITHOUT LIMITING THE GENERALITY OF THE FOREGOING, EXCEPT FOR THE REPRESENTATIONS AND WARRANTIES MADE BY THE SELLER IN THIS </w:t>
      </w:r>
      <w:r>
        <w:rPr>
          <w:rFonts w:ascii="Times New Roman" w:cs="Times New Roman" w:eastAsia="Times New Roman" w:hAnsi="Times New Roman"/>
          <w:sz w:val="21"/>
          <w:szCs w:val="21"/>
          <w:u w:val="single" w:color="auto"/>
          <w:color w:val="auto"/>
        </w:rPr>
        <w:t>ARTICLE IV,</w:t>
      </w:r>
      <w:r>
        <w:rPr>
          <w:rFonts w:ascii="Times New Roman" w:cs="Times New Roman" w:eastAsia="Times New Roman" w:hAnsi="Times New Roman"/>
          <w:sz w:val="21"/>
          <w:szCs w:val="21"/>
          <w:color w:val="auto"/>
        </w:rPr>
        <w:t xml:space="preserve"> IN THE CERTIFICATES REQUIRED TO BE DELIVERED BY THE SELLER UNDER </w:t>
      </w:r>
      <w:r>
        <w:rPr>
          <w:rFonts w:ascii="Times New Roman" w:cs="Times New Roman" w:eastAsia="Times New Roman" w:hAnsi="Times New Roman"/>
          <w:sz w:val="21"/>
          <w:szCs w:val="21"/>
          <w:u w:val="single" w:color="auto"/>
          <w:color w:val="auto"/>
        </w:rPr>
        <w:t>SECTION 8.02</w:t>
      </w:r>
      <w:r>
        <w:rPr>
          <w:rFonts w:ascii="Times New Roman" w:cs="Times New Roman" w:eastAsia="Times New Roman" w:hAnsi="Times New Roman"/>
          <w:sz w:val="21"/>
          <w:szCs w:val="21"/>
          <w:color w:val="auto"/>
        </w:rPr>
        <w:t xml:space="preserve"> AND IN THE OTHER TRANSACTION DOCUMENTS, SELLER HAS NOT MADE AND IS NOT MAKING ANY EXPRESS OR IMPLIED REPRESENTATION OR WARRANTY TO PURCHASER, ANY OF ITS AFFILIATES OR ANY OF ITS AND THEIR RESPECTIVE REPRESENTATIVES WITH RESPECT TO (A) ANY FINANCIAL PROJECTION, FORECAST, ESTIMATE, BUDGET OR PROSPECTIVE INFORMATION RELATING TO THE BUSINESS OR (B) ANY ORAL, WRITTEN, VIDEO, ELECTRONIC OR OTHER INFORMATION PRESENTED TO PURCHASER, ANY OF ITS AFFILIATES OR ANY OF ITS AND THEIR RESPECTIVE REPRESENTATIVES IN THE COURSE OF THEIR DUE DILIGENCE INVESTIGATION OF THE BUSINESS, THE NEGOTIATION OF THIS AGREEMENT OR THE COURSE OF THE TRANSACTIONS. EXCEPT AS OTHERWISE PROVIDED IN THIS AGREEMENT, ALL OF THE TRANSFERRED ASSETS AND ASSUMED LIABILITIES TO BE SOLD, CONVEYED, ASSIGNED, TRANSFERRED OR ASSUMED, AS APPLICABLE, IN ACCORDANCE WITH THIS AGREEMENT, SHALL BE SOLD, CONVEYED, ASSIGNED, TRANSFERRED OR ASSUMED ON AN “AS IS, WHERE IS” BASIS. EXCEPT FOR THE REPRESENTATIONS AND WARRANTIES EXPRESSLY SET FORTH IN </w:t>
      </w:r>
      <w:r>
        <w:rPr>
          <w:rFonts w:ascii="Times New Roman" w:cs="Times New Roman" w:eastAsia="Times New Roman" w:hAnsi="Times New Roman"/>
          <w:sz w:val="21"/>
          <w:szCs w:val="21"/>
          <w:u w:val="single" w:color="auto"/>
          <w:color w:val="auto"/>
        </w:rPr>
        <w:t>ARTICLE V</w:t>
      </w:r>
      <w:r>
        <w:rPr>
          <w:rFonts w:ascii="Times New Roman" w:cs="Times New Roman" w:eastAsia="Times New Roman" w:hAnsi="Times New Roman"/>
          <w:sz w:val="21"/>
          <w:szCs w:val="21"/>
          <w:color w:val="auto"/>
        </w:rPr>
        <w:t xml:space="preserve"> AND IN THE CERTIFICATES REQUIRED TO BE DELIVERED BY THE PURCHASER UNDER </w:t>
      </w:r>
      <w:r>
        <w:rPr>
          <w:rFonts w:ascii="Times New Roman" w:cs="Times New Roman" w:eastAsia="Times New Roman" w:hAnsi="Times New Roman"/>
          <w:sz w:val="21"/>
          <w:szCs w:val="21"/>
          <w:u w:val="single" w:color="auto"/>
          <w:color w:val="auto"/>
        </w:rPr>
        <w:t>SECTION 8.03</w:t>
      </w:r>
      <w:r>
        <w:rPr>
          <w:rFonts w:ascii="Times New Roman" w:cs="Times New Roman" w:eastAsia="Times New Roman" w:hAnsi="Times New Roman"/>
          <w:sz w:val="21"/>
          <w:szCs w:val="21"/>
          <w:color w:val="auto"/>
        </w:rPr>
        <w:t xml:space="preserve"> OR IN ANY OTHER TRANSACTION DOCUMENT, SELLER HEREBY ACKNOWLEDGES THAT NEITHER PURCHASER, ANY OF ITS AFFILIATES, NOR ANY OTHER PERSON, (A) HAS MADE OR IS MAKING ANY OTHER EXPRESS OR IMPLIED REPRESENTATION OR WARRANTY WITH RESPECT TO PURCHASER AND ITS AFFILIATES OR (B) WILL HAVE OR BE SUBJECT TO ANY LIABILITY OR INDEMNIFICATION OBLIGATION TO ANY MEMBER OF THE SELLER GROUP RESULTING FROM THE DELIVERY, DISSEMINATION OR ANY OTHER DISTRIBUTION TO ANY MEMBER OF THE SELLER GROUP OR ANY OF THEIR RESPECTIVE REPRESENTATIVES (IN ANY FORM WHATSOEVER AND THROUGH ANY MEDIUM WHATSOEVER), OR THE USE BY THE SELLER GROUP OR ANY OF THEIR RESPECTIVE REPRESENTATIVES, OF ANY INFORMATION, DOCUMENTS, ESTIMATES, PROJECTIONS, FORECASTS OR OTHER FORWARD-LOOKING INFORMATION, BUSINESS PLANS OR OTHER MATERIAL DEVELOPED BY OR PROVIDED OR MADE AVAILABLE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- 54 -</w:t>
      </w:r>
    </w:p>
    <w:p>
      <w:pPr>
        <w:sectPr>
          <w:pgSz w:w="11900" w:h="16838" w:orient="portrait"/>
          <w:cols w:equalWidth="0" w:num="1">
            <w:col w:w="11160"/>
          </w:cols>
          <w:pgMar w:left="400" w:top="1422" w:right="339" w:bottom="1440" w:gutter="0" w:footer="0" w:header="0"/>
        </w:sectPr>
      </w:pPr>
    </w:p>
    <w:bookmarkStart w:id="123" w:name="page124"/>
    <w:bookmarkEnd w:id="123"/>
    <w:p>
      <w:pPr>
        <w:jc w:val="both"/>
        <w:spacing w:after="0" w:line="275" w:lineRule="auto"/>
        <w:rPr>
          <w:sz w:val="20"/>
          <w:szCs w:val="20"/>
          <w:color w:val="auto"/>
        </w:rPr>
      </w:pPr>
      <w:r>
        <w:rPr>
          <w:rFonts w:ascii="Times New Roman" w:cs="Times New Roman" w:eastAsia="Times New Roman" w:hAnsi="Times New Roman"/>
          <w:sz w:val="21"/>
          <w:szCs w:val="21"/>
          <w:color w:val="auto"/>
        </w:rPr>
        <w:t xml:space="preserve">SELLER GROUP OR ANY OF THEIR RESPECTIVE REPRESENTATIVES, IN ANTICIPATION OR CONTEMPLATION OF ANY OF THE TRANSACTIONS. NOTWITHSTANDING THE FOREGOING, NOTHING IN THIS </w:t>
      </w:r>
      <w:r>
        <w:rPr>
          <w:rFonts w:ascii="Times New Roman" w:cs="Times New Roman" w:eastAsia="Times New Roman" w:hAnsi="Times New Roman"/>
          <w:sz w:val="21"/>
          <w:szCs w:val="21"/>
          <w:u w:val="single" w:color="auto"/>
          <w:color w:val="auto"/>
        </w:rPr>
        <w:t>Section 4.23</w:t>
      </w:r>
      <w:r>
        <w:rPr>
          <w:rFonts w:ascii="Times New Roman" w:cs="Times New Roman" w:eastAsia="Times New Roman" w:hAnsi="Times New Roman"/>
          <w:sz w:val="21"/>
          <w:szCs w:val="21"/>
          <w:color w:val="auto"/>
        </w:rPr>
        <w:t xml:space="preserve"> SHALL BE DEEMED TO APPLY TO, OR LIMIT IN ANY WAY, SELLER’S RIGHTS AND REMEDIES IN THE CASE OF FRAUD.</w:t>
      </w:r>
    </w:p>
    <w:p>
      <w:pPr>
        <w:spacing w:after="0" w:line="16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ARTICLE V</w:t>
      </w:r>
    </w:p>
    <w:p>
      <w:pPr>
        <w:spacing w:after="0" w:line="260" w:lineRule="exact"/>
        <w:rPr>
          <w:sz w:val="20"/>
          <w:szCs w:val="20"/>
          <w:color w:val="auto"/>
        </w:rPr>
      </w:pPr>
    </w:p>
    <w:p>
      <w:pPr>
        <w:ind w:left="1220" w:right="3680" w:firstLine="2385"/>
        <w:spacing w:after="0" w:line="448" w:lineRule="auto"/>
        <w:rPr>
          <w:sz w:val="20"/>
          <w:szCs w:val="20"/>
          <w:color w:val="auto"/>
        </w:rPr>
      </w:pPr>
      <w:r>
        <w:rPr>
          <w:rFonts w:ascii="Times New Roman" w:cs="Times New Roman" w:eastAsia="Times New Roman" w:hAnsi="Times New Roman"/>
          <w:sz w:val="22"/>
          <w:szCs w:val="22"/>
          <w:u w:val="single" w:color="auto"/>
          <w:color w:val="auto"/>
        </w:rPr>
        <w:t xml:space="preserve">Representations and Warranties of Purchaser </w:t>
      </w:r>
      <w:r>
        <w:rPr>
          <w:rFonts w:ascii="Times New Roman" w:cs="Times New Roman" w:eastAsia="Times New Roman" w:hAnsi="Times New Roman"/>
          <w:sz w:val="22"/>
          <w:szCs w:val="22"/>
          <w:color w:val="auto"/>
        </w:rPr>
        <w:t>Purchaser represents and warrants to the Seller:</w:t>
      </w:r>
    </w:p>
    <w:p>
      <w:pPr>
        <w:spacing w:after="0" w:line="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5.01 </w:t>
      </w:r>
      <w:r>
        <w:rPr>
          <w:rFonts w:ascii="Times New Roman" w:cs="Times New Roman" w:eastAsia="Times New Roman" w:hAnsi="Times New Roman"/>
          <w:sz w:val="22"/>
          <w:szCs w:val="22"/>
          <w:u w:val="single" w:color="auto"/>
          <w:color w:val="auto"/>
        </w:rPr>
        <w:t>Organization; Standing</w:t>
      </w:r>
      <w:r>
        <w:rPr>
          <w:rFonts w:ascii="Times New Roman" w:cs="Times New Roman" w:eastAsia="Times New Roman" w:hAnsi="Times New Roman"/>
          <w:sz w:val="22"/>
          <w:szCs w:val="22"/>
          <w:color w:val="auto"/>
        </w:rPr>
        <w:t>. Purchaser and each of its Affiliates that is or will be party to any Transaction Document (each, a “</w:t>
      </w:r>
      <w:r>
        <w:rPr>
          <w:rFonts w:ascii="Times New Roman" w:cs="Times New Roman" w:eastAsia="Times New Roman" w:hAnsi="Times New Roman"/>
          <w:sz w:val="22"/>
          <w:szCs w:val="22"/>
          <w:u w:val="single" w:color="auto"/>
          <w:color w:val="auto"/>
        </w:rPr>
        <w:t>Purchaser Entity</w:t>
      </w:r>
      <w:r>
        <w:rPr>
          <w:rFonts w:ascii="Times New Roman" w:cs="Times New Roman" w:eastAsia="Times New Roman" w:hAnsi="Times New Roman"/>
          <w:sz w:val="22"/>
          <w:szCs w:val="22"/>
          <w:color w:val="auto"/>
        </w:rPr>
        <w:t>”) is an entity duly organized, validly existing and in good standing (where such concept is recognized under applicable Law) under the Laws of the jurisdiction of its organization and has all requisite power and authority necessary to carry on its business as it is now being conducted, except (other than with respect to such entity’s due organization and valid existence) as would not have a Purchaser Material Adverse Effect.</w:t>
      </w:r>
    </w:p>
    <w:p>
      <w:pPr>
        <w:spacing w:after="0" w:line="179"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5.02 </w:t>
      </w:r>
      <w:r>
        <w:rPr>
          <w:rFonts w:ascii="Times New Roman" w:cs="Times New Roman" w:eastAsia="Times New Roman" w:hAnsi="Times New Roman"/>
          <w:sz w:val="22"/>
          <w:szCs w:val="22"/>
          <w:u w:val="single" w:color="auto"/>
          <w:color w:val="auto"/>
        </w:rPr>
        <w:t>Authority</w:t>
      </w:r>
      <w:r>
        <w:rPr>
          <w:rFonts w:ascii="Times New Roman" w:cs="Times New Roman" w:eastAsia="Times New Roman" w:hAnsi="Times New Roman"/>
          <w:sz w:val="22"/>
          <w:szCs w:val="22"/>
          <w:color w:val="auto"/>
        </w:rPr>
        <w:t>. Each Purchaser Entity has all necessary power and authority to execute and deliver this Agreement and the Transaction Documents to which such Purchaser Entity is or will be a party and to perform its respective obligations hereunder and thereunder and to consummate the applicable Transactions. The execution, delivery and performance by each Purchaser Entity of this Agreement and the Transaction Documents to which such Purchaser Entity is or will be a party, and the consummation by it of the Transactions, have been or will be duly authorized by such Purchaser Entity and no other corporate or similar action on the part of such Purchaser Entity is necessary to authorize the execution, delivery and performance by such Purchaser Entity of this Agreement or the Transaction Documents to which such Purchaser Entity is or will be a party and the consummation by it of the applicable Transactions. This Agreement has been, and each of the other Transaction Documents to which a Purchaser Entity is or will be a party has been or will be, as applicable, duly executed and delivered by each Purchaser Entity party thereto and, assuming the due authorization, execution and delivery hereof or thereof by the Seller or its applicable Affiliate, each constitutes (or upon the due authorization, execution and delivery hereof or thereof by Seller or its applicable Affiliate will constitute) a legal, valid and binding obligation of each Purchaser Entity party thereto, enforceable against such Purchaser Entity in accordance with its terms, except insofar as such enforceability may be limited by the Enforceability Exceptions.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- 55 -</w:t>
      </w:r>
    </w:p>
    <w:p>
      <w:pPr>
        <w:sectPr>
          <w:pgSz w:w="11900" w:h="16838" w:orient="portrait"/>
          <w:cols w:equalWidth="0" w:num="1">
            <w:col w:w="11160"/>
          </w:cols>
          <w:pgMar w:left="400" w:top="1422" w:right="339" w:bottom="1440" w:gutter="0" w:footer="0" w:header="0"/>
        </w:sectPr>
      </w:pPr>
    </w:p>
    <w:bookmarkStart w:id="124" w:name="page125"/>
    <w:bookmarkEnd w:id="124"/>
    <w:p>
      <w:pPr>
        <w:ind w:left="1156"/>
        <w:spacing w:after="0"/>
        <w:tabs>
          <w:tab w:leader="none" w:pos="2436" w:val="left"/>
        </w:tabs>
        <w:rPr>
          <w:sz w:val="20"/>
          <w:szCs w:val="20"/>
          <w:color w:val="auto"/>
        </w:rPr>
      </w:pPr>
      <w:r>
        <w:rPr>
          <w:rFonts w:ascii="Times New Roman" w:cs="Times New Roman" w:eastAsia="Times New Roman" w:hAnsi="Times New Roman"/>
          <w:sz w:val="22"/>
          <w:szCs w:val="22"/>
          <w:color w:val="auto"/>
        </w:rPr>
        <w:t>Section 5.03</w:t>
      </w:r>
      <w:r>
        <w:rPr>
          <w:sz w:val="20"/>
          <w:szCs w:val="20"/>
          <w:color w:val="auto"/>
        </w:rPr>
        <w:tab/>
      </w:r>
      <w:r>
        <w:rPr>
          <w:rFonts w:ascii="Times New Roman" w:cs="Times New Roman" w:eastAsia="Times New Roman" w:hAnsi="Times New Roman"/>
          <w:sz w:val="21"/>
          <w:szCs w:val="21"/>
          <w:u w:val="single" w:color="auto"/>
          <w:color w:val="auto"/>
        </w:rPr>
        <w:t>Noncontravention; Governmental Approvals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224" w:firstLine="1304"/>
        <w:spacing w:after="0" w:line="250" w:lineRule="auto"/>
        <w:tabs>
          <w:tab w:leader="none" w:pos="156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execution, delivery and performance of this Agreement by Purchaser and any Transaction Document to which any Purchaser Entity is or will be a party, and the consummation of the Transactions, do not and will not, (i) conflict with or violate any provision of the organizational documents of such Purchaser Entity or (ii) assuming compliance with the matters set forth in </w:t>
      </w:r>
      <w:r>
        <w:rPr>
          <w:rFonts w:ascii="Times New Roman" w:cs="Times New Roman" w:eastAsia="Times New Roman" w:hAnsi="Times New Roman"/>
          <w:sz w:val="22"/>
          <w:szCs w:val="22"/>
          <w:u w:val="single" w:color="auto"/>
          <w:color w:val="auto"/>
        </w:rPr>
        <w:t>Section 5.03(b)</w:t>
      </w:r>
      <w:r>
        <w:rPr>
          <w:rFonts w:ascii="Times New Roman" w:cs="Times New Roman" w:eastAsia="Times New Roman" w:hAnsi="Times New Roman"/>
          <w:sz w:val="22"/>
          <w:szCs w:val="22"/>
          <w:color w:val="auto"/>
        </w:rPr>
        <w:t>, (A) violate any Law or Judgment applicable to such Purchaser Entity or (B) violate or constitute a default under any of the terms, conditions or provisions of any Contract to which such Purchaser Entity is a party or give rise to a right of termination, cancelation or acceleration or loss of a material benefit under any such Contract, except, in the case of the foregoing clause (ii), as would not reasonably be expected to have a Purchaser Material Adverse Effect.</w:t>
      </w:r>
    </w:p>
    <w:p>
      <w:pPr>
        <w:spacing w:after="0" w:line="193" w:lineRule="exact"/>
        <w:rPr>
          <w:rFonts w:ascii="Times New Roman" w:cs="Times New Roman" w:eastAsia="Times New Roman" w:hAnsi="Times New Roman"/>
          <w:sz w:val="22"/>
          <w:szCs w:val="22"/>
          <w:color w:val="auto"/>
        </w:rPr>
      </w:pPr>
    </w:p>
    <w:p>
      <w:pPr>
        <w:jc w:val="both"/>
        <w:ind w:left="-224" w:firstLine="1304"/>
        <w:spacing w:after="0" w:line="263" w:lineRule="auto"/>
        <w:tabs>
          <w:tab w:leader="none" w:pos="1552"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for (i) filings, clearances, consents or approvals required under, and compliance with other applicable requirements of, the HSR Act and the other Antitrust Laws set forth in </w:t>
      </w:r>
      <w:r>
        <w:rPr>
          <w:rFonts w:ascii="Times New Roman" w:cs="Times New Roman" w:eastAsia="Times New Roman" w:hAnsi="Times New Roman"/>
          <w:sz w:val="21"/>
          <w:szCs w:val="21"/>
          <w:u w:val="single" w:color="auto"/>
          <w:color w:val="auto"/>
        </w:rPr>
        <w:t>Section 4.03</w:t>
      </w:r>
      <w:r>
        <w:rPr>
          <w:rFonts w:ascii="Times New Roman" w:cs="Times New Roman" w:eastAsia="Times New Roman" w:hAnsi="Times New Roman"/>
          <w:sz w:val="21"/>
          <w:szCs w:val="21"/>
          <w:color w:val="auto"/>
        </w:rPr>
        <w:t xml:space="preserve"> of the Disclosure Letter, and (ii) filings, clearances, consents or approvals that may be required solely by reason of Seller’s (as opposed to any third party’s) participation in the Transactions, no Consent of any Governmental Authority is necessary for the execution and delivery of this Agreement or any other Transaction Document to which such Purchaser Entity is or will be a party, the performance by such Purchaser Entity of its obligations hereunder or thereunder and the consummation by such Purchaser Entity of the Transactions.</w:t>
      </w:r>
    </w:p>
    <w:p>
      <w:pPr>
        <w:spacing w:after="0" w:line="181" w:lineRule="exact"/>
        <w:rPr>
          <w:sz w:val="20"/>
          <w:szCs w:val="20"/>
          <w:color w:val="auto"/>
        </w:rPr>
      </w:pPr>
    </w:p>
    <w:p>
      <w:pPr>
        <w:ind w:left="1156"/>
        <w:spacing w:after="0"/>
        <w:tabs>
          <w:tab w:leader="none" w:pos="2436" w:val="left"/>
        </w:tabs>
        <w:rPr>
          <w:sz w:val="20"/>
          <w:szCs w:val="20"/>
          <w:color w:val="auto"/>
        </w:rPr>
      </w:pPr>
      <w:r>
        <w:rPr>
          <w:rFonts w:ascii="Times New Roman" w:cs="Times New Roman" w:eastAsia="Times New Roman" w:hAnsi="Times New Roman"/>
          <w:sz w:val="22"/>
          <w:szCs w:val="22"/>
          <w:color w:val="auto"/>
        </w:rPr>
        <w:t>Section 5.04</w:t>
      </w:r>
      <w:r>
        <w:rPr>
          <w:sz w:val="20"/>
          <w:szCs w:val="20"/>
          <w:color w:val="auto"/>
        </w:rPr>
        <w:tab/>
      </w:r>
      <w:r>
        <w:rPr>
          <w:rFonts w:ascii="Times New Roman" w:cs="Times New Roman" w:eastAsia="Times New Roman" w:hAnsi="Times New Roman"/>
          <w:sz w:val="21"/>
          <w:szCs w:val="21"/>
          <w:u w:val="single" w:color="auto"/>
          <w:color w:val="auto"/>
        </w:rPr>
        <w:t>Financing</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224" w:firstLine="1304"/>
        <w:spacing w:after="0" w:line="247" w:lineRule="auto"/>
        <w:tabs>
          <w:tab w:leader="none" w:pos="1529"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date of this Agreement, Purchaser has delivered to Seller (a) an executed equity commitment letter, dated as of the date of this Agreement, from the investors party thereto (the “</w:t>
      </w:r>
      <w:r>
        <w:rPr>
          <w:rFonts w:ascii="Times New Roman" w:cs="Times New Roman" w:eastAsia="Times New Roman" w:hAnsi="Times New Roman"/>
          <w:sz w:val="22"/>
          <w:szCs w:val="22"/>
          <w:u w:val="single" w:color="auto"/>
          <w:color w:val="auto"/>
        </w:rPr>
        <w:t>Equity Commitment Letter</w:t>
      </w:r>
      <w:r>
        <w:rPr>
          <w:rFonts w:ascii="Times New Roman" w:cs="Times New Roman" w:eastAsia="Times New Roman" w:hAnsi="Times New Roman"/>
          <w:sz w:val="22"/>
          <w:szCs w:val="22"/>
          <w:color w:val="auto"/>
        </w:rPr>
        <w:t>”), pursuant to which such investors have committed, on the terms and subject to the conditions set forth therein, to provide or, cause to be provided, to Purchaser the amounts set forth therein (the “</w:t>
      </w:r>
      <w:r>
        <w:rPr>
          <w:rFonts w:ascii="Times New Roman" w:cs="Times New Roman" w:eastAsia="Times New Roman" w:hAnsi="Times New Roman"/>
          <w:sz w:val="22"/>
          <w:szCs w:val="22"/>
          <w:u w:val="single" w:color="auto"/>
          <w:color w:val="auto"/>
        </w:rPr>
        <w:t>Equity Financing</w:t>
      </w:r>
      <w:r>
        <w:rPr>
          <w:rFonts w:ascii="Times New Roman" w:cs="Times New Roman" w:eastAsia="Times New Roman" w:hAnsi="Times New Roman"/>
          <w:sz w:val="22"/>
          <w:szCs w:val="22"/>
          <w:color w:val="auto"/>
        </w:rPr>
        <w:t>”), and (b) an executed (i) debt commitment letter governing a term loan credit facility (the “</w:t>
      </w:r>
      <w:r>
        <w:rPr>
          <w:rFonts w:ascii="Times New Roman" w:cs="Times New Roman" w:eastAsia="Times New Roman" w:hAnsi="Times New Roman"/>
          <w:sz w:val="22"/>
          <w:szCs w:val="22"/>
          <w:u w:val="single" w:color="auto"/>
          <w:color w:val="auto"/>
        </w:rPr>
        <w:t>Term Loan Commitment Letter</w:t>
      </w:r>
      <w:r>
        <w:rPr>
          <w:rFonts w:ascii="Times New Roman" w:cs="Times New Roman" w:eastAsia="Times New Roman" w:hAnsi="Times New Roman"/>
          <w:sz w:val="22"/>
          <w:szCs w:val="22"/>
          <w:color w:val="auto"/>
        </w:rPr>
        <w:t>”) and (ii) debt commitment letter governing an asset-based revolving credit facility (the “</w:t>
      </w:r>
      <w:r>
        <w:rPr>
          <w:rFonts w:ascii="Times New Roman" w:cs="Times New Roman" w:eastAsia="Times New Roman" w:hAnsi="Times New Roman"/>
          <w:sz w:val="22"/>
          <w:szCs w:val="22"/>
          <w:u w:val="single" w:color="auto"/>
          <w:color w:val="auto"/>
        </w:rPr>
        <w:t>ABL Commitment Letter</w:t>
      </w:r>
      <w:r>
        <w:rPr>
          <w:rFonts w:ascii="Times New Roman" w:cs="Times New Roman" w:eastAsia="Times New Roman" w:hAnsi="Times New Roman"/>
          <w:sz w:val="22"/>
          <w:szCs w:val="22"/>
          <w:color w:val="auto"/>
        </w:rPr>
        <w:t>”), in each case, dated as of the date of this Agreement, from the Financing Sources named therein (each of the Term Loan Commitment Letter and the ABL Commitment Letter, a “</w:t>
      </w:r>
      <w:r>
        <w:rPr>
          <w:rFonts w:ascii="Times New Roman" w:cs="Times New Roman" w:eastAsia="Times New Roman" w:hAnsi="Times New Roman"/>
          <w:sz w:val="22"/>
          <w:szCs w:val="22"/>
          <w:u w:val="single" w:color="auto"/>
          <w:color w:val="auto"/>
        </w:rPr>
        <w:t>Debt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Commitment Letter</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Debt Commitment Letters</w:t>
      </w:r>
      <w:r>
        <w:rPr>
          <w:rFonts w:ascii="Times New Roman" w:cs="Times New Roman" w:eastAsia="Times New Roman" w:hAnsi="Times New Roman"/>
          <w:sz w:val="22"/>
          <w:szCs w:val="22"/>
          <w:color w:val="auto"/>
        </w:rPr>
        <w:t>”, and together with the Equity Commitment Letter, the “</w:t>
      </w:r>
      <w:r>
        <w:rPr>
          <w:rFonts w:ascii="Times New Roman" w:cs="Times New Roman" w:eastAsia="Times New Roman" w:hAnsi="Times New Roman"/>
          <w:sz w:val="22"/>
          <w:szCs w:val="22"/>
          <w:u w:val="single" w:color="auto"/>
          <w:color w:val="auto"/>
        </w:rPr>
        <w:t>Financing Commitment Letters</w:t>
      </w:r>
      <w:r>
        <w:rPr>
          <w:rFonts w:ascii="Times New Roman" w:cs="Times New Roman" w:eastAsia="Times New Roman" w:hAnsi="Times New Roman"/>
          <w:sz w:val="22"/>
          <w:szCs w:val="22"/>
          <w:color w:val="auto"/>
        </w:rPr>
        <w:t>”), pursuant to which such Financing Sources have committed, on the terms and subject to the conditions set forth therein, to provide or, cause to be provided, to Purchaser the Debt Financing in the amount set forth therein (collectively, the “</w:t>
      </w:r>
      <w:r>
        <w:rPr>
          <w:rFonts w:ascii="Times New Roman" w:cs="Times New Roman" w:eastAsia="Times New Roman" w:hAnsi="Times New Roman"/>
          <w:sz w:val="22"/>
          <w:szCs w:val="22"/>
          <w:u w:val="single" w:color="auto"/>
          <w:color w:val="auto"/>
        </w:rPr>
        <w:t>Debt Financing</w:t>
      </w:r>
      <w:r>
        <w:rPr>
          <w:rFonts w:ascii="Times New Roman" w:cs="Times New Roman" w:eastAsia="Times New Roman" w:hAnsi="Times New Roman"/>
          <w:sz w:val="22"/>
          <w:szCs w:val="22"/>
          <w:color w:val="auto"/>
        </w:rPr>
        <w:t>”, and together with the Equity Financing, the “</w:t>
      </w:r>
      <w:r>
        <w:rPr>
          <w:rFonts w:ascii="Times New Roman" w:cs="Times New Roman" w:eastAsia="Times New Roman" w:hAnsi="Times New Roman"/>
          <w:sz w:val="22"/>
          <w:szCs w:val="22"/>
          <w:u w:val="single" w:color="auto"/>
          <w:color w:val="auto"/>
        </w:rPr>
        <w:t>Financing</w:t>
      </w:r>
      <w:r>
        <w:rPr>
          <w:rFonts w:ascii="Times New Roman" w:cs="Times New Roman" w:eastAsia="Times New Roman" w:hAnsi="Times New Roman"/>
          <w:sz w:val="22"/>
          <w:szCs w:val="22"/>
          <w:color w:val="auto"/>
        </w:rPr>
        <w:t xml:space="preserve">”). A true and complete copy of each fee letter related to any Debt Commitment Letter, to the extent applicable, as in effect on the date of this Agreement has been provided to the Seller, except that any fee amounts, any market flex provisions and any other economic terms or other commercially sensitive terms identified by the Financing Sources may have been redacted;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no such redacted provisions would adversely affect the conditionality or availability of the funding of the Debt Financing at the Closing. Purchaser has fully paid (or cause to be paid) any and all commitment fees or other fees required by the Financing Commitment Letters to be paid on or before the date of this Agreement. As of the date of this Agreement, each of the Financing Commitment Letters is in full force and effect, and represents valid, binding and enforceable obligations of Purchaser and, to the Knowledge of Purchaser, of each other party thereto, in</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2" w:lineRule="exact"/>
        <w:rPr>
          <w:rFonts w:ascii="Times New Roman" w:cs="Times New Roman" w:eastAsia="Times New Roman" w:hAnsi="Times New Roman"/>
          <w:sz w:val="22"/>
          <w:szCs w:val="22"/>
          <w:color w:val="auto"/>
        </w:rPr>
      </w:pPr>
    </w:p>
    <w:p>
      <w:pPr>
        <w:ind w:left="136" w:hanging="136"/>
        <w:spacing w:after="0"/>
        <w:tabs>
          <w:tab w:leader="none" w:pos="136"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56 -</w:t>
      </w:r>
    </w:p>
    <w:p>
      <w:pPr>
        <w:sectPr>
          <w:pgSz w:w="11900" w:h="16838" w:orient="portrait"/>
          <w:cols w:equalWidth="0" w:num="1">
            <w:col w:w="11016"/>
          </w:cols>
          <w:pgMar w:left="544" w:top="1422" w:right="339" w:bottom="1440" w:gutter="0" w:footer="0" w:header="0"/>
        </w:sectPr>
      </w:pPr>
    </w:p>
    <w:bookmarkStart w:id="125" w:name="page126"/>
    <w:bookmarkEnd w:id="125"/>
    <w:p>
      <w:pPr>
        <w:jc w:val="both"/>
        <w:spacing w:after="0" w:line="259" w:lineRule="auto"/>
        <w:rPr>
          <w:sz w:val="20"/>
          <w:szCs w:val="20"/>
          <w:color w:val="auto"/>
        </w:rPr>
      </w:pPr>
      <w:r>
        <w:rPr>
          <w:rFonts w:ascii="Times New Roman" w:cs="Times New Roman" w:eastAsia="Times New Roman" w:hAnsi="Times New Roman"/>
          <w:sz w:val="21"/>
          <w:szCs w:val="21"/>
          <w:color w:val="auto"/>
        </w:rPr>
        <w:t>each case, subject to the Enforceability Exceptions. As of the date of this Agreement, there are no conditions precedent related to the availability and funding of the Debt Financing or the Equity Financing, in each case, other than as expressly set forth in the Financing Commitment Letters (such express conditions, collectively, the “</w:t>
      </w:r>
      <w:r>
        <w:rPr>
          <w:rFonts w:ascii="Times New Roman" w:cs="Times New Roman" w:eastAsia="Times New Roman" w:hAnsi="Times New Roman"/>
          <w:sz w:val="21"/>
          <w:szCs w:val="21"/>
          <w:u w:val="single" w:color="auto"/>
          <w:color w:val="auto"/>
        </w:rPr>
        <w:t>Financing Conditions</w:t>
      </w:r>
      <w:r>
        <w:rPr>
          <w:rFonts w:ascii="Times New Roman" w:cs="Times New Roman" w:eastAsia="Times New Roman" w:hAnsi="Times New Roman"/>
          <w:sz w:val="21"/>
          <w:szCs w:val="21"/>
          <w:color w:val="auto"/>
        </w:rPr>
        <w:t xml:space="preserve">”). As of the date of this Agreement, none of the respective commitments contained in the Equity Commitment Letter or any Debt Commitment Letter has been withdrawn, rescinded or terminated in any respect. As of the date of this Agreement, Purchaser has not entered into any agreement relating to the Financing that adversely affects the conditions precedent to the funding of the Financing, other than as set forth in the Financing Commitment Letters (and any fee letters related to any Debt Commitment Letter). As of the date of this Agreement, no Financing Source has notified Purchaser or any of its Affiliates of such Financing Source’s intention to terminate or withdraw any of the Debt Financing. As of the date of this Agreement and assuming the satisfaction of the conditions set forth in </w:t>
      </w:r>
      <w:r>
        <w:rPr>
          <w:rFonts w:ascii="Times New Roman" w:cs="Times New Roman" w:eastAsia="Times New Roman" w:hAnsi="Times New Roman"/>
          <w:sz w:val="21"/>
          <w:szCs w:val="21"/>
          <w:u w:val="single" w:color="auto"/>
          <w:color w:val="auto"/>
        </w:rPr>
        <w:t>Section 8.01</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8.02</w:t>
      </w:r>
      <w:r>
        <w:rPr>
          <w:rFonts w:ascii="Times New Roman" w:cs="Times New Roman" w:eastAsia="Times New Roman" w:hAnsi="Times New Roman"/>
          <w:sz w:val="21"/>
          <w:szCs w:val="21"/>
          <w:color w:val="auto"/>
        </w:rPr>
        <w:t xml:space="preserve">, no event has occurred that, with or without notice, lapse of time or both, would constitute a default or breach on the part of Purchaser or, to the Knowledge of the Purchaser, any other party thereto under the Financing Commitment Letters that would in either case result in the failure of the funding obligations thereunder on the Closing Date. Assuming the satisfaction of the conditions set forth in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 the aggregate proceeds contemplated by the Financing pursuant to the Financing Commitment Letters will be sufficient for Purchaser to pay the Closing Purchase Price and all fees and expenses required to be paid by Purchaser on the Closing Date pursuant to this Agreement (such amount, the “</w:t>
      </w:r>
      <w:r>
        <w:rPr>
          <w:rFonts w:ascii="Times New Roman" w:cs="Times New Roman" w:eastAsia="Times New Roman" w:hAnsi="Times New Roman"/>
          <w:sz w:val="21"/>
          <w:szCs w:val="21"/>
          <w:u w:val="single" w:color="auto"/>
          <w:color w:val="auto"/>
        </w:rPr>
        <w:t>Required Funding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Amount</w:t>
      </w:r>
      <w:r>
        <w:rPr>
          <w:rFonts w:ascii="Times New Roman" w:cs="Times New Roman" w:eastAsia="Times New Roman" w:hAnsi="Times New Roman"/>
          <w:sz w:val="21"/>
          <w:szCs w:val="21"/>
          <w:color w:val="auto"/>
        </w:rPr>
        <w:t xml:space="preserve">”). As of the date of this Agreement and assuming the satisfaction of the conditions set forth in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 Purchaser has no reason to believe that any of the Financing Conditions will not be satisfied on a timely basis or that the Financing will not be available to Purchaser in an amount sufficient to fund the Required Funding Amount on the Closing Date.</w:t>
      </w:r>
    </w:p>
    <w:p>
      <w:pPr>
        <w:spacing w:after="0" w:line="183" w:lineRule="exact"/>
        <w:rPr>
          <w:sz w:val="20"/>
          <w:szCs w:val="20"/>
          <w:color w:val="auto"/>
        </w:rPr>
      </w:pPr>
    </w:p>
    <w:p>
      <w:pPr>
        <w:jc w:val="both"/>
        <w:ind w:firstLine="1304"/>
        <w:spacing w:after="0" w:line="266" w:lineRule="auto"/>
        <w:tabs>
          <w:tab w:leader="none" w:pos="1821"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of the date of this Agreement, Purchaser or an Affiliate thereof has delivered to the Seller an executed Limited Guaranty in form and substance reasonably acceptable to the Seller. The Limited Guaranty is valid and binding and in full force and effect, enforceable against Purchaser’s Affiliate(s) that are party thereto (the “</w:t>
      </w:r>
      <w:r>
        <w:rPr>
          <w:rFonts w:ascii="Times New Roman" w:cs="Times New Roman" w:eastAsia="Times New Roman" w:hAnsi="Times New Roman"/>
          <w:sz w:val="21"/>
          <w:szCs w:val="21"/>
          <w:u w:val="single" w:color="auto"/>
          <w:color w:val="auto"/>
        </w:rPr>
        <w:t>Guarantors</w:t>
      </w:r>
      <w:r>
        <w:rPr>
          <w:rFonts w:ascii="Times New Roman" w:cs="Times New Roman" w:eastAsia="Times New Roman" w:hAnsi="Times New Roman"/>
          <w:sz w:val="21"/>
          <w:szCs w:val="21"/>
          <w:color w:val="auto"/>
        </w:rPr>
        <w:t>”), subject to the Enforceability Exceptions. The Guarantors are not in default of or breach under any of the terms or conditions of the Limited Guaranty, and no event has occurred that, with or without notice, lapse of time or both, would or would reasonably be expected to constitute a default of or breach or a failure to satisfy a condition under the terms and conditions of the Limited Guaranty. The Guarantors have access to sufficient capital to satisfy the full amount of the guaranteed obligations under the Limited Guaranty.</w:t>
      </w:r>
    </w:p>
    <w:p>
      <w:pPr>
        <w:spacing w:after="0" w:line="165" w:lineRule="exact"/>
        <w:rPr>
          <w:sz w:val="20"/>
          <w:szCs w:val="20"/>
          <w:color w:val="auto"/>
        </w:rPr>
      </w:pPr>
    </w:p>
    <w:p>
      <w:pPr>
        <w:jc w:val="both"/>
        <w:ind w:left="80" w:firstLine="1296"/>
        <w:spacing w:after="0" w:line="260" w:lineRule="auto"/>
        <w:rPr>
          <w:sz w:val="20"/>
          <w:szCs w:val="20"/>
          <w:color w:val="auto"/>
        </w:rPr>
      </w:pPr>
      <w:r>
        <w:rPr>
          <w:rFonts w:ascii="Times New Roman" w:cs="Times New Roman" w:eastAsia="Times New Roman" w:hAnsi="Times New Roman"/>
          <w:sz w:val="21"/>
          <w:szCs w:val="21"/>
          <w:color w:val="auto"/>
        </w:rPr>
        <w:t xml:space="preserve">Section 5.05 </w:t>
      </w:r>
      <w:r>
        <w:rPr>
          <w:rFonts w:ascii="Times New Roman" w:cs="Times New Roman" w:eastAsia="Times New Roman" w:hAnsi="Times New Roman"/>
          <w:sz w:val="21"/>
          <w:szCs w:val="21"/>
          <w:u w:val="single" w:color="auto"/>
          <w:color w:val="auto"/>
        </w:rPr>
        <w:t>Solvency</w:t>
      </w:r>
      <w:r>
        <w:rPr>
          <w:rFonts w:ascii="Times New Roman" w:cs="Times New Roman" w:eastAsia="Times New Roman" w:hAnsi="Times New Roman"/>
          <w:sz w:val="21"/>
          <w:szCs w:val="21"/>
          <w:color w:val="auto"/>
        </w:rPr>
        <w:t xml:space="preserve">. Assuming (a) satisfaction or waiver of the conditions to Purchaser’s obligation to consummate the Transactions, (b) the accuracy of the representations and warranties of the Seller set forth in </w:t>
      </w:r>
      <w:r>
        <w:rPr>
          <w:rFonts w:ascii="Times New Roman" w:cs="Times New Roman" w:eastAsia="Times New Roman" w:hAnsi="Times New Roman"/>
          <w:sz w:val="21"/>
          <w:szCs w:val="21"/>
          <w:u w:val="single" w:color="auto"/>
          <w:color w:val="auto"/>
        </w:rPr>
        <w:t>Article IV</w:t>
      </w:r>
      <w:r>
        <w:rPr>
          <w:rFonts w:ascii="Times New Roman" w:cs="Times New Roman" w:eastAsia="Times New Roman" w:hAnsi="Times New Roman"/>
          <w:sz w:val="21"/>
          <w:szCs w:val="21"/>
          <w:color w:val="auto"/>
        </w:rPr>
        <w:t xml:space="preserve"> (without giving effect to any materiality, “Material Adverse Effect”, knowledge or similar qualifications set forth therein), (c) the Seller Group, as is relates to the Business, is, as of immediately prior to the Closing, Solvent, and (d) the Seller has complied in all material respects with all of the covenants and agreements set forth in this Agreement required to be performed by the Seller at or prior to the Closing, then after giving effect to the Transactions and the payment of the Closing Purchase Price (and including any Financing being entered into in connection therewith), any other repayment or refinancing of debt contemplated in this Agreement, payment of all amounts required to be paid by Purchaser in connection with the consummation of the Transactions, and payment of all related fees and expenses of Purchaser, Purchaser and its Subsidiaries, on a consolidated basis taken as a whole, will be Solvent immediately after the completion of the Closing. For the purposes of this Agreement,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- 57 -</w:t>
      </w:r>
    </w:p>
    <w:p>
      <w:pPr>
        <w:sectPr>
          <w:pgSz w:w="11900" w:h="16838" w:orient="portrait"/>
          <w:cols w:equalWidth="0" w:num="1">
            <w:col w:w="11240"/>
          </w:cols>
          <w:pgMar w:left="320" w:top="1422" w:right="339" w:bottom="1440" w:gutter="0" w:footer="0" w:header="0"/>
        </w:sectPr>
      </w:pPr>
    </w:p>
    <w:bookmarkStart w:id="126" w:name="page127"/>
    <w:bookmarkEnd w:id="126"/>
    <w:p>
      <w:pPr>
        <w:jc w:val="both"/>
        <w:spacing w:after="0" w:line="262" w:lineRule="auto"/>
        <w:rPr>
          <w:sz w:val="20"/>
          <w:szCs w:val="20"/>
          <w:color w:val="auto"/>
        </w:rPr>
      </w:pPr>
      <w:r>
        <w:rPr>
          <w:rFonts w:ascii="Times New Roman" w:cs="Times New Roman" w:eastAsia="Times New Roman" w:hAnsi="Times New Roman"/>
          <w:sz w:val="21"/>
          <w:szCs w:val="21"/>
          <w:color w:val="auto"/>
        </w:rPr>
        <w:t>term “</w:t>
      </w:r>
      <w:r>
        <w:rPr>
          <w:rFonts w:ascii="Times New Roman" w:cs="Times New Roman" w:eastAsia="Times New Roman" w:hAnsi="Times New Roman"/>
          <w:sz w:val="21"/>
          <w:szCs w:val="21"/>
          <w:u w:val="single" w:color="auto"/>
          <w:color w:val="auto"/>
        </w:rPr>
        <w:t>Solvent</w:t>
      </w:r>
      <w:r>
        <w:rPr>
          <w:rFonts w:ascii="Times New Roman" w:cs="Times New Roman" w:eastAsia="Times New Roman" w:hAnsi="Times New Roman"/>
          <w:sz w:val="21"/>
          <w:szCs w:val="21"/>
          <w:color w:val="auto"/>
        </w:rPr>
        <w:t>”, when used with respect to any Person and its Subsidiaries, on a consolidated basis, means that, as of any date of determination, (a) the amount of the “fair saleable value” of the assets of such Person and its Subsidiaries, on a consolidated basis, will, as of such date, exceed the value of all “liabilities of such Person and its Subsidiaries, on a consolidated basis, including contingent and other liabilities”, as of such date, as such quoted terms are generally determined in accordance with applicable Laws governing determinations of the insolvency of debtors, (b) such Person and its Subsidiaries, on a consolidated basis, will not have, as of such date, an unreasonably small amount of capital for the operation of the businesses in which they are engaged or proposed to be engaged following such date, and (c) such Person and its Subsidiaries, on a consolidated basis, will be able to pay their liabilities, including contingent and other liabilities, as they mature.</w:t>
      </w:r>
    </w:p>
    <w:p>
      <w:pPr>
        <w:spacing w:after="0" w:line="18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Section 5.06 </w:t>
      </w:r>
      <w:r>
        <w:rPr>
          <w:rFonts w:ascii="Times New Roman" w:cs="Times New Roman" w:eastAsia="Times New Roman" w:hAnsi="Times New Roman"/>
          <w:sz w:val="22"/>
          <w:szCs w:val="22"/>
          <w:u w:val="single" w:color="auto"/>
          <w:color w:val="auto"/>
        </w:rPr>
        <w:t>Brokers and Other Advisors</w:t>
      </w:r>
      <w:r>
        <w:rPr>
          <w:rFonts w:ascii="Times New Roman" w:cs="Times New Roman" w:eastAsia="Times New Roman" w:hAnsi="Times New Roman"/>
          <w:sz w:val="22"/>
          <w:szCs w:val="22"/>
          <w:color w:val="auto"/>
        </w:rPr>
        <w:t>. No broker, investment banker, financial advisor or other Person is entitled to any broker’s, finder’s, financial advisor’s or other similar fee or commission, or the reimbursement of expenses in connection therewith, in connection with the Transactions based upon arrangements made by or on behalf of Purchaser and for which Seller or any of its Affiliates would have any Liability.</w:t>
      </w:r>
    </w:p>
    <w:p>
      <w:pPr>
        <w:spacing w:after="0" w:line="179"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5.07 </w:t>
      </w:r>
      <w:r>
        <w:rPr>
          <w:rFonts w:ascii="Times New Roman" w:cs="Times New Roman" w:eastAsia="Times New Roman" w:hAnsi="Times New Roman"/>
          <w:sz w:val="22"/>
          <w:szCs w:val="22"/>
          <w:u w:val="single" w:color="auto"/>
          <w:color w:val="auto"/>
        </w:rPr>
        <w:t>Legal Proceedings</w:t>
      </w:r>
      <w:r>
        <w:rPr>
          <w:rFonts w:ascii="Times New Roman" w:cs="Times New Roman" w:eastAsia="Times New Roman" w:hAnsi="Times New Roman"/>
          <w:sz w:val="22"/>
          <w:szCs w:val="22"/>
          <w:color w:val="auto"/>
        </w:rPr>
        <w:t>. As of the date of this Agreement, except as would not have a Purchaser Material Adverse Effect, there is no (a) pending or, to the Knowledge of Purchaser, threatened Action against any Purchaser Entity or (b) Judgment imposed upon or affecting any Purchaser Entity.</w:t>
      </w:r>
    </w:p>
    <w:p>
      <w:pPr>
        <w:spacing w:after="0" w:line="167"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1"/>
          <w:szCs w:val="21"/>
          <w:color w:val="auto"/>
        </w:rPr>
        <w:t xml:space="preserve">Section 5.08 </w:t>
      </w:r>
      <w:r>
        <w:rPr>
          <w:rFonts w:ascii="Times New Roman" w:cs="Times New Roman" w:eastAsia="Times New Roman" w:hAnsi="Times New Roman"/>
          <w:sz w:val="21"/>
          <w:szCs w:val="21"/>
          <w:u w:val="single" w:color="auto"/>
          <w:color w:val="auto"/>
        </w:rPr>
        <w:t>No Other Representations or Warranties</w:t>
      </w:r>
      <w:r>
        <w:rPr>
          <w:rFonts w:ascii="Times New Roman" w:cs="Times New Roman" w:eastAsia="Times New Roman" w:hAnsi="Times New Roman"/>
          <w:sz w:val="21"/>
          <w:szCs w:val="21"/>
          <w:color w:val="auto"/>
        </w:rPr>
        <w:t xml:space="preserve">. Purchaser acknowledges that it and its Representatives have received access to such books and records, facilities, equipment, Contracts and other assets of the Business which it and its Representatives have desired or requested to review, and that it and its Representatives have had the opportunity to meet with the management of the Business and to discuss the Business, the Transferred Assets and the Assumed Liabilities. Except for the representations and warranties expressly set forth in </w:t>
      </w:r>
      <w:r>
        <w:rPr>
          <w:rFonts w:ascii="Times New Roman" w:cs="Times New Roman" w:eastAsia="Times New Roman" w:hAnsi="Times New Roman"/>
          <w:sz w:val="21"/>
          <w:szCs w:val="21"/>
          <w:u w:val="single" w:color="auto"/>
          <w:color w:val="auto"/>
        </w:rPr>
        <w:t>Article IV</w:t>
      </w:r>
      <w:r>
        <w:rPr>
          <w:rFonts w:ascii="Times New Roman" w:cs="Times New Roman" w:eastAsia="Times New Roman" w:hAnsi="Times New Roman"/>
          <w:sz w:val="21"/>
          <w:szCs w:val="21"/>
          <w:color w:val="auto"/>
        </w:rPr>
        <w:t xml:space="preserve"> and in the certificates required to be delivered by the Seller under </w:t>
      </w:r>
      <w:r>
        <w:rPr>
          <w:rFonts w:ascii="Times New Roman" w:cs="Times New Roman" w:eastAsia="Times New Roman" w:hAnsi="Times New Roman"/>
          <w:sz w:val="21"/>
          <w:szCs w:val="21"/>
          <w:u w:val="single" w:color="auto"/>
          <w:color w:val="auto"/>
        </w:rPr>
        <w:t>Section 8.02</w:t>
      </w:r>
      <w:r>
        <w:rPr>
          <w:rFonts w:ascii="Times New Roman" w:cs="Times New Roman" w:eastAsia="Times New Roman" w:hAnsi="Times New Roman"/>
          <w:sz w:val="21"/>
          <w:szCs w:val="21"/>
          <w:color w:val="auto"/>
        </w:rPr>
        <w:t xml:space="preserve"> or in any other Transaction Document, Purchaser hereby acknowledges that no member of the Seller Group, nor any other Person, (a) has made or is making any other express or implied representation or warranty with respect to the Business, the Transferred Assets or the Assumed Liabilities, or the operations of the Business, including with respect to any oral, written, video, electronic or other information provided or made available to Purchaser or any of its Representatives or any oral, written, video, electronic or other information developed by Purchaser or any of its Representatives or (b) will have or be subject to any Liability or indemnification obligation to Purchaser resulting from the delivery, dissemination or any other distribution to Purchaser or any of its Representatives (in any form whatsoever and through any medium whatsoever), or the use by Purchaser or any of its Representatives, of any information, documents, estimates, projections, forecasts or other forward-looking information, business plans or other material developed by or provided or made available to Purchaser or any of its Representatives, including in due diligence materials, “data rooms” or management presentations (formal or informal, in person, by phone, through video or in any other format), in anticipation or contemplation of any of the Transactions. Purchaser hereby acknowledges (for itself and on behalf of its Affiliates and its and their respective Representatives) that it has conducted, to its satisfaction, its own independent investigation of the Business and its operations, assets and financial condition and, in making its determination to proceed with the Transactions, in addition to relying on the representations and warranties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- 58 -</w:t>
      </w:r>
    </w:p>
    <w:p>
      <w:pPr>
        <w:sectPr>
          <w:pgSz w:w="11900" w:h="16838" w:orient="portrait"/>
          <w:cols w:equalWidth="0" w:num="1">
            <w:col w:w="11160"/>
          </w:cols>
          <w:pgMar w:left="400" w:top="1422" w:right="339" w:bottom="1440" w:gutter="0" w:footer="0" w:header="0"/>
        </w:sectPr>
      </w:pPr>
    </w:p>
    <w:bookmarkStart w:id="127" w:name="page128"/>
    <w:bookmarkEnd w:id="127"/>
    <w:p>
      <w:pPr>
        <w:jc w:val="both"/>
        <w:ind w:left="80"/>
        <w:spacing w:after="0" w:line="256" w:lineRule="auto"/>
        <w:rPr>
          <w:sz w:val="20"/>
          <w:szCs w:val="20"/>
          <w:color w:val="auto"/>
        </w:rPr>
      </w:pPr>
      <w:r>
        <w:rPr>
          <w:rFonts w:ascii="Times New Roman" w:cs="Times New Roman" w:eastAsia="Times New Roman" w:hAnsi="Times New Roman"/>
          <w:sz w:val="22"/>
          <w:szCs w:val="22"/>
          <w:color w:val="auto"/>
        </w:rPr>
        <w:t xml:space="preserve">expressly set forth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and in the certificates required to be delivered by the Seller under </w:t>
      </w:r>
      <w:r>
        <w:rPr>
          <w:rFonts w:ascii="Times New Roman" w:cs="Times New Roman" w:eastAsia="Times New Roman" w:hAnsi="Times New Roman"/>
          <w:sz w:val="22"/>
          <w:szCs w:val="22"/>
          <w:u w:val="single" w:color="auto"/>
          <w:color w:val="auto"/>
        </w:rPr>
        <w:t>Section 8.02</w:t>
      </w:r>
      <w:r>
        <w:rPr>
          <w:rFonts w:ascii="Times New Roman" w:cs="Times New Roman" w:eastAsia="Times New Roman" w:hAnsi="Times New Roman"/>
          <w:sz w:val="22"/>
          <w:szCs w:val="22"/>
          <w:color w:val="auto"/>
        </w:rPr>
        <w:t xml:space="preserve"> or in any other Transaction Documents, Purchaser and its Affiliates and its and their respective Representatives have relied on the results of their own independent investigation. Nothing in this </w:t>
      </w:r>
      <w:r>
        <w:rPr>
          <w:rFonts w:ascii="Times New Roman" w:cs="Times New Roman" w:eastAsia="Times New Roman" w:hAnsi="Times New Roman"/>
          <w:sz w:val="22"/>
          <w:szCs w:val="22"/>
          <w:u w:val="single" w:color="auto"/>
          <w:color w:val="auto"/>
        </w:rPr>
        <w:t>Section 5.08</w:t>
      </w:r>
      <w:r>
        <w:rPr>
          <w:rFonts w:ascii="Times New Roman" w:cs="Times New Roman" w:eastAsia="Times New Roman" w:hAnsi="Times New Roman"/>
          <w:sz w:val="22"/>
          <w:szCs w:val="22"/>
          <w:color w:val="auto"/>
        </w:rPr>
        <w:t xml:space="preserve"> shall be deemed to apply to, or limit in any way, Purchaser’s rights and remedies in the case of Fraud.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w:t>
      </w:r>
    </w:p>
    <w:p>
      <w:pPr>
        <w:spacing w:after="0" w:line="260" w:lineRule="exact"/>
        <w:rPr>
          <w:sz w:val="20"/>
          <w:szCs w:val="20"/>
          <w:color w:val="auto"/>
        </w:rPr>
      </w:pPr>
    </w:p>
    <w:p>
      <w:pPr>
        <w:ind w:left="1380" w:right="3740" w:firstLine="2358"/>
        <w:spacing w:after="0" w:line="448" w:lineRule="auto"/>
        <w:rPr>
          <w:sz w:val="20"/>
          <w:szCs w:val="20"/>
          <w:color w:val="auto"/>
        </w:rPr>
      </w:pPr>
      <w:r>
        <w:rPr>
          <w:rFonts w:ascii="Times New Roman" w:cs="Times New Roman" w:eastAsia="Times New Roman" w:hAnsi="Times New Roman"/>
          <w:sz w:val="22"/>
          <w:szCs w:val="22"/>
          <w:u w:val="single" w:color="auto"/>
          <w:color w:val="auto"/>
        </w:rPr>
        <w:t xml:space="preserve">Covenants Relating to Conduct of Business </w:t>
      </w:r>
      <w:r>
        <w:rPr>
          <w:rFonts w:ascii="Times New Roman" w:cs="Times New Roman" w:eastAsia="Times New Roman" w:hAnsi="Times New Roman"/>
          <w:sz w:val="22"/>
          <w:szCs w:val="22"/>
          <w:color w:val="auto"/>
        </w:rPr>
        <w:t xml:space="preserve">Section 6.01 </w:t>
      </w:r>
      <w:r>
        <w:rPr>
          <w:rFonts w:ascii="Times New Roman" w:cs="Times New Roman" w:eastAsia="Times New Roman" w:hAnsi="Times New Roman"/>
          <w:sz w:val="22"/>
          <w:szCs w:val="22"/>
          <w:u w:val="single" w:color="auto"/>
          <w:color w:val="auto"/>
        </w:rPr>
        <w:t>Conduct of Business Before the Closing</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jc w:val="both"/>
        <w:ind w:firstLine="1304"/>
        <w:spacing w:after="0" w:line="250" w:lineRule="auto"/>
        <w:tabs>
          <w:tab w:leader="none" w:pos="1900"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(i) as required by applicable Law, (ii) as expressly contemplated, required or permitted by this Agreement or the other Transaction Documents or (iii) as set forth in </w:t>
      </w:r>
      <w:r>
        <w:rPr>
          <w:rFonts w:ascii="Times New Roman" w:cs="Times New Roman" w:eastAsia="Times New Roman" w:hAnsi="Times New Roman"/>
          <w:sz w:val="22"/>
          <w:szCs w:val="22"/>
          <w:u w:val="single" w:color="auto"/>
          <w:color w:val="auto"/>
        </w:rPr>
        <w:t>Section 6.01(a)(iii)</w:t>
      </w:r>
      <w:r>
        <w:rPr>
          <w:rFonts w:ascii="Times New Roman" w:cs="Times New Roman" w:eastAsia="Times New Roman" w:hAnsi="Times New Roman"/>
          <w:sz w:val="22"/>
          <w:szCs w:val="22"/>
          <w:color w:val="auto"/>
        </w:rPr>
        <w:t xml:space="preserve"> of the Disclosure Letter, during the period from the date of this Agreement until the Closing (or such earlier date on which this Agreement is terminated pursuant to </w:t>
      </w:r>
      <w:r>
        <w:rPr>
          <w:rFonts w:ascii="Times New Roman" w:cs="Times New Roman" w:eastAsia="Times New Roman" w:hAnsi="Times New Roman"/>
          <w:sz w:val="22"/>
          <w:szCs w:val="22"/>
          <w:u w:val="single" w:color="auto"/>
          <w:color w:val="auto"/>
        </w:rPr>
        <w:t>Section 9.01</w:t>
      </w:r>
      <w:r>
        <w:rPr>
          <w:rFonts w:ascii="Times New Roman" w:cs="Times New Roman" w:eastAsia="Times New Roman" w:hAnsi="Times New Roman"/>
          <w:sz w:val="22"/>
          <w:szCs w:val="22"/>
          <w:color w:val="auto"/>
        </w:rPr>
        <w:t xml:space="preserve">), unless Purchaser otherwise consents in writing, the Seller shall use its commercially reasonable efforts to carry on the Business in all material respects in the ordinary course of business and preserve intact its present operations;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action by Seller with respect to matters specifically addressed by </w:t>
      </w:r>
      <w:r>
        <w:rPr>
          <w:rFonts w:ascii="Times New Roman" w:cs="Times New Roman" w:eastAsia="Times New Roman" w:hAnsi="Times New Roman"/>
          <w:sz w:val="22"/>
          <w:szCs w:val="22"/>
          <w:u w:val="single" w:color="auto"/>
          <w:color w:val="auto"/>
        </w:rPr>
        <w:t>Section 6.01(b)</w:t>
      </w:r>
      <w:r>
        <w:rPr>
          <w:rFonts w:ascii="Times New Roman" w:cs="Times New Roman" w:eastAsia="Times New Roman" w:hAnsi="Times New Roman"/>
          <w:sz w:val="22"/>
          <w:szCs w:val="22"/>
          <w:color w:val="auto"/>
        </w:rPr>
        <w:t xml:space="preserve"> shall be deemed to be a breach of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6.01(a)</w:t>
      </w:r>
      <w:r>
        <w:rPr>
          <w:rFonts w:ascii="Times New Roman" w:cs="Times New Roman" w:eastAsia="Times New Roman" w:hAnsi="Times New Roman"/>
          <w:sz w:val="22"/>
          <w:szCs w:val="22"/>
          <w:color w:val="auto"/>
        </w:rPr>
        <w:t xml:space="preserve"> unless such action would constitute a breach of </w:t>
      </w:r>
      <w:r>
        <w:rPr>
          <w:rFonts w:ascii="Times New Roman" w:cs="Times New Roman" w:eastAsia="Times New Roman" w:hAnsi="Times New Roman"/>
          <w:sz w:val="22"/>
          <w:szCs w:val="22"/>
          <w:u w:val="single" w:color="auto"/>
          <w:color w:val="auto"/>
        </w:rPr>
        <w:t>Section 6.01(b)</w:t>
      </w:r>
      <w:r>
        <w:rPr>
          <w:rFonts w:ascii="Times New Roman" w:cs="Times New Roman" w:eastAsia="Times New Roman" w:hAnsi="Times New Roman"/>
          <w:sz w:val="22"/>
          <w:szCs w:val="22"/>
          <w:color w:val="auto"/>
        </w:rPr>
        <w:t>.</w:t>
      </w:r>
    </w:p>
    <w:p>
      <w:pPr>
        <w:spacing w:after="0" w:line="193" w:lineRule="exact"/>
        <w:rPr>
          <w:rFonts w:ascii="Times New Roman" w:cs="Times New Roman" w:eastAsia="Times New Roman" w:hAnsi="Times New Roman"/>
          <w:sz w:val="22"/>
          <w:szCs w:val="22"/>
          <w:color w:val="auto"/>
        </w:rPr>
      </w:pPr>
    </w:p>
    <w:p>
      <w:pPr>
        <w:jc w:val="both"/>
        <w:ind w:firstLine="1304"/>
        <w:spacing w:after="0" w:line="249" w:lineRule="auto"/>
        <w:tabs>
          <w:tab w:leader="none" w:pos="1909"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(i) as required by applicable Law, (ii) as expressly contemplated, required or permitted by this Agreement or the other Transaction Documents or (iii) as set forth in the applicable subsection of </w:t>
      </w:r>
      <w:r>
        <w:rPr>
          <w:rFonts w:ascii="Times New Roman" w:cs="Times New Roman" w:eastAsia="Times New Roman" w:hAnsi="Times New Roman"/>
          <w:sz w:val="22"/>
          <w:szCs w:val="22"/>
          <w:u w:val="single" w:color="auto"/>
          <w:color w:val="auto"/>
        </w:rPr>
        <w:t>Section 6.01(b)</w:t>
      </w:r>
      <w:r>
        <w:rPr>
          <w:rFonts w:ascii="Times New Roman" w:cs="Times New Roman" w:eastAsia="Times New Roman" w:hAnsi="Times New Roman"/>
          <w:sz w:val="22"/>
          <w:szCs w:val="22"/>
          <w:color w:val="auto"/>
        </w:rPr>
        <w:t xml:space="preserve"> of the Disclosure Letter, during the period from the date of this Agreement until the Closing (or such earlier date on which this Agreement is terminated pursuant to </w:t>
      </w:r>
      <w:r>
        <w:rPr>
          <w:rFonts w:ascii="Times New Roman" w:cs="Times New Roman" w:eastAsia="Times New Roman" w:hAnsi="Times New Roman"/>
          <w:sz w:val="22"/>
          <w:szCs w:val="22"/>
          <w:u w:val="single" w:color="auto"/>
          <w:color w:val="auto"/>
        </w:rPr>
        <w:t>Section 9.01</w:t>
      </w:r>
      <w:r>
        <w:rPr>
          <w:rFonts w:ascii="Times New Roman" w:cs="Times New Roman" w:eastAsia="Times New Roman" w:hAnsi="Times New Roman"/>
          <w:sz w:val="22"/>
          <w:szCs w:val="22"/>
          <w:color w:val="auto"/>
        </w:rPr>
        <w:t>), unless Purchaser otherwise consents in writing (such consent not to be unreasonably withheld, delayed or conditioned with respect to the matters set forth in clauses (i), (ii), (iv), (vii), (viii), (ix), (x) (xi), (xiii) and (xiv)), the Seller shall not, and shall cause the other Seller Entities not to (solely to the extent related to or that would reasonably otherwise affect the Business, the Transferred Assets (including any Included Shared Contract), the Applicable Contract, or the Assumed Liabilities):</w:t>
      </w:r>
    </w:p>
    <w:p>
      <w:pPr>
        <w:spacing w:after="0" w:line="181" w:lineRule="exact"/>
        <w:rPr>
          <w:rFonts w:ascii="Times New Roman" w:cs="Times New Roman" w:eastAsia="Times New Roman" w:hAnsi="Times New Roman"/>
          <w:sz w:val="22"/>
          <w:szCs w:val="22"/>
          <w:color w:val="auto"/>
        </w:rPr>
      </w:pPr>
    </w:p>
    <w:p>
      <w:pPr>
        <w:jc w:val="both"/>
        <w:ind w:left="740" w:firstLine="645"/>
        <w:spacing w:after="0" w:line="251" w:lineRule="auto"/>
        <w:tabs>
          <w:tab w:leader="none" w:pos="1927" w:val="left"/>
        </w:tabs>
        <w:numPr>
          <w:ilvl w:val="2"/>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sell, lease, transfer, license, assign, abandon, cancel, mortgage, pledge, place a Lien upon (other than a Permitted Lien) or otherwise dispose of any Transferred Asset or Shared Contract (other than Intellectual Property, which is addressed in clause (ix) below) with a value, individually or in the aggregate, in excess of One Hundred Thousand Dollars ($100,000), other than the sale or disposal of obsolete, worn-out or excess equipment or assets in the ordinary course of business or sales of goods or services (x) in the ordinary course of business or (y) pursuant to Contracts in existence as of the date of this Agreement that are set forth on </w:t>
      </w:r>
      <w:r>
        <w:rPr>
          <w:rFonts w:ascii="Times New Roman" w:cs="Times New Roman" w:eastAsia="Times New Roman" w:hAnsi="Times New Roman"/>
          <w:sz w:val="22"/>
          <w:szCs w:val="22"/>
          <w:u w:val="single" w:color="auto"/>
          <w:color w:val="auto"/>
        </w:rPr>
        <w:t>Section 6.01(b)(i)</w:t>
      </w:r>
      <w:r>
        <w:rPr>
          <w:rFonts w:ascii="Times New Roman" w:cs="Times New Roman" w:eastAsia="Times New Roman" w:hAnsi="Times New Roman"/>
          <w:sz w:val="22"/>
          <w:szCs w:val="22"/>
          <w:color w:val="auto"/>
        </w:rPr>
        <w:t xml:space="preserve"> of the Disclosure Letter;</w:t>
      </w:r>
    </w:p>
    <w:p>
      <w:pPr>
        <w:spacing w:after="0" w:line="181" w:lineRule="exact"/>
        <w:rPr>
          <w:rFonts w:ascii="Times New Roman" w:cs="Times New Roman" w:eastAsia="Times New Roman" w:hAnsi="Times New Roman"/>
          <w:sz w:val="22"/>
          <w:szCs w:val="22"/>
          <w:color w:val="auto"/>
        </w:rPr>
      </w:pPr>
    </w:p>
    <w:p>
      <w:pPr>
        <w:jc w:val="both"/>
        <w:ind w:left="740" w:firstLine="645"/>
        <w:spacing w:after="0" w:line="256" w:lineRule="auto"/>
        <w:tabs>
          <w:tab w:leader="none" w:pos="1907" w:val="left"/>
        </w:tabs>
        <w:numPr>
          <w:ilvl w:val="2"/>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acquire any assets that would constitute Transferred Assets outside the ordinary course of business, except for assets with a value, individually or in the aggregate, of less than Five Hundred Thousand Dollars ($500,000), pursuant to Contracts in existence as of the date of this Agreement that are set forth on </w:t>
      </w:r>
      <w:r>
        <w:rPr>
          <w:rFonts w:ascii="Times New Roman" w:cs="Times New Roman" w:eastAsia="Times New Roman" w:hAnsi="Times New Roman"/>
          <w:sz w:val="22"/>
          <w:szCs w:val="22"/>
          <w:u w:val="single" w:color="auto"/>
          <w:color w:val="auto"/>
        </w:rPr>
        <w:t>Section 6.01(b)(ii)</w:t>
      </w:r>
      <w:r>
        <w:rPr>
          <w:rFonts w:ascii="Times New Roman" w:cs="Times New Roman" w:eastAsia="Times New Roman" w:hAnsi="Times New Roman"/>
          <w:sz w:val="22"/>
          <w:szCs w:val="22"/>
          <w:color w:val="auto"/>
        </w:rPr>
        <w:t xml:space="preserve"> of the Disclosure Letter or capital expenditures included on the face of the Interim Financial Statements;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5" w:lineRule="exact"/>
        <w:rPr>
          <w:rFonts w:ascii="Times New Roman" w:cs="Times New Roman" w:eastAsia="Times New Roman" w:hAnsi="Times New Roman"/>
          <w:sz w:val="22"/>
          <w:szCs w:val="22"/>
          <w:color w:val="auto"/>
        </w:rPr>
      </w:pPr>
    </w:p>
    <w:p>
      <w:pPr>
        <w:ind w:left="360" w:hanging="136"/>
        <w:spacing w:after="0"/>
        <w:tabs>
          <w:tab w:leader="none" w:pos="36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59 -</w:t>
      </w:r>
    </w:p>
    <w:p>
      <w:pPr>
        <w:sectPr>
          <w:pgSz w:w="11900" w:h="16838" w:orient="portrait"/>
          <w:cols w:equalWidth="0" w:num="1">
            <w:col w:w="11240"/>
          </w:cols>
          <w:pgMar w:left="320" w:top="1422" w:right="339" w:bottom="1440" w:gutter="0" w:footer="0" w:header="0"/>
        </w:sectPr>
      </w:pPr>
    </w:p>
    <w:bookmarkStart w:id="128" w:name="page129"/>
    <w:bookmarkEnd w:id="128"/>
    <w:p>
      <w:pPr>
        <w:jc w:val="both"/>
        <w:ind w:left="520" w:firstLine="645"/>
        <w:spacing w:after="0" w:line="257" w:lineRule="auto"/>
        <w:tabs>
          <w:tab w:leader="none" w:pos="1784"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make any loans, advances (other than accounts receivable), capital contributions or investments, in each case that would constitute a Transferred Asset, to any Person outside the Seller Group, other than pursuant to Contracts in existence as of the date of this Agreement that are set forth on </w:t>
      </w:r>
      <w:r>
        <w:rPr>
          <w:rFonts w:ascii="Times New Roman" w:cs="Times New Roman" w:eastAsia="Times New Roman" w:hAnsi="Times New Roman"/>
          <w:sz w:val="22"/>
          <w:szCs w:val="22"/>
          <w:u w:val="single" w:color="auto"/>
          <w:color w:val="auto"/>
        </w:rPr>
        <w:t>Section 6.01(b)(iii)</w:t>
      </w:r>
      <w:r>
        <w:rPr>
          <w:rFonts w:ascii="Times New Roman" w:cs="Times New Roman" w:eastAsia="Times New Roman" w:hAnsi="Times New Roman"/>
          <w:sz w:val="22"/>
          <w:szCs w:val="22"/>
          <w:color w:val="auto"/>
        </w:rPr>
        <w:t xml:space="preserve"> of the Disclosure Letter;</w:t>
      </w:r>
    </w:p>
    <w:p>
      <w:pPr>
        <w:spacing w:after="0" w:line="186" w:lineRule="exact"/>
        <w:rPr>
          <w:rFonts w:ascii="Times New Roman" w:cs="Times New Roman" w:eastAsia="Times New Roman" w:hAnsi="Times New Roman"/>
          <w:sz w:val="22"/>
          <w:szCs w:val="22"/>
          <w:color w:val="auto"/>
        </w:rPr>
      </w:pPr>
    </w:p>
    <w:p>
      <w:pPr>
        <w:jc w:val="both"/>
        <w:ind w:left="520" w:firstLine="645"/>
        <w:spacing w:after="0" w:line="247" w:lineRule="auto"/>
        <w:tabs>
          <w:tab w:leader="none" w:pos="1764"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adopt, enter into, negotiate, modify, enter into, extend, amend or terminate any (1) Assumed Benefit Plan, or (2) Seller Benefit Plan (other than actions that apply equally to Business Employees and other similarly-situated employees of Seller Group) or any other benefit or compensation plan, program policy, agreement, or arrangement that would be a Seller Benefit Plan if in effect on the date hereof or recognize or certify any labor union, labor organization, works council or group of employees as the bargaining representatives for any Business Employees, (B) increase or decrease, or commit to increase or decrease, the compensation or benefits of any current or former Business Employee or other individual service provider of the Business except to the extent required by any CBA (other than in respect of increases in base salary in the ordinary course of business consistent with past practice to any Business Employee in connection with Seller’s annual compensation and performance review process, in each case, so long as such increase does not exceed 5% of such Person’s then-current base salary), (C) grant or commit to grant to any current or former Business Employee or other individual service provider of the Business any bonus, incentive, equity or equity-based or phantom equity awards or remove or modify existing restrictions in any such awards made to any current or former Business Employee or other individual service provider of the Business, except to the extent required by any CBA; (D) take any action to accelerate the vesting or payment, or the funding, of any compensation, or benefits, equity or equity-based or phantom equity awards, retention or severance for any current or former Business Employee or other individual service provider of the Business, (E) terminate (other than for “cause”) the employment or service of any Business Employee or other individual service provider of the Business whose annual base compensation exceeds $100,000, or (F) hire any employee as a Business Employee or other individual service provider whose annual base compensation is expected to exceed $100,000 or hire any Business Employee or other individual service provider to fill a vacant role or position, in each case, except (1) as required by the existing terms as of the date hereof of any Seller Benefit Plan in existence as of the date hereof that is set forth on </w:t>
      </w:r>
      <w:r>
        <w:rPr>
          <w:rFonts w:ascii="Times New Roman" w:cs="Times New Roman" w:eastAsia="Times New Roman" w:hAnsi="Times New Roman"/>
          <w:sz w:val="22"/>
          <w:szCs w:val="22"/>
          <w:u w:val="single" w:color="auto"/>
          <w:color w:val="auto"/>
        </w:rPr>
        <w:t>Section 4.11(a)</w:t>
      </w:r>
      <w:r>
        <w:rPr>
          <w:rFonts w:ascii="Times New Roman" w:cs="Times New Roman" w:eastAsia="Times New Roman" w:hAnsi="Times New Roman"/>
          <w:sz w:val="22"/>
          <w:szCs w:val="22"/>
          <w:color w:val="auto"/>
        </w:rPr>
        <w:t xml:space="preserve"> of the Disclosure Letter; or (2) expressly required under the terms of </w:t>
      </w:r>
      <w:r>
        <w:rPr>
          <w:rFonts w:ascii="Times New Roman" w:cs="Times New Roman" w:eastAsia="Times New Roman" w:hAnsi="Times New Roman"/>
          <w:sz w:val="22"/>
          <w:szCs w:val="22"/>
          <w:u w:val="single" w:color="auto"/>
          <w:color w:val="auto"/>
        </w:rPr>
        <w:t>Section 7.06</w:t>
      </w:r>
      <w:r>
        <w:rPr>
          <w:rFonts w:ascii="Times New Roman" w:cs="Times New Roman" w:eastAsia="Times New Roman" w:hAnsi="Times New Roman"/>
          <w:sz w:val="22"/>
          <w:szCs w:val="22"/>
          <w:color w:val="auto"/>
        </w:rPr>
        <w:t xml:space="preserve"> of this Agreement;</w:t>
      </w:r>
    </w:p>
    <w:p>
      <w:pPr>
        <w:spacing w:after="0" w:line="185" w:lineRule="exact"/>
        <w:rPr>
          <w:rFonts w:ascii="Times New Roman" w:cs="Times New Roman" w:eastAsia="Times New Roman" w:hAnsi="Times New Roman"/>
          <w:sz w:val="22"/>
          <w:szCs w:val="22"/>
          <w:color w:val="auto"/>
        </w:rPr>
      </w:pPr>
    </w:p>
    <w:p>
      <w:pPr>
        <w:jc w:val="both"/>
        <w:ind w:left="520" w:firstLine="645"/>
        <w:spacing w:after="0" w:line="252" w:lineRule="auto"/>
        <w:tabs>
          <w:tab w:leader="none" w:pos="1666"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 internally, or otherwise materially alter the duties and responsibilities of, any individual (except, in either case, if required under a CBA) (A) who is a Business Employee, such that such individual is no longer primarily engaged in the Business, or (B) who is not a Business Employee, such that such individual is primarily engaged in the Business;</w:t>
      </w:r>
    </w:p>
    <w:p>
      <w:pPr>
        <w:spacing w:after="0" w:line="179" w:lineRule="exact"/>
        <w:rPr>
          <w:rFonts w:ascii="Times New Roman" w:cs="Times New Roman" w:eastAsia="Times New Roman" w:hAnsi="Times New Roman"/>
          <w:sz w:val="22"/>
          <w:szCs w:val="22"/>
          <w:color w:val="auto"/>
        </w:rPr>
      </w:pPr>
    </w:p>
    <w:p>
      <w:pPr>
        <w:jc w:val="both"/>
        <w:ind w:left="520" w:firstLine="645"/>
        <w:spacing w:after="0" w:line="268" w:lineRule="auto"/>
        <w:tabs>
          <w:tab w:leader="none" w:pos="1816"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make any material changes in financial accounting methods, principles or practices relating to the Business other than as may be required by GAAP (or any interpretation thereof) or by any applicable Law, (B) accelerate the collection or discount of accounts receivable, delay the payment of accounts payable or accrued expenses, or (C) take any action that would reasonably be expected to have the effect of accelerating to pre-Closing periods sales to customers or others that would otherwise be expected to occur after the Closing, in each case of (B) and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- 60 -</w:t>
      </w:r>
    </w:p>
    <w:p>
      <w:pPr>
        <w:sectPr>
          <w:pgSz w:w="11900" w:h="16838" w:orient="portrait"/>
          <w:cols w:equalWidth="0" w:num="1">
            <w:col w:w="11020"/>
          </w:cols>
          <w:pgMar w:left="540" w:top="1422" w:right="339" w:bottom="1440" w:gutter="0" w:footer="0" w:header="0"/>
        </w:sectPr>
      </w:pPr>
    </w:p>
    <w:bookmarkStart w:id="129" w:name="page130"/>
    <w:bookmarkEnd w:id="129"/>
    <w:p>
      <w:pPr>
        <w:ind w:left="520"/>
        <w:spacing w:after="0" w:line="271" w:lineRule="auto"/>
        <w:rPr>
          <w:sz w:val="20"/>
          <w:szCs w:val="20"/>
          <w:color w:val="auto"/>
        </w:rPr>
      </w:pPr>
      <w:r>
        <w:rPr>
          <w:rFonts w:ascii="Times New Roman" w:cs="Times New Roman" w:eastAsia="Times New Roman" w:hAnsi="Times New Roman"/>
          <w:sz w:val="22"/>
          <w:szCs w:val="22"/>
          <w:color w:val="auto"/>
        </w:rPr>
        <w:t xml:space="preserve">outside the ordinary course of business or pursuant to the Contracts in existence as of the date of this Agreement that are set forth on </w:t>
      </w:r>
      <w:r>
        <w:rPr>
          <w:rFonts w:ascii="Times New Roman" w:cs="Times New Roman" w:eastAsia="Times New Roman" w:hAnsi="Times New Roman"/>
          <w:sz w:val="22"/>
          <w:szCs w:val="22"/>
          <w:u w:val="single" w:color="auto"/>
          <w:color w:val="auto"/>
        </w:rPr>
        <w:t>Section 6.01(b)(vi)</w:t>
      </w:r>
      <w:r>
        <w:rPr>
          <w:rFonts w:ascii="Times New Roman" w:cs="Times New Roman" w:eastAsia="Times New Roman" w:hAnsi="Times New Roman"/>
          <w:sz w:val="22"/>
          <w:szCs w:val="22"/>
          <w:color w:val="auto"/>
        </w:rPr>
        <w:t xml:space="preserve"> of the Disclosure Letter;</w:t>
      </w:r>
    </w:p>
    <w:p>
      <w:pPr>
        <w:spacing w:after="0" w:line="158" w:lineRule="exact"/>
        <w:rPr>
          <w:sz w:val="20"/>
          <w:szCs w:val="20"/>
          <w:color w:val="auto"/>
        </w:rPr>
      </w:pPr>
    </w:p>
    <w:p>
      <w:pPr>
        <w:jc w:val="both"/>
        <w:ind w:left="520" w:firstLine="645"/>
        <w:spacing w:after="0" w:line="252" w:lineRule="auto"/>
        <w:tabs>
          <w:tab w:leader="none" w:pos="1805"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commence any Action or (B) enter into any settlement or release with respect to any Action or enter into any consent decree or settlement agreement with any Governmental Authority relating to the Business, other than any settlement or release (x) that involves no finding or admission of any wrongdoing on the part of the Business, (y) that contemplates only the payment of money without any ongoing limits on the conduct or operation of the Business and (z) that results in a full, complete and irrevocable release of the claims giving rise to such Action by all plaintiffs and all related parties in favor of the Business, and, in any event, does not result in any non-monetary Liability to the Business following the Closing;</w:t>
      </w:r>
    </w:p>
    <w:p>
      <w:pPr>
        <w:spacing w:after="0" w:line="179" w:lineRule="exact"/>
        <w:rPr>
          <w:rFonts w:ascii="Times New Roman" w:cs="Times New Roman" w:eastAsia="Times New Roman" w:hAnsi="Times New Roman"/>
          <w:sz w:val="22"/>
          <w:szCs w:val="22"/>
          <w:color w:val="auto"/>
        </w:rPr>
      </w:pPr>
    </w:p>
    <w:p>
      <w:pPr>
        <w:ind w:left="1820" w:hanging="655"/>
        <w:spacing w:after="0"/>
        <w:tabs>
          <w:tab w:leader="none" w:pos="182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knowingly waive any material claims or rights of material value that constitute Transferred Assets;</w:t>
      </w:r>
    </w:p>
    <w:p>
      <w:pPr>
        <w:spacing w:after="0" w:line="219" w:lineRule="exact"/>
        <w:rPr>
          <w:rFonts w:ascii="Times New Roman" w:cs="Times New Roman" w:eastAsia="Times New Roman" w:hAnsi="Times New Roman"/>
          <w:sz w:val="22"/>
          <w:szCs w:val="22"/>
          <w:color w:val="auto"/>
        </w:rPr>
      </w:pPr>
    </w:p>
    <w:p>
      <w:pPr>
        <w:jc w:val="both"/>
        <w:ind w:left="520" w:firstLine="645"/>
        <w:spacing w:after="0" w:line="268" w:lineRule="auto"/>
        <w:tabs>
          <w:tab w:leader="none" w:pos="1732"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sell, pledge, place a Lien upon (other than a Permitted Lien), dispose of, permit to lapse, abandon, cancel, transfer, assign or grant any license or sublicense of any rights under or with respect to any material Transferred Intellectual Property other than (A) non-exclusive licenses granted to customers of the Business in the ordinary course of business, (B) pursuant to Contracts in existence as of the date of this Agreement and disclosed on </w:t>
      </w:r>
      <w:r>
        <w:rPr>
          <w:rFonts w:ascii="Times New Roman" w:cs="Times New Roman" w:eastAsia="Times New Roman" w:hAnsi="Times New Roman"/>
          <w:sz w:val="21"/>
          <w:szCs w:val="21"/>
          <w:u w:val="single" w:color="auto"/>
          <w:color w:val="auto"/>
        </w:rPr>
        <w:t>Section 6.01(b)(ix)</w:t>
      </w:r>
      <w:r>
        <w:rPr>
          <w:rFonts w:ascii="Times New Roman" w:cs="Times New Roman" w:eastAsia="Times New Roman" w:hAnsi="Times New Roman"/>
          <w:sz w:val="21"/>
          <w:szCs w:val="21"/>
          <w:color w:val="auto"/>
        </w:rPr>
        <w:t xml:space="preserve"> of the Disclosure Letter, or (C) any Lien automatically released in full in connection with the Closing;</w:t>
      </w:r>
    </w:p>
    <w:p>
      <w:pPr>
        <w:spacing w:after="0" w:line="163" w:lineRule="exact"/>
        <w:rPr>
          <w:rFonts w:ascii="Times New Roman" w:cs="Times New Roman" w:eastAsia="Times New Roman" w:hAnsi="Times New Roman"/>
          <w:sz w:val="21"/>
          <w:szCs w:val="21"/>
          <w:color w:val="auto"/>
        </w:rPr>
      </w:pPr>
    </w:p>
    <w:p>
      <w:pPr>
        <w:jc w:val="both"/>
        <w:ind w:left="520" w:firstLine="645"/>
        <w:spacing w:after="0" w:line="265" w:lineRule="auto"/>
        <w:tabs>
          <w:tab w:leader="none" w:pos="1710"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amend, waive any right that is not immaterial under or voluntarily terminate any Transferred Permit, Material Business Contract or any Contract entered into after the date of this Agreement that would have been a Material Business Contract if in effect on the date of this Agreement, in each case, except for renewals, terminations or expirations in accordance with the terms of any Material Business Contract or amendments that would not be adverse to the Business or (B) enter into any Contract that, if in effect on the date hereof, would be a Material Business Contract, other than purchase orders with customers, distributor and vendors, in each case, in the ordinary course of business;</w:t>
      </w:r>
    </w:p>
    <w:p>
      <w:pPr>
        <w:spacing w:after="0" w:line="168" w:lineRule="exact"/>
        <w:rPr>
          <w:rFonts w:ascii="Times New Roman" w:cs="Times New Roman" w:eastAsia="Times New Roman" w:hAnsi="Times New Roman"/>
          <w:sz w:val="21"/>
          <w:szCs w:val="21"/>
          <w:color w:val="auto"/>
        </w:rPr>
      </w:pPr>
    </w:p>
    <w:p>
      <w:pPr>
        <w:jc w:val="both"/>
        <w:ind w:left="520" w:firstLine="645"/>
        <w:spacing w:after="0" w:line="253" w:lineRule="auto"/>
        <w:tabs>
          <w:tab w:leader="none" w:pos="1701"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the capital budget related to the Business made available to Purchaser prior to the date hereof and attached hereto as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Capital Budget</w:t>
      </w:r>
      <w:r>
        <w:rPr>
          <w:rFonts w:ascii="Times New Roman" w:cs="Times New Roman" w:eastAsia="Times New Roman" w:hAnsi="Times New Roman"/>
          <w:sz w:val="22"/>
          <w:szCs w:val="22"/>
          <w:color w:val="auto"/>
        </w:rPr>
        <w:t>”), (A) commit or authorize any commitment to make any capital expenditures in excess of $500,000 in the aggregate or (B) fail to make material capital expenditures or commitments substantially as provided by, and generally at the times and substantially in the aggregate amounts set forth in, the Capital Budget;</w:t>
      </w:r>
    </w:p>
    <w:p>
      <w:pPr>
        <w:spacing w:after="0" w:line="178" w:lineRule="exact"/>
        <w:rPr>
          <w:rFonts w:ascii="Times New Roman" w:cs="Times New Roman" w:eastAsia="Times New Roman" w:hAnsi="Times New Roman"/>
          <w:sz w:val="22"/>
          <w:szCs w:val="22"/>
          <w:color w:val="auto"/>
        </w:rPr>
      </w:pPr>
    </w:p>
    <w:p>
      <w:pPr>
        <w:ind w:left="520" w:firstLine="645"/>
        <w:spacing w:after="0" w:line="271" w:lineRule="auto"/>
        <w:tabs>
          <w:tab w:leader="none" w:pos="1848"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implement or announce any employee layoffs, furloughs, reductions-in-force, plant closings, furloughs, layoffs or other such actions that could implicate the WARN Act with respect to the Business Employees;</w:t>
      </w:r>
    </w:p>
    <w:p>
      <w:pPr>
        <w:spacing w:after="0" w:line="157" w:lineRule="exact"/>
        <w:rPr>
          <w:rFonts w:ascii="Times New Roman" w:cs="Times New Roman" w:eastAsia="Times New Roman" w:hAnsi="Times New Roman"/>
          <w:sz w:val="22"/>
          <w:szCs w:val="22"/>
          <w:color w:val="auto"/>
        </w:rPr>
      </w:pPr>
    </w:p>
    <w:p>
      <w:pPr>
        <w:jc w:val="both"/>
        <w:ind w:left="520" w:firstLine="645"/>
        <w:spacing w:after="0" w:line="263" w:lineRule="auto"/>
        <w:tabs>
          <w:tab w:leader="none" w:pos="2055"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waive or release any noncompetition, nonsolicitation, nondisclosure or other restrictive covenant obligation of any current or former employee (including any Business Employee) or independent contractor of the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- 61 -</w:t>
      </w:r>
    </w:p>
    <w:p>
      <w:pPr>
        <w:sectPr>
          <w:pgSz w:w="11900" w:h="16838" w:orient="portrait"/>
          <w:cols w:equalWidth="0" w:num="1">
            <w:col w:w="11020"/>
          </w:cols>
          <w:pgMar w:left="540" w:top="1422" w:right="339" w:bottom="1440" w:gutter="0" w:footer="0" w:header="0"/>
        </w:sectPr>
      </w:pPr>
    </w:p>
    <w:bookmarkStart w:id="130" w:name="page131"/>
    <w:bookmarkEnd w:id="130"/>
    <w:p>
      <w:pPr>
        <w:jc w:val="both"/>
        <w:ind w:left="516" w:right="20" w:firstLine="645"/>
        <w:spacing w:after="0" w:line="257" w:lineRule="auto"/>
        <w:tabs>
          <w:tab w:leader="none" w:pos="1825" w:val="left"/>
        </w:tabs>
        <w:numPr>
          <w:ilvl w:val="2"/>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disclose or escrow any trade secrets included in the Transferred Intellectual Property to any Person, other than pursuant to a valid and written Contract entered into in the ordinary course of business with reasonable protections of, and preserving all rights of the Business in such trade secrets and other confidential information;</w:t>
      </w:r>
    </w:p>
    <w:p>
      <w:pPr>
        <w:spacing w:after="0" w:line="186" w:lineRule="exact"/>
        <w:rPr>
          <w:rFonts w:ascii="Times New Roman" w:cs="Times New Roman" w:eastAsia="Times New Roman" w:hAnsi="Times New Roman"/>
          <w:sz w:val="22"/>
          <w:szCs w:val="22"/>
          <w:color w:val="auto"/>
        </w:rPr>
      </w:pPr>
    </w:p>
    <w:p>
      <w:pPr>
        <w:ind w:left="516" w:right="20" w:firstLine="645"/>
        <w:spacing w:after="0" w:line="271" w:lineRule="auto"/>
        <w:tabs>
          <w:tab w:leader="none" w:pos="1753" w:val="left"/>
        </w:tabs>
        <w:numPr>
          <w:ilvl w:val="2"/>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modify, or revise the Specifications (as defined in the Supply Agreement) set forth in Schedule A-3 to the Supply Agreement;</w:t>
      </w:r>
    </w:p>
    <w:p>
      <w:pPr>
        <w:spacing w:after="0" w:line="157" w:lineRule="exact"/>
        <w:rPr>
          <w:rFonts w:ascii="Times New Roman" w:cs="Times New Roman" w:eastAsia="Times New Roman" w:hAnsi="Times New Roman"/>
          <w:sz w:val="22"/>
          <w:szCs w:val="22"/>
          <w:color w:val="auto"/>
        </w:rPr>
      </w:pPr>
    </w:p>
    <w:p>
      <w:pPr>
        <w:jc w:val="both"/>
        <w:ind w:left="516" w:firstLine="645"/>
        <w:spacing w:after="0" w:line="262" w:lineRule="auto"/>
        <w:tabs>
          <w:tab w:leader="none" w:pos="1913" w:val="left"/>
        </w:tabs>
        <w:numPr>
          <w:ilvl w:val="2"/>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make, change or rescind any material Tax election (other than in the ordinary course of business consistent with past practice), (B) change or adopt any Tax annual accounting period, Tax accounting or transfer pricing policy or practice, (C) settle or compromise any claim or assessment or enter into any closing agreement, (D) file any amended Tax Return, (E) settle or compromise any Tax audit, claim or assessment, (F) surrender or abandon any right to claim a material Tax refund, offset or other reduction in liability, or (G) extend or waive the applicable statute of limitation with respect to any Taxes or any Tax Return (other than any extension obtained in the ordinary course of business in connection with filing Tax Returns that does not require the consent of a Governmental Authority), in each case that is in respect of a material amount of Taxes and that would have effect on the Purchaser after the Closing; or</w:t>
      </w:r>
    </w:p>
    <w:p>
      <w:pPr>
        <w:spacing w:after="0" w:line="172" w:lineRule="exact"/>
        <w:rPr>
          <w:rFonts w:ascii="Times New Roman" w:cs="Times New Roman" w:eastAsia="Times New Roman" w:hAnsi="Times New Roman"/>
          <w:sz w:val="21"/>
          <w:szCs w:val="21"/>
          <w:color w:val="auto"/>
        </w:rPr>
      </w:pPr>
    </w:p>
    <w:p>
      <w:pPr>
        <w:ind w:left="1856" w:hanging="695"/>
        <w:spacing w:after="0"/>
        <w:tabs>
          <w:tab w:leader="none" w:pos="1856" w:val="left"/>
        </w:tabs>
        <w:numPr>
          <w:ilvl w:val="2"/>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authorize any of, or commit or agree, in writing or otherwise, to take any of, the foregoing actions.</w:t>
      </w:r>
    </w:p>
    <w:p>
      <w:pPr>
        <w:spacing w:after="0" w:line="233" w:lineRule="exact"/>
        <w:rPr>
          <w:rFonts w:ascii="Times New Roman" w:cs="Times New Roman" w:eastAsia="Times New Roman" w:hAnsi="Times New Roman"/>
          <w:sz w:val="22"/>
          <w:szCs w:val="22"/>
          <w:color w:val="auto"/>
        </w:rPr>
      </w:pPr>
    </w:p>
    <w:p>
      <w:pPr>
        <w:jc w:val="both"/>
        <w:ind w:left="-224" w:firstLine="1304"/>
        <w:spacing w:after="0" w:line="249" w:lineRule="auto"/>
        <w:tabs>
          <w:tab w:leader="none" w:pos="1562"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expressly contemplated or permitted by this Agreement or the other Transaction Documents or as required by applicable Law, Judgment or a Governmental Authority, during the period from the date of this Agreement to the Closing (or such earlier date on which this Agreement is terminated pursuant to </w:t>
      </w:r>
      <w:r>
        <w:rPr>
          <w:rFonts w:ascii="Times New Roman" w:cs="Times New Roman" w:eastAsia="Times New Roman" w:hAnsi="Times New Roman"/>
          <w:sz w:val="22"/>
          <w:szCs w:val="22"/>
          <w:u w:val="single" w:color="auto"/>
          <w:color w:val="auto"/>
        </w:rPr>
        <w:t>Section 9.01</w:t>
      </w:r>
      <w:r>
        <w:rPr>
          <w:rFonts w:ascii="Times New Roman" w:cs="Times New Roman" w:eastAsia="Times New Roman" w:hAnsi="Times New Roman"/>
          <w:sz w:val="22"/>
          <w:szCs w:val="22"/>
          <w:color w:val="auto"/>
        </w:rPr>
        <w:t xml:space="preserve">), each of the Seller and Purchaser shall not, and shall cause their respective Affiliates not to, without the prior written consent of the other party, (i) take any action, or fail to take any action, in either case, that would reasonably be expected to result in any of the conditions to effect the Closing set forth in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to not be satisfied or (ii) authorize any of, or commit or agree, in writing or otherwise, to take any of the foregoing actions. For the avoidance of doubt, nothing in this </w:t>
      </w:r>
      <w:r>
        <w:rPr>
          <w:rFonts w:ascii="Times New Roman" w:cs="Times New Roman" w:eastAsia="Times New Roman" w:hAnsi="Times New Roman"/>
          <w:sz w:val="22"/>
          <w:szCs w:val="22"/>
          <w:u w:val="single" w:color="auto"/>
          <w:color w:val="auto"/>
        </w:rPr>
        <w:t>Section 6.01(c)</w:t>
      </w:r>
      <w:r>
        <w:rPr>
          <w:rFonts w:ascii="Times New Roman" w:cs="Times New Roman" w:eastAsia="Times New Roman" w:hAnsi="Times New Roman"/>
          <w:sz w:val="22"/>
          <w:szCs w:val="22"/>
          <w:color w:val="auto"/>
        </w:rPr>
        <w:t xml:space="preserve"> shall expand the obligations addressed elsewhere in this Agreement, including as contemplated by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jc w:val="both"/>
        <w:ind w:left="-224" w:firstLine="1304"/>
        <w:spacing w:after="0" w:line="250" w:lineRule="auto"/>
        <w:tabs>
          <w:tab w:leader="none" w:pos="1653"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During the period from the date of this Agreement until the Closing (or such earlier date on which this Agreement is terminated pursuant to </w:t>
      </w:r>
      <w:r>
        <w:rPr>
          <w:rFonts w:ascii="Times New Roman" w:cs="Times New Roman" w:eastAsia="Times New Roman" w:hAnsi="Times New Roman"/>
          <w:sz w:val="22"/>
          <w:szCs w:val="22"/>
          <w:u w:val="single" w:color="auto"/>
          <w:color w:val="auto"/>
        </w:rPr>
        <w:t>Section 9.01</w:t>
      </w:r>
      <w:r>
        <w:rPr>
          <w:rFonts w:ascii="Times New Roman" w:cs="Times New Roman" w:eastAsia="Times New Roman" w:hAnsi="Times New Roman"/>
          <w:sz w:val="22"/>
          <w:szCs w:val="22"/>
          <w:color w:val="auto"/>
        </w:rPr>
        <w:t>), in the event that the written specifications pursuant to which Seller and its Affiliates have manufactured and packaged the Products (as defined in the Supply Agreement) changes, is modified or is revised, or otherwise does not remain identical to the Specifications (as defined in and provided pursuant to the Supply Agreement), in each case, as of the date hereof, the Seller shall promptly inform the Purchaser of such changes, modifications, revisions and the like in writing in reasonable detail and promptly respond in good faith to any reasonable written questions asked by or on behalf of the Purchaser in response to such notice and subsequent communications.</w:t>
      </w:r>
    </w:p>
    <w:p>
      <w:pPr>
        <w:spacing w:after="0" w:line="180" w:lineRule="exact"/>
        <w:rPr>
          <w:rFonts w:ascii="Times New Roman" w:cs="Times New Roman" w:eastAsia="Times New Roman" w:hAnsi="Times New Roman"/>
          <w:sz w:val="22"/>
          <w:szCs w:val="22"/>
          <w:color w:val="auto"/>
        </w:rPr>
      </w:pPr>
    </w:p>
    <w:p>
      <w:pPr>
        <w:jc w:val="both"/>
        <w:ind w:left="-224" w:firstLine="1304"/>
        <w:spacing w:after="0" w:line="256" w:lineRule="auto"/>
        <w:tabs>
          <w:tab w:leader="none" w:pos="1595"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nothing contained in this Agreement is intended to give Purchaser, directly or indirectly, the right to control or direct the Seller Group’s businesses, including, prior to the Closing, the Business. Prior to the Closing, the Seller Group shall exercise, consistent with the terms and conditions of this Agreement, complete control and supervision over its businesses and operations.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5" w:lineRule="exact"/>
        <w:rPr>
          <w:rFonts w:ascii="Times New Roman" w:cs="Times New Roman" w:eastAsia="Times New Roman" w:hAnsi="Times New Roman"/>
          <w:sz w:val="22"/>
          <w:szCs w:val="22"/>
          <w:color w:val="auto"/>
        </w:rPr>
      </w:pPr>
    </w:p>
    <w:p>
      <w:pPr>
        <w:ind w:left="136" w:hanging="136"/>
        <w:spacing w:after="0"/>
        <w:tabs>
          <w:tab w:leader="none" w:pos="136"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62 -</w:t>
      </w:r>
    </w:p>
    <w:p>
      <w:pPr>
        <w:sectPr>
          <w:pgSz w:w="11900" w:h="16838" w:orient="portrait"/>
          <w:cols w:equalWidth="0" w:num="1">
            <w:col w:w="11016"/>
          </w:cols>
          <w:pgMar w:left="544" w:top="1422" w:right="3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22"/>
          <w:szCs w:val="22"/>
          <w:color w:val="auto"/>
        </w:rPr>
        <w:t>ARTICLE VII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Additional Covenants of the Parties</w:t>
      </w:r>
    </w:p>
    <w:p>
      <w:pPr>
        <w:spacing w:after="0" w:line="220" w:lineRule="exact"/>
        <w:rPr>
          <w:sz w:val="20"/>
          <w:szCs w:val="20"/>
          <w:color w:val="auto"/>
        </w:rPr>
      </w:pPr>
    </w:p>
    <w:p>
      <w:pPr>
        <w:ind w:left="1380"/>
        <w:spacing w:after="0"/>
        <w:tabs>
          <w:tab w:leader="none" w:pos="2660" w:val="left"/>
        </w:tabs>
        <w:rPr>
          <w:sz w:val="20"/>
          <w:szCs w:val="20"/>
          <w:color w:val="auto"/>
        </w:rPr>
      </w:pPr>
      <w:r>
        <w:rPr>
          <w:rFonts w:ascii="Times New Roman" w:cs="Times New Roman" w:eastAsia="Times New Roman" w:hAnsi="Times New Roman"/>
          <w:sz w:val="22"/>
          <w:szCs w:val="22"/>
          <w:color w:val="auto"/>
        </w:rPr>
        <w:t>Section 7.01</w:t>
      </w:r>
      <w:r>
        <w:rPr>
          <w:sz w:val="20"/>
          <w:szCs w:val="20"/>
          <w:color w:val="auto"/>
        </w:rPr>
        <w:tab/>
      </w:r>
      <w:r>
        <w:rPr>
          <w:rFonts w:ascii="Times New Roman" w:cs="Times New Roman" w:eastAsia="Times New Roman" w:hAnsi="Times New Roman"/>
          <w:sz w:val="21"/>
          <w:szCs w:val="21"/>
          <w:u w:val="single" w:color="auto"/>
          <w:color w:val="auto"/>
        </w:rPr>
        <w:t>Efforts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4"/>
        <w:spacing w:after="0" w:line="260" w:lineRule="auto"/>
        <w:tabs>
          <w:tab w:leader="none" w:pos="1838" w:val="left"/>
        </w:tabs>
        <w:numPr>
          <w:ilvl w:val="1"/>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the terms and conditions of this Agreement, Purchaser and the Seller shall use their respective reasonable best efforts (unless, with respect to any action, another standard of performance is expressly provided for herein) to promptly take, or cause to be taken, all actions, and do, or cause to be done, and assist and cooperate with the other parties in doing, all things necessary, proper or advisable to cause the conditions to the Closing to be satisfied as promptly as reasonably practicable and to consummate and make effective, as promptly as reasonably practicable (but subject to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xml:space="preserve">), the Transactions, including using reasonable best efforts with respect to (i) preparing and filing promptly and fully all documentation to effect all necessary filings, notices, petitions, statements, registrations, submissions of information, applications and other documents, (ii) obtaining all Consents from any Governmental Authority or other Person necessary, proper or advisable to consummate the Transactions and (iii) executing and delivering any additional instruments necessary to consummate the Transactions, in the case of each of clauses (i) through (iii), other than with respect to filings, notices, petitions, statements, registrations, submissions of information, applications and other Consents relating to (A) Antitrust Laws, which are dealt with in </w:t>
      </w:r>
      <w:r>
        <w:rPr>
          <w:rFonts w:ascii="Times New Roman" w:cs="Times New Roman" w:eastAsia="Times New Roman" w:hAnsi="Times New Roman"/>
          <w:sz w:val="21"/>
          <w:szCs w:val="21"/>
          <w:u w:val="single" w:color="auto"/>
          <w:color w:val="auto"/>
        </w:rPr>
        <w:t>Sections 7.01(b)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xml:space="preserve">, (B) Transferred Assets and Shared Contracts (where applicable), which are dealt with in </w:t>
      </w:r>
      <w:r>
        <w:rPr>
          <w:rFonts w:ascii="Times New Roman" w:cs="Times New Roman" w:eastAsia="Times New Roman" w:hAnsi="Times New Roman"/>
          <w:sz w:val="21"/>
          <w:szCs w:val="21"/>
          <w:u w:val="single" w:color="auto"/>
          <w:color w:val="auto"/>
        </w:rPr>
        <w:t>Section 2.04</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7.01(d)</w:t>
      </w:r>
      <w:r>
        <w:rPr>
          <w:rFonts w:ascii="Times New Roman" w:cs="Times New Roman" w:eastAsia="Times New Roman" w:hAnsi="Times New Roman"/>
          <w:sz w:val="21"/>
          <w:szCs w:val="21"/>
          <w:color w:val="auto"/>
        </w:rPr>
        <w:t xml:space="preserve">, respectively, and (C) Supply Agreement pricing, which is dealt with in </w:t>
      </w:r>
      <w:r>
        <w:rPr>
          <w:rFonts w:ascii="Times New Roman" w:cs="Times New Roman" w:eastAsia="Times New Roman" w:hAnsi="Times New Roman"/>
          <w:sz w:val="21"/>
          <w:szCs w:val="21"/>
          <w:u w:val="single" w:color="auto"/>
          <w:color w:val="auto"/>
        </w:rPr>
        <w:t>Section 7.23</w:t>
      </w:r>
      <w:r>
        <w:rPr>
          <w:rFonts w:ascii="Times New Roman" w:cs="Times New Roman" w:eastAsia="Times New Roman" w:hAnsi="Times New Roman"/>
          <w:sz w:val="21"/>
          <w:szCs w:val="21"/>
          <w:color w:val="auto"/>
        </w:rPr>
        <w:t>.</w:t>
      </w:r>
    </w:p>
    <w:p>
      <w:pPr>
        <w:spacing w:after="0" w:line="176" w:lineRule="exact"/>
        <w:rPr>
          <w:rFonts w:ascii="Times New Roman" w:cs="Times New Roman" w:eastAsia="Times New Roman" w:hAnsi="Times New Roman"/>
          <w:sz w:val="21"/>
          <w:szCs w:val="21"/>
          <w:color w:val="auto"/>
        </w:rPr>
      </w:pPr>
    </w:p>
    <w:p>
      <w:pPr>
        <w:jc w:val="both"/>
        <w:ind w:firstLine="1304"/>
        <w:spacing w:after="0" w:line="247" w:lineRule="auto"/>
        <w:tabs>
          <w:tab w:leader="none" w:pos="1769"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parties hereto agrees to (i) make an appropriate filing of a Notification and Report Form pursuant to the HSR Act with respect to the Transactions (which shall request the early termination of any waiting period applicable to the Transactions under the HSR Act) and any required notification under any other Antitrust Laws as promptly as reasonably practicable following the date of this Agreement, and in any event no later than 5:00 p.m. New York City time on such date that is 25 Business Days following the date hereof, and (ii) supply as promptly as reasonably practicable any additional information and documentary material that may be requested pursuant to the HSR Act and such other Antitrust Laws and to promptly take any and all steps necessary to avoid or eliminate each and every impediment and obtain all Consents under any Antitrust Laws that may be required by any foreign or U.S. federal, state or local Governmental Authority, in each case with competent jurisdiction so as to enable the parties hereto to consummate the Transactions prior to the Termination Date. Without limiting the foregoing, Purchaser shall promptly take, or cause to be taken, any and all actions reasonably necessary to secure the expiration or termination of any applicable waiting period under the HSR Act (“</w:t>
      </w:r>
      <w:r>
        <w:rPr>
          <w:rFonts w:ascii="Times New Roman" w:cs="Times New Roman" w:eastAsia="Times New Roman" w:hAnsi="Times New Roman"/>
          <w:sz w:val="22"/>
          <w:szCs w:val="22"/>
          <w:u w:val="single" w:color="auto"/>
          <w:color w:val="auto"/>
        </w:rPr>
        <w:t>HSR Approval</w:t>
      </w:r>
      <w:r>
        <w:rPr>
          <w:rFonts w:ascii="Times New Roman" w:cs="Times New Roman" w:eastAsia="Times New Roman" w:hAnsi="Times New Roman"/>
          <w:sz w:val="22"/>
          <w:szCs w:val="22"/>
          <w:color w:val="auto"/>
        </w:rPr>
        <w:t>”) or any other Antitrust Law or any other Consent under Antitrust Laws, and resolve any objections asserted with respect to the Transactions under the Federal Trade Commission Act or any other applicable Law raised by any Governmental Authority, in order to prevent the entry of, or to have vacated, lifted, reversed or overturned, any Restraint that would prevent, prohibit or restrict the consummation of the Transactions or delay the consummation of the Transactions beyond the Termination Date, including (i) (A) executing settlements, undertakings, consent decrees, stipulations or other agreements with any Governmental Authority or with any other Person, (B) selling, divesting or otherwise conveying or holding separate particular assets or categories of assets or businesses of Purchaser (including, after the Closing, any Transferred Assets), (C) agreeing to sell, divest or otherwise convey or hold separate any particular assets or</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2" w:lineRule="exact"/>
        <w:rPr>
          <w:rFonts w:ascii="Times New Roman" w:cs="Times New Roman" w:eastAsia="Times New Roman" w:hAnsi="Times New Roman"/>
          <w:sz w:val="22"/>
          <w:szCs w:val="22"/>
          <w:color w:val="auto"/>
        </w:rPr>
      </w:pPr>
    </w:p>
    <w:p>
      <w:pPr>
        <w:ind w:left="360" w:hanging="136"/>
        <w:spacing w:after="0"/>
        <w:tabs>
          <w:tab w:leader="none" w:pos="36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63 -</w:t>
      </w:r>
    </w:p>
    <w:p>
      <w:pPr>
        <w:sectPr>
          <w:pgSz w:w="11900" w:h="16838" w:orient="portrait"/>
          <w:cols w:equalWidth="0" w:num="1">
            <w:col w:w="11240"/>
          </w:cols>
          <w:pgMar w:left="320" w:top="1422" w:right="339" w:bottom="1440" w:gutter="0" w:footer="0" w:header="0"/>
        </w:sectPr>
      </w:pPr>
    </w:p>
    <w:bookmarkStart w:id="132" w:name="page133"/>
    <w:bookmarkEnd w:id="132"/>
    <w:p>
      <w:pPr>
        <w:jc w:val="both"/>
        <w:spacing w:after="0" w:line="259" w:lineRule="auto"/>
        <w:rPr>
          <w:sz w:val="20"/>
          <w:szCs w:val="20"/>
          <w:color w:val="auto"/>
        </w:rPr>
      </w:pPr>
      <w:r>
        <w:rPr>
          <w:rFonts w:ascii="Times New Roman" w:cs="Times New Roman" w:eastAsia="Times New Roman" w:hAnsi="Times New Roman"/>
          <w:sz w:val="21"/>
          <w:szCs w:val="21"/>
          <w:color w:val="auto"/>
        </w:rPr>
        <w:t>categories of assets or businesses of Purchaser (including, after the Closing, any Transferred Assets), (D) terminating existing relationships, contractual rights or obligations of Purchaser, (E) terminating any joint venture or other arrangement, (F) creating any relationship, contractual right or obligation of Purchaser or (G) effectuating any other change or restructuring of Purchaser (and, in each case, entering into agreements or stipulating to the entry of any Judgment by, or filing appropriate applications with, the Federal Trade Commission (the “</w:t>
      </w:r>
      <w:r>
        <w:rPr>
          <w:rFonts w:ascii="Times New Roman" w:cs="Times New Roman" w:eastAsia="Times New Roman" w:hAnsi="Times New Roman"/>
          <w:sz w:val="21"/>
          <w:szCs w:val="21"/>
          <w:u w:val="single" w:color="auto"/>
          <w:color w:val="auto"/>
        </w:rPr>
        <w:t>FTC</w:t>
      </w:r>
      <w:r>
        <w:rPr>
          <w:rFonts w:ascii="Times New Roman" w:cs="Times New Roman" w:eastAsia="Times New Roman" w:hAnsi="Times New Roman"/>
          <w:sz w:val="21"/>
          <w:szCs w:val="21"/>
          <w:color w:val="auto"/>
        </w:rPr>
        <w:t>”), the Antitrust Division of the Department of Justice (the “</w:t>
      </w:r>
      <w:r>
        <w:rPr>
          <w:rFonts w:ascii="Times New Roman" w:cs="Times New Roman" w:eastAsia="Times New Roman" w:hAnsi="Times New Roman"/>
          <w:sz w:val="21"/>
          <w:szCs w:val="21"/>
          <w:u w:val="single" w:color="auto"/>
          <w:color w:val="auto"/>
        </w:rPr>
        <w:t>DOJ</w:t>
      </w:r>
      <w:r>
        <w:rPr>
          <w:rFonts w:ascii="Times New Roman" w:cs="Times New Roman" w:eastAsia="Times New Roman" w:hAnsi="Times New Roman"/>
          <w:sz w:val="21"/>
          <w:szCs w:val="21"/>
          <w:color w:val="auto"/>
        </w:rPr>
        <w:t xml:space="preserve">”) or any other Governmental Authority in connection with any of the foregoing and, in the case of actions by or with respect to the Seller, by consenting to such action by the Seller (including any Consents required under this Agreement or the other Transaction Documents with respect to such action);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such action may, at the discretion of the Seller, be conditioned upon the Closing) and (ii) defending through litigation any claim asserted in a court or administrative or other tribunal by any Person (including any Governmental Authority) in order to avoid entry of, or to have vacated or terminated, any Restraint that would or would reasonably be expected to prevent the Closing from occurring prior to the Termination Date. All such efforts shall be unconditional and shall not be qualified in any manner and no actions taken pursuant to this </w:t>
      </w:r>
      <w:r>
        <w:rPr>
          <w:rFonts w:ascii="Times New Roman" w:cs="Times New Roman" w:eastAsia="Times New Roman" w:hAnsi="Times New Roman"/>
          <w:sz w:val="21"/>
          <w:szCs w:val="21"/>
          <w:u w:val="single" w:color="auto"/>
          <w:color w:val="auto"/>
        </w:rPr>
        <w:t>Section 7.01</w:t>
      </w:r>
      <w:r>
        <w:rPr>
          <w:rFonts w:ascii="Times New Roman" w:cs="Times New Roman" w:eastAsia="Times New Roman" w:hAnsi="Times New Roman"/>
          <w:sz w:val="21"/>
          <w:szCs w:val="21"/>
          <w:color w:val="auto"/>
        </w:rPr>
        <w:t xml:space="preserve"> shall be considered for purposes of determining whether a Material Adverse Effect has occurred or would reasonably be expected to occur. Purchaser shall respond to and seek to resolve as promptly as reasonably practicable any objections asserted by any Governmental Authority with respect to the Transactions. The Seller and Purchaser and, in the case of the Seller, shall cause its Affiliates not to, take any action with the intention to, or that could reasonably be expected to, materially hinder or delay the expiration or termination of any waiting period under the HSR Act or the obtaining of the approval of the DOJ or FTC as necessary. Nothing in this Agreement shall require any party to take or agree to take any action with respect to its business or operations unless the effectiveness of such agreement or action is conditioned upon the Closing. The parties acknowledge and agree that Purchaser shall control and direct, and the Seller will cooperate reasonably, subject to applicable Law, with such direction and control, all strategy and decisions with respect to obtaining all Consents from any Governmental Authority in connection with the Transactions, including all filings (including where to file and the timing of such filings) and any withdrawals and/or refiling thereof, strategies, processes, negotiations of settlements (if any), and related proceedings contemplated by this </w:t>
      </w:r>
      <w:r>
        <w:rPr>
          <w:rFonts w:ascii="Times New Roman" w:cs="Times New Roman" w:eastAsia="Times New Roman" w:hAnsi="Times New Roman"/>
          <w:sz w:val="21"/>
          <w:szCs w:val="21"/>
          <w:u w:val="single" w:color="auto"/>
          <w:color w:val="auto"/>
        </w:rPr>
        <w:t>Section 7.01</w:t>
      </w:r>
      <w:r>
        <w:rPr>
          <w:rFonts w:ascii="Times New Roman" w:cs="Times New Roman" w:eastAsia="Times New Roman" w:hAnsi="Times New Roman"/>
          <w:sz w:val="21"/>
          <w:szCs w:val="21"/>
          <w:color w:val="auto"/>
        </w:rPr>
        <w:t>, provided that Purchaser shall consult with and consider in good faith the views of the Seller regarding the form and content of any such filings, withdrawals, refilings, strategies, processes, negotiations and related proceedings.</w:t>
      </w:r>
    </w:p>
    <w:p>
      <w:pPr>
        <w:spacing w:after="0" w:line="200" w:lineRule="exact"/>
        <w:rPr>
          <w:sz w:val="20"/>
          <w:szCs w:val="20"/>
          <w:color w:val="auto"/>
        </w:rPr>
      </w:pPr>
    </w:p>
    <w:p>
      <w:pPr>
        <w:spacing w:after="0" w:line="242" w:lineRule="exact"/>
        <w:rPr>
          <w:sz w:val="20"/>
          <w:szCs w:val="20"/>
          <w:color w:val="auto"/>
        </w:rPr>
      </w:pPr>
    </w:p>
    <w:p>
      <w:pPr>
        <w:jc w:val="both"/>
        <w:ind w:firstLine="1304"/>
        <w:spacing w:after="0" w:line="259" w:lineRule="auto"/>
        <w:tabs>
          <w:tab w:leader="none" w:pos="1789" w:val="left"/>
        </w:tabs>
        <w:numPr>
          <w:ilvl w:val="1"/>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parties hereto shall use its reasonable best efforts to (i) cooperate in all respects with each other in connection with any filing, submission or written communication with a Governmental Authority in connection with the Transactions and in connection with any investigation or other inquiry by or before a Governmental Authority relating to the Transactions, including any proceeding initiated by a private person, and allow the other party to review in advance and consider in good faith the views of the other party with respect to such filing, submission, or written communication, (ii) keep the other parties hereto informed in all material respects and on a reasonably timely basis of any material communication received by such party from, or given by such party to, the FTC, the DOJ or any other Governmental Authority and of any material communication received or given in connection with any proceeding by a private Person, in each case regarding any of the Transactions,</w:t>
      </w:r>
    </w:p>
    <w:p>
      <w:pPr>
        <w:spacing w:after="0" w:line="4" w:lineRule="exact"/>
        <w:rPr>
          <w:rFonts w:ascii="Times New Roman" w:cs="Times New Roman" w:eastAsia="Times New Roman" w:hAnsi="Times New Roman"/>
          <w:sz w:val="21"/>
          <w:szCs w:val="21"/>
          <w:color w:val="auto"/>
        </w:rPr>
      </w:pPr>
    </w:p>
    <w:p>
      <w:pPr>
        <w:jc w:val="both"/>
        <w:ind w:firstLine="8"/>
        <w:spacing w:after="0" w:line="249" w:lineRule="auto"/>
        <w:tabs>
          <w:tab w:leader="none" w:pos="383"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applicable Laws relating to the exchange of information, and to the extent reasonably practicable, consult with the other parties hereto with respect to information relating to the other parties hereto and their respective Subsidiaries, as the case may be, that appears in any filing made with, or written materials submitted to, any third Person or any Governmental Authority in connection with the Transactions, and (iv) to the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- 64 -</w:t>
      </w:r>
    </w:p>
    <w:p>
      <w:pPr>
        <w:sectPr>
          <w:pgSz w:w="11900" w:h="16838" w:orient="portrait"/>
          <w:cols w:equalWidth="0" w:num="1">
            <w:col w:w="11240"/>
          </w:cols>
          <w:pgMar w:left="320" w:top="1421" w:right="339" w:bottom="1440" w:gutter="0" w:footer="0" w:header="0"/>
        </w:sectPr>
      </w:pPr>
    </w:p>
    <w:bookmarkStart w:id="133" w:name="page134"/>
    <w:bookmarkEnd w:id="133"/>
    <w:p>
      <w:pPr>
        <w:spacing w:after="0" w:line="271" w:lineRule="auto"/>
        <w:rPr>
          <w:sz w:val="20"/>
          <w:szCs w:val="20"/>
          <w:color w:val="auto"/>
        </w:rPr>
      </w:pPr>
      <w:r>
        <w:rPr>
          <w:rFonts w:ascii="Times New Roman" w:cs="Times New Roman" w:eastAsia="Times New Roman" w:hAnsi="Times New Roman"/>
          <w:sz w:val="22"/>
          <w:szCs w:val="22"/>
          <w:color w:val="auto"/>
        </w:rPr>
        <w:t>permitted by the FTC, the DOJ or such other applicable Governmental Authority or other Person, give the other parties hereto reasonably prompt notice of, and the reasonable opportunity to attend and participate in, such meetings and conferences.</w:t>
      </w:r>
    </w:p>
    <w:p>
      <w:pPr>
        <w:spacing w:after="0" w:line="158" w:lineRule="exact"/>
        <w:rPr>
          <w:sz w:val="20"/>
          <w:szCs w:val="20"/>
          <w:color w:val="auto"/>
        </w:rPr>
      </w:pPr>
    </w:p>
    <w:p>
      <w:pPr>
        <w:jc w:val="both"/>
        <w:ind w:firstLine="1304"/>
        <w:spacing w:after="0" w:line="259" w:lineRule="auto"/>
        <w:tabs>
          <w:tab w:leader="none" w:pos="1866" w:val="left"/>
        </w:tabs>
        <w:numPr>
          <w:ilvl w:val="1"/>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to the contrary in </w:t>
      </w:r>
      <w:r>
        <w:rPr>
          <w:rFonts w:ascii="Times New Roman" w:cs="Times New Roman" w:eastAsia="Times New Roman" w:hAnsi="Times New Roman"/>
          <w:sz w:val="21"/>
          <w:szCs w:val="21"/>
          <w:u w:val="single" w:color="auto"/>
          <w:color w:val="auto"/>
        </w:rPr>
        <w:t>Section 2.04</w:t>
      </w:r>
      <w:r>
        <w:rPr>
          <w:rFonts w:ascii="Times New Roman" w:cs="Times New Roman" w:eastAsia="Times New Roman" w:hAnsi="Times New Roman"/>
          <w:sz w:val="21"/>
          <w:szCs w:val="21"/>
          <w:color w:val="auto"/>
        </w:rPr>
        <w:t xml:space="preserve">, Purchaser and Seller shall cooperate and shall cause their Affiliates to cooperate using their respective commercially reasonable efforts to transfer, assign, obtain, or to cause to be transferred, assigned or obtained, prior to the Closing or as soon as practicable thereafter, all Environmental Permits, including any Environmental Permit necessary for Purchaser to own, operate or occupy the Business or the Transferred Assets. In furtherance of the foregoing, (i) during the period commencing on the date hereof and continuing until six (6) months after the Closing Date, each of Purchaser and Seller shall provide or cause to be provided to the other party all commercially reasonable assistance as is reasonably requested in connection with transferring, assigning, obtaining or securing (and/or terminating, if required by Law or Environmental Law) any such Environmental Permits, and (ii) if any Environmental Permits are not transferred, assigned, obtained or secured prior to the Closing, pending the earlier of obtaining of such Environmental Permit and the expiration of such six (6) month period, Purchaser and Seller shall use commercially reasonable efforts to cooperate in any lawful and reasonable arrangement under which Purchaser shall obtain the benefit of and bear the burdens and obligations of ownership of any such Environmental Permits held by Seller in connection with the ownership or operation of the Business or the Transferred Assets;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Seller shall not be required to pay any consideration therefor or to commence any litigation or offer or grant any accommodation (financial or otherwise) to any third party;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subject to and without in any way limiting Seller’s obligations pursuant to </w:t>
      </w:r>
      <w:r>
        <w:rPr>
          <w:rFonts w:ascii="Times New Roman" w:cs="Times New Roman" w:eastAsia="Times New Roman" w:hAnsi="Times New Roman"/>
          <w:sz w:val="21"/>
          <w:szCs w:val="21"/>
          <w:u w:val="single" w:color="auto"/>
          <w:color w:val="auto"/>
        </w:rPr>
        <w:t>Section 10.02</w:t>
      </w:r>
      <w:r>
        <w:rPr>
          <w:rFonts w:ascii="Times New Roman" w:cs="Times New Roman" w:eastAsia="Times New Roman" w:hAnsi="Times New Roman"/>
          <w:sz w:val="21"/>
          <w:szCs w:val="21"/>
          <w:color w:val="auto"/>
        </w:rPr>
        <w:t xml:space="preserve"> (including as they relate to Legacy Environmental Release Liabilities), Purchaser shall indemnify, defend and hold harmless the Seller Indemnitees from and against any and all Losses arising out of or relating to any Environmental Permit held by Seller for the benefit of Purchaser pursuant to any arrangement established pursuant to clause (ii). Seller’s obligations regarding Environmental Permits pursuant to this </w:t>
      </w:r>
      <w:r>
        <w:rPr>
          <w:rFonts w:ascii="Times New Roman" w:cs="Times New Roman" w:eastAsia="Times New Roman" w:hAnsi="Times New Roman"/>
          <w:sz w:val="21"/>
          <w:szCs w:val="21"/>
          <w:u w:val="single" w:color="auto"/>
          <w:color w:val="auto"/>
        </w:rPr>
        <w:t>Section 7.01(d)</w:t>
      </w:r>
      <w:r>
        <w:rPr>
          <w:rFonts w:ascii="Times New Roman" w:cs="Times New Roman" w:eastAsia="Times New Roman" w:hAnsi="Times New Roman"/>
          <w:sz w:val="21"/>
          <w:szCs w:val="21"/>
          <w:color w:val="auto"/>
        </w:rPr>
        <w:t xml:space="preserve"> shall cease six (6) months after the Closing Date, at which point Seller will be deemed to have fulfilled all related requirements under this </w:t>
      </w:r>
      <w:r>
        <w:rPr>
          <w:rFonts w:ascii="Times New Roman" w:cs="Times New Roman" w:eastAsia="Times New Roman" w:hAnsi="Times New Roman"/>
          <w:sz w:val="21"/>
          <w:szCs w:val="21"/>
          <w:u w:val="single" w:color="auto"/>
          <w:color w:val="auto"/>
        </w:rPr>
        <w:t>Section 7.01(d)</w:t>
      </w:r>
      <w:r>
        <w:rPr>
          <w:rFonts w:ascii="Times New Roman" w:cs="Times New Roman" w:eastAsia="Times New Roman" w:hAnsi="Times New Roman"/>
          <w:sz w:val="21"/>
          <w:szCs w:val="21"/>
          <w:color w:val="auto"/>
        </w:rPr>
        <w:t xml:space="preserve"> of the Agreement and under no circumstances shall the Purchase Price be reduced or the Seller Group be subject to any Liability on account of the failure to obtain any Environmental Permit pursuant to this </w:t>
      </w:r>
      <w:r>
        <w:rPr>
          <w:rFonts w:ascii="Times New Roman" w:cs="Times New Roman" w:eastAsia="Times New Roman" w:hAnsi="Times New Roman"/>
          <w:sz w:val="21"/>
          <w:szCs w:val="21"/>
          <w:u w:val="single" w:color="auto"/>
          <w:color w:val="auto"/>
        </w:rPr>
        <w:t>Section 7.01(d)</w:t>
      </w:r>
      <w:r>
        <w:rPr>
          <w:rFonts w:ascii="Times New Roman" w:cs="Times New Roman" w:eastAsia="Times New Roman" w:hAnsi="Times New Roman"/>
          <w:sz w:val="21"/>
          <w:szCs w:val="21"/>
          <w:color w:val="auto"/>
        </w:rPr>
        <w:t>.</w:t>
      </w:r>
    </w:p>
    <w:p>
      <w:pPr>
        <w:spacing w:after="0" w:line="183" w:lineRule="exact"/>
        <w:rPr>
          <w:rFonts w:ascii="Times New Roman" w:cs="Times New Roman" w:eastAsia="Times New Roman" w:hAnsi="Times New Roman"/>
          <w:sz w:val="21"/>
          <w:szCs w:val="21"/>
          <w:color w:val="auto"/>
        </w:rPr>
      </w:pPr>
    </w:p>
    <w:p>
      <w:pPr>
        <w:jc w:val="both"/>
        <w:ind w:firstLine="1304"/>
        <w:spacing w:after="0" w:line="256" w:lineRule="auto"/>
        <w:tabs>
          <w:tab w:leader="none" w:pos="1795"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in this Agreement, no member of the Seller Group shall have any obligation to pay money or offer or make any concession or grant any accommodation (financial or otherwise) to any Governmental Authority or other third party in connection with the performance of their respective obligations under this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74" w:lineRule="exact"/>
        <w:rPr>
          <w:rFonts w:ascii="Times New Roman" w:cs="Times New Roman" w:eastAsia="Times New Roman" w:hAnsi="Times New Roman"/>
          <w:sz w:val="22"/>
          <w:szCs w:val="22"/>
          <w:color w:val="auto"/>
        </w:rPr>
      </w:pPr>
    </w:p>
    <w:p>
      <w:pPr>
        <w:ind w:left="360" w:hanging="136"/>
        <w:spacing w:after="0"/>
        <w:tabs>
          <w:tab w:leader="none" w:pos="36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65 -</w:t>
      </w:r>
    </w:p>
    <w:p>
      <w:pPr>
        <w:sectPr>
          <w:pgSz w:w="11900" w:h="16838" w:orient="portrait"/>
          <w:cols w:equalWidth="0" w:num="1">
            <w:col w:w="11240"/>
          </w:cols>
          <w:pgMar w:left="320" w:top="1421" w:right="339" w:bottom="1440" w:gutter="0" w:footer="0" w:header="0"/>
        </w:sectPr>
      </w:pPr>
    </w:p>
    <w:bookmarkStart w:id="134" w:name="page135"/>
    <w:bookmarkEnd w:id="134"/>
    <w:p>
      <w:pPr>
        <w:ind w:left="1156"/>
        <w:spacing w:after="0"/>
        <w:tabs>
          <w:tab w:leader="none" w:pos="2436" w:val="left"/>
        </w:tabs>
        <w:rPr>
          <w:sz w:val="20"/>
          <w:szCs w:val="20"/>
          <w:color w:val="auto"/>
        </w:rPr>
      </w:pPr>
      <w:r>
        <w:rPr>
          <w:rFonts w:ascii="Times New Roman" w:cs="Times New Roman" w:eastAsia="Times New Roman" w:hAnsi="Times New Roman"/>
          <w:sz w:val="22"/>
          <w:szCs w:val="22"/>
          <w:color w:val="auto"/>
        </w:rPr>
        <w:t>Section 7.02</w:t>
      </w:r>
      <w:r>
        <w:rPr>
          <w:sz w:val="20"/>
          <w:szCs w:val="20"/>
          <w:color w:val="auto"/>
        </w:rPr>
        <w:tab/>
      </w:r>
      <w:r>
        <w:rPr>
          <w:rFonts w:ascii="Times New Roman" w:cs="Times New Roman" w:eastAsia="Times New Roman" w:hAnsi="Times New Roman"/>
          <w:sz w:val="21"/>
          <w:szCs w:val="21"/>
          <w:u w:val="single" w:color="auto"/>
          <w:color w:val="auto"/>
        </w:rPr>
        <w:t>Public Announcements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224" w:firstLine="1304"/>
        <w:spacing w:after="0" w:line="248" w:lineRule="auto"/>
        <w:tabs>
          <w:tab w:leader="none" w:pos="1530"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and Purchaser agree that the initial press release to be issued with respect to the Transactions following execution of this Agreement shall be in the form agreed to by the parties (the “</w:t>
      </w:r>
      <w:r>
        <w:rPr>
          <w:rFonts w:ascii="Times New Roman" w:cs="Times New Roman" w:eastAsia="Times New Roman" w:hAnsi="Times New Roman"/>
          <w:sz w:val="22"/>
          <w:szCs w:val="22"/>
          <w:u w:val="single" w:color="auto"/>
          <w:color w:val="auto"/>
        </w:rPr>
        <w:t>Announcement</w:t>
      </w:r>
      <w:r>
        <w:rPr>
          <w:rFonts w:ascii="Times New Roman" w:cs="Times New Roman" w:eastAsia="Times New Roman" w:hAnsi="Times New Roman"/>
          <w:sz w:val="22"/>
          <w:szCs w:val="22"/>
          <w:color w:val="auto"/>
        </w:rPr>
        <w:t xml:space="preserve">”). Purchaser and the Seller shall consult with each other before issuing, and give each other the opportunity to review and comment upon, any other press release or other public statements with respect to the Transactions, and shall not issue any such press release or make any such public statement without the prior consent of the other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event that such press release or other public statement shall be required by applicable Law, Judgment or the applicable rules and regulations of any national securities exchange or national securities quotation system, then the disclosing party shall be required to consult with the other party and give such other party a reasonable opportunity to review and comment on such public statement prior to its release to the extent permitted by Law or such other applicable rules and regulations. Notwithstanding the forgoing, this </w:t>
      </w:r>
      <w:r>
        <w:rPr>
          <w:rFonts w:ascii="Times New Roman" w:cs="Times New Roman" w:eastAsia="Times New Roman" w:hAnsi="Times New Roman"/>
          <w:sz w:val="22"/>
          <w:szCs w:val="22"/>
          <w:u w:val="single" w:color="auto"/>
          <w:color w:val="auto"/>
        </w:rPr>
        <w:t>Section 7.02</w:t>
      </w:r>
      <w:r>
        <w:rPr>
          <w:rFonts w:ascii="Times New Roman" w:cs="Times New Roman" w:eastAsia="Times New Roman" w:hAnsi="Times New Roman"/>
          <w:sz w:val="22"/>
          <w:szCs w:val="22"/>
          <w:color w:val="auto"/>
        </w:rPr>
        <w:t xml:space="preserve"> shall not apply to any press release or other public statement made by any party hereto which is consistent with the Announcement and the terms of this Agreement and does not contain any information relating to the Transactions that has not been previously announced or made public in accordance with the terms of this Agreement.</w:t>
      </w:r>
    </w:p>
    <w:p>
      <w:pPr>
        <w:spacing w:after="0" w:line="184" w:lineRule="exact"/>
        <w:rPr>
          <w:rFonts w:ascii="Times New Roman" w:cs="Times New Roman" w:eastAsia="Times New Roman" w:hAnsi="Times New Roman"/>
          <w:sz w:val="22"/>
          <w:szCs w:val="22"/>
          <w:color w:val="auto"/>
        </w:rPr>
      </w:pPr>
    </w:p>
    <w:p>
      <w:pPr>
        <w:jc w:val="both"/>
        <w:ind w:left="-224" w:firstLine="1304"/>
        <w:spacing w:after="0" w:line="247" w:lineRule="auto"/>
        <w:tabs>
          <w:tab w:leader="none" w:pos="1567"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party agrees that the terms of this Agreement shall not be disclosed or otherwise made available to the public, and that copies of this Agreement shall not be publicly filed or otherwise made available to the public, except where such disclosure, availability or filing is required by applicable Law or the rules and regulations of any applicable stock exchange (and only to the extent required by such Law or rules and regulations of the applicable stock exchange, as applicable). In the event that such disclosure, availability or filing is required pursuant to the immediately preceding sentence, each party agrees to use its commercially reasonable efforts to obtain “confidential treatment” of this Agreement with the applicable Governmental Authority and to redact (to the extent permissible) such terms of this Agreement as the other party shall reasonably request. For the avoidance of doubt, Seller and Purchaser acknowledge and agree that Purchaser may provide general information about the subject matter of this Agreement to its existing and prospective investors in connection with customary fund raising, marketing, informational or reporting activities;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other than financial information that is publicly available (including pursuant to this </w:t>
      </w:r>
      <w:r>
        <w:rPr>
          <w:rFonts w:ascii="Times New Roman" w:cs="Times New Roman" w:eastAsia="Times New Roman" w:hAnsi="Times New Roman"/>
          <w:sz w:val="22"/>
          <w:szCs w:val="22"/>
          <w:u w:val="single" w:color="auto"/>
          <w:color w:val="auto"/>
        </w:rPr>
        <w:t>Section 7.02)</w:t>
      </w:r>
      <w:r>
        <w:rPr>
          <w:rFonts w:ascii="Times New Roman" w:cs="Times New Roman" w:eastAsia="Times New Roman" w:hAnsi="Times New Roman"/>
          <w:sz w:val="22"/>
          <w:szCs w:val="22"/>
          <w:color w:val="auto"/>
        </w:rPr>
        <w:t>, any financial information shall be aggregated with other financial information and not provided or disclosed on a stand-alone basis, and (ii) all such existing and prospective investors must have entered into a commercially reasonable confidentiality agreement prior to receiving any confidential information regarding the Transactions. Without in any way limiting the foregoing restrictions, from and after the date hereof until the earlier of the termination of this Agreement and the Closing, the Seller shall not, and shall cause its Affiliates not to, make any broad-based announcements regarding the Transactions (i) to any customers, suppliers or other business relationships without Purchaser’s prior written consent (not to be unreasonably withheld, conditioned or delayed) or (ii) to any employees, in each case of this clause (ii), without first providing Purchaser with a draft of such announcement at least two (2) Business Days prior to making such announcement and considering in good faith whether to implement any reasonable comments provided by Purchaser in respect thereof; provided, that, for the avoidance of doubt, (A) Seller shall be permitted to make an announcement pursuant to the immediately preceding clause (ii) without considering Purchaser’s reasonable comments if Purchaser does not provide its comments within two (2) Business Days of receipt of the draft announcement, (B) responses to one-off questions from employees, suppliers, customers or other business relationships shall not be subject to clause (i) or (ii) above, in each case, so long as such responses are not reasonably expected to be adverse to Purchaser or Gemspring and do</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0" w:lineRule="exact"/>
        <w:rPr>
          <w:rFonts w:ascii="Times New Roman" w:cs="Times New Roman" w:eastAsia="Times New Roman" w:hAnsi="Times New Roman"/>
          <w:sz w:val="22"/>
          <w:szCs w:val="22"/>
          <w:color w:val="auto"/>
        </w:rPr>
      </w:pPr>
    </w:p>
    <w:p>
      <w:pPr>
        <w:ind w:left="136" w:hanging="136"/>
        <w:spacing w:after="0"/>
        <w:tabs>
          <w:tab w:leader="none" w:pos="136"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66 -</w:t>
      </w:r>
    </w:p>
    <w:p>
      <w:pPr>
        <w:sectPr>
          <w:pgSz w:w="11900" w:h="16838" w:orient="portrait"/>
          <w:cols w:equalWidth="0" w:num="1">
            <w:col w:w="11016"/>
          </w:cols>
          <w:pgMar w:left="544" w:top="1421" w:right="339" w:bottom="1440" w:gutter="0" w:footer="0" w:header="0"/>
        </w:sectPr>
      </w:pPr>
    </w:p>
    <w:bookmarkStart w:id="135" w:name="page136"/>
    <w:bookmarkEnd w:id="135"/>
    <w:p>
      <w:pPr>
        <w:jc w:val="both"/>
        <w:spacing w:after="0" w:line="257" w:lineRule="auto"/>
        <w:rPr>
          <w:sz w:val="20"/>
          <w:szCs w:val="20"/>
          <w:color w:val="auto"/>
        </w:rPr>
      </w:pPr>
      <w:r>
        <w:rPr>
          <w:rFonts w:ascii="Times New Roman" w:cs="Times New Roman" w:eastAsia="Times New Roman" w:hAnsi="Times New Roman"/>
          <w:sz w:val="22"/>
          <w:szCs w:val="22"/>
          <w:color w:val="auto"/>
        </w:rPr>
        <w:t>not portray Purchaser or Gemspring in a negative light, and (C) Seller shall be permitted to make an announcement without complying with its obligations under clause (i) or (ii) above if such announcement is the same as, or substantially similar to, broad-based investor relation announcements or any announcement previously agreed to by Purchaser in writing.</w:t>
      </w:r>
    </w:p>
    <w:p>
      <w:pPr>
        <w:spacing w:after="0" w:line="186" w:lineRule="exact"/>
        <w:rPr>
          <w:sz w:val="20"/>
          <w:szCs w:val="20"/>
          <w:color w:val="auto"/>
        </w:rPr>
      </w:pPr>
    </w:p>
    <w:p>
      <w:pPr>
        <w:ind w:left="1380"/>
        <w:spacing w:after="0"/>
        <w:tabs>
          <w:tab w:leader="none" w:pos="2660" w:val="left"/>
        </w:tabs>
        <w:rPr>
          <w:sz w:val="20"/>
          <w:szCs w:val="20"/>
          <w:color w:val="auto"/>
        </w:rPr>
      </w:pPr>
      <w:r>
        <w:rPr>
          <w:rFonts w:ascii="Times New Roman" w:cs="Times New Roman" w:eastAsia="Times New Roman" w:hAnsi="Times New Roman"/>
          <w:sz w:val="22"/>
          <w:szCs w:val="22"/>
          <w:color w:val="auto"/>
        </w:rPr>
        <w:t>Section 7.03</w:t>
      </w:r>
      <w:r>
        <w:rPr>
          <w:sz w:val="20"/>
          <w:szCs w:val="20"/>
          <w:color w:val="auto"/>
        </w:rPr>
        <w:tab/>
      </w:r>
      <w:r>
        <w:rPr>
          <w:rFonts w:ascii="Times New Roman" w:cs="Times New Roman" w:eastAsia="Times New Roman" w:hAnsi="Times New Roman"/>
          <w:sz w:val="21"/>
          <w:szCs w:val="21"/>
          <w:u w:val="single" w:color="auto"/>
          <w:color w:val="auto"/>
        </w:rPr>
        <w:t>Access to Information; Confidentiality; Separation Matters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6" w:lineRule="auto"/>
        <w:tabs>
          <w:tab w:leader="none" w:pos="1811"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applicable Law, between the date of this Agreement and the earlier of the Closing and the valid termination of this Agreement pursuant to </w:t>
      </w:r>
      <w:r>
        <w:rPr>
          <w:rFonts w:ascii="Times New Roman" w:cs="Times New Roman" w:eastAsia="Times New Roman" w:hAnsi="Times New Roman"/>
          <w:sz w:val="22"/>
          <w:szCs w:val="22"/>
          <w:u w:val="single" w:color="auto"/>
          <w:color w:val="auto"/>
        </w:rPr>
        <w:t>Section 9.01</w:t>
      </w:r>
      <w:r>
        <w:rPr>
          <w:rFonts w:ascii="Times New Roman" w:cs="Times New Roman" w:eastAsia="Times New Roman" w:hAnsi="Times New Roman"/>
          <w:sz w:val="22"/>
          <w:szCs w:val="22"/>
          <w:color w:val="auto"/>
        </w:rPr>
        <w:t xml:space="preserve">, upon reasonable notice, the Seller shall, and shall cause the other members of the Seller Group to, afford to Purchaser and its Representatives (including, for purposes of this </w:t>
      </w:r>
      <w:r>
        <w:rPr>
          <w:rFonts w:ascii="Times New Roman" w:cs="Times New Roman" w:eastAsia="Times New Roman" w:hAnsi="Times New Roman"/>
          <w:sz w:val="22"/>
          <w:szCs w:val="22"/>
          <w:u w:val="single" w:color="auto"/>
          <w:color w:val="auto"/>
        </w:rPr>
        <w:t>Section 7.03</w:t>
      </w:r>
      <w:r>
        <w:rPr>
          <w:rFonts w:ascii="Times New Roman" w:cs="Times New Roman" w:eastAsia="Times New Roman" w:hAnsi="Times New Roman"/>
          <w:sz w:val="22"/>
          <w:szCs w:val="22"/>
          <w:color w:val="auto"/>
        </w:rPr>
        <w:t xml:space="preserve">, the Financing Sources) reasonable access during normal business hours to the Transferred Assets, the Shared Contracts and Other Records (other than with respect to Records to the extent relating to the negotiation and execution of this Agreement or any other Transaction Document or any proposals from other parties relating to any alternative transactions), and the Seller shall, and shall cause the other Seller Entities to, furnish to Purchaser and its Representatives (including, for purposes of this </w:t>
      </w:r>
      <w:r>
        <w:rPr>
          <w:rFonts w:ascii="Times New Roman" w:cs="Times New Roman" w:eastAsia="Times New Roman" w:hAnsi="Times New Roman"/>
          <w:sz w:val="22"/>
          <w:szCs w:val="22"/>
          <w:u w:val="single" w:color="auto"/>
          <w:color w:val="auto"/>
        </w:rPr>
        <w:t>Section 7.03</w:t>
      </w:r>
      <w:r>
        <w:rPr>
          <w:rFonts w:ascii="Times New Roman" w:cs="Times New Roman" w:eastAsia="Times New Roman" w:hAnsi="Times New Roman"/>
          <w:sz w:val="22"/>
          <w:szCs w:val="22"/>
          <w:color w:val="auto"/>
        </w:rPr>
        <w:t xml:space="preserve">, the Financing Sources) such information to the extent relating to the Business as Purchaser may reasonably request, in each case for the primary purposes of transition and integration planning or any other proper and reasonable purpose (other than any Records covered by </w:t>
      </w:r>
      <w:r>
        <w:rPr>
          <w:rFonts w:ascii="Times New Roman" w:cs="Times New Roman" w:eastAsia="Times New Roman" w:hAnsi="Times New Roman"/>
          <w:sz w:val="22"/>
          <w:szCs w:val="22"/>
          <w:u w:val="single" w:color="auto"/>
          <w:color w:val="auto"/>
        </w:rPr>
        <w:t>Section 2.02(b)(v)</w:t>
      </w:r>
      <w:r>
        <w:rPr>
          <w:rFonts w:ascii="Times New Roman" w:cs="Times New Roman" w:eastAsia="Times New Roman" w:hAnsi="Times New Roman"/>
          <w:sz w:val="22"/>
          <w:szCs w:val="22"/>
          <w:color w:val="auto"/>
        </w:rPr>
        <w:t xml:space="preserve">), including to facilitate the cooperation in connection with the Debt Financing contemplated by </w:t>
      </w:r>
      <w:r>
        <w:rPr>
          <w:rFonts w:ascii="Times New Roman" w:cs="Times New Roman" w:eastAsia="Times New Roman" w:hAnsi="Times New Roman"/>
          <w:sz w:val="22"/>
          <w:szCs w:val="22"/>
          <w:u w:val="single" w:color="auto"/>
          <w:color w:val="auto"/>
        </w:rPr>
        <w:t>Section 7.19(e)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Purchaser and its Representatives shall conduct any such activities in such a manner as not to interfere unreasonably with the conduct of the Business and the Retained Businesses;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no Seller Entity shall be obligated to provide such access or information if the Seller determines, in its reasonable and good faith judgment based on an opinion of outside or inside counsel, that doing so would (x) result in the disclosure of trade secrets or competitively sensitive information of any of the Retained Businesses, (y) violate applicable Law or an applicable Judgment (but, if such Judgment is in effect on the date hereof, only if such Judgment is set forth on </w:t>
      </w:r>
      <w:r>
        <w:rPr>
          <w:rFonts w:ascii="Times New Roman" w:cs="Times New Roman" w:eastAsia="Times New Roman" w:hAnsi="Times New Roman"/>
          <w:sz w:val="22"/>
          <w:szCs w:val="22"/>
          <w:u w:val="single" w:color="auto"/>
          <w:color w:val="auto"/>
        </w:rPr>
        <w:t>Section 7.03(a)</w:t>
      </w:r>
      <w:r>
        <w:rPr>
          <w:rFonts w:ascii="Times New Roman" w:cs="Times New Roman" w:eastAsia="Times New Roman" w:hAnsi="Times New Roman"/>
          <w:sz w:val="22"/>
          <w:szCs w:val="22"/>
          <w:color w:val="auto"/>
        </w:rPr>
        <w:t xml:space="preserve"> of the Disclosure Letter), or (z) jeopardize the protection of an attorney-client privilege, attorney work product protection or other legal privilege;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the foregoing restrictions shall not apply to any access or disclosures in connection with the matters described on </w:t>
      </w:r>
      <w:r>
        <w:rPr>
          <w:rFonts w:ascii="Times New Roman" w:cs="Times New Roman" w:eastAsia="Times New Roman" w:hAnsi="Times New Roman"/>
          <w:sz w:val="22"/>
          <w:szCs w:val="22"/>
          <w:u w:val="single" w:color="auto"/>
          <w:color w:val="auto"/>
        </w:rPr>
        <w:t>Annex 7.21</w:t>
      </w:r>
      <w:r>
        <w:rPr>
          <w:rFonts w:ascii="Times New Roman" w:cs="Times New Roman" w:eastAsia="Times New Roman" w:hAnsi="Times New Roman"/>
          <w:sz w:val="22"/>
          <w:szCs w:val="22"/>
          <w:color w:val="auto"/>
        </w:rPr>
        <w:t xml:space="preserve">. In any such event, the Seller shall promptly notify Purchaser of any such information withheld for any such reason, and the parties shall use their commercially reasonable efforts to develop an arrangement to communicate, to the extent feasible, the applicable information or a portion thereof in a manner that would not (i) result in the disclosure of such trade secrets or competitively sensitive information, (ii) violate applicable Law or Judgment, or (iii) waive such privilege or protection. Notwithstanding any provision to the contrary in this Agreement, Purchaser shall have no right to conduct any intrusive, invasive or subsurface investigation or sampling of any environmental media or building materials at any Transferred Real Property without Seller’s prior written consent. All requests for information made pursuant to this </w:t>
      </w:r>
      <w:r>
        <w:rPr>
          <w:rFonts w:ascii="Times New Roman" w:cs="Times New Roman" w:eastAsia="Times New Roman" w:hAnsi="Times New Roman"/>
          <w:sz w:val="22"/>
          <w:szCs w:val="22"/>
          <w:u w:val="single" w:color="auto"/>
          <w:color w:val="auto"/>
        </w:rPr>
        <w:t>Section 7.03</w:t>
      </w:r>
      <w:r>
        <w:rPr>
          <w:rFonts w:ascii="Times New Roman" w:cs="Times New Roman" w:eastAsia="Times New Roman" w:hAnsi="Times New Roman"/>
          <w:sz w:val="22"/>
          <w:szCs w:val="22"/>
          <w:color w:val="auto"/>
        </w:rPr>
        <w:t xml:space="preserve"> shall be directed to the executive officer or other Person designated by the Seller.</w:t>
      </w:r>
    </w:p>
    <w:p>
      <w:pPr>
        <w:spacing w:after="0" w:line="210"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55"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Until the Closing, all information provided by the Seller pursuant to </w:t>
      </w:r>
      <w:r>
        <w:rPr>
          <w:rFonts w:ascii="Times New Roman" w:cs="Times New Roman" w:eastAsia="Times New Roman" w:hAnsi="Times New Roman"/>
          <w:sz w:val="22"/>
          <w:szCs w:val="22"/>
          <w:u w:val="single" w:color="auto"/>
          <w:color w:val="auto"/>
        </w:rPr>
        <w:t>Section 7.03(a)</w:t>
      </w:r>
      <w:r>
        <w:rPr>
          <w:rFonts w:ascii="Times New Roman" w:cs="Times New Roman" w:eastAsia="Times New Roman" w:hAnsi="Times New Roman"/>
          <w:sz w:val="22"/>
          <w:szCs w:val="22"/>
          <w:color w:val="auto"/>
        </w:rPr>
        <w:t xml:space="preserve"> that constitutes Evaluation Information (as defined in the Confidentiality Agreement (as defined below)) will be subject to the terms of the letter agreement dated as of May 10, 2024 by and between the Seller and Gemspring Capital Management, LLC (“</w:t>
      </w:r>
      <w:r>
        <w:rPr>
          <w:rFonts w:ascii="Times New Roman" w:cs="Times New Roman" w:eastAsia="Times New Roman" w:hAnsi="Times New Roman"/>
          <w:sz w:val="22"/>
          <w:szCs w:val="22"/>
          <w:u w:val="single" w:color="auto"/>
          <w:color w:val="auto"/>
        </w:rPr>
        <w:t>Gemspring</w:t>
      </w:r>
      <w:r>
        <w:rPr>
          <w:rFonts w:ascii="Times New Roman" w:cs="Times New Roman" w:eastAsia="Times New Roman" w:hAnsi="Times New Roman"/>
          <w:sz w:val="22"/>
          <w:szCs w:val="22"/>
          <w:color w:val="auto"/>
        </w:rPr>
        <w:t>” and such agreement, the “</w:t>
      </w:r>
      <w:r>
        <w:rPr>
          <w:rFonts w:ascii="Times New Roman" w:cs="Times New Roman" w:eastAsia="Times New Roman" w:hAnsi="Times New Roman"/>
          <w:sz w:val="22"/>
          <w:szCs w:val="22"/>
          <w:u w:val="single" w:color="auto"/>
          <w:color w:val="auto"/>
        </w:rPr>
        <w:t>Confidentiality Agreement</w:t>
      </w:r>
      <w:r>
        <w:rPr>
          <w:rFonts w:ascii="Times New Roman" w:cs="Times New Roman" w:eastAsia="Times New Roman" w:hAnsi="Times New Roman"/>
          <w:sz w:val="22"/>
          <w:szCs w:val="22"/>
          <w:color w:val="auto"/>
        </w:rPr>
        <w:t xml:space="preserve">”). Effective upon, and only upon, the Closing, the confidentiality provisions of the Confidentiality Agreement shall terminate with respect to information relating to the Business;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0" w:lineRule="exact"/>
        <w:rPr>
          <w:rFonts w:ascii="Times New Roman" w:cs="Times New Roman" w:eastAsia="Times New Roman" w:hAnsi="Times New Roman"/>
          <w:sz w:val="22"/>
          <w:szCs w:val="22"/>
          <w:color w:val="auto"/>
        </w:rPr>
      </w:pPr>
    </w:p>
    <w:p>
      <w:pPr>
        <w:ind w:left="360" w:hanging="136"/>
        <w:spacing w:after="0"/>
        <w:tabs>
          <w:tab w:leader="none" w:pos="36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67 -</w:t>
      </w:r>
    </w:p>
    <w:p>
      <w:pPr>
        <w:sectPr>
          <w:pgSz w:w="11900" w:h="16838" w:orient="portrait"/>
          <w:cols w:equalWidth="0" w:num="1">
            <w:col w:w="11240"/>
          </w:cols>
          <w:pgMar w:left="320" w:top="1421" w:right="339" w:bottom="1440" w:gutter="0" w:footer="0" w:header="0"/>
        </w:sectPr>
      </w:pPr>
    </w:p>
    <w:bookmarkStart w:id="136" w:name="page137"/>
    <w:bookmarkEnd w:id="136"/>
    <w:p>
      <w:pPr>
        <w:jc w:val="both"/>
        <w:spacing w:after="0" w:line="253" w:lineRule="auto"/>
        <w:rPr>
          <w:sz w:val="20"/>
          <w:szCs w:val="20"/>
          <w:color w:val="auto"/>
        </w:rPr>
      </w:pPr>
      <w:r>
        <w:rPr>
          <w:rFonts w:ascii="Times New Roman" w:cs="Times New Roman" w:eastAsia="Times New Roman" w:hAnsi="Times New Roman"/>
          <w:sz w:val="22"/>
          <w:szCs w:val="22"/>
          <w:color w:val="auto"/>
        </w:rPr>
        <w:t>that Purchaser acknowledges that its obligations of confidentiality and non-disclosure with respect to any and all other information provided to it by or on behalf of any member of the Seller Group or any of their respective Representatives concerning the Retained Businesses, any member of the Seller Group or any of their respective Representatives shall continue to remain subject to the terms and conditions of the Confidentiality Agreement for so long as the Confidentiality Agreement remains in effect in accordance with its terms.</w:t>
      </w:r>
    </w:p>
    <w:p>
      <w:pPr>
        <w:spacing w:after="0" w:line="179" w:lineRule="exact"/>
        <w:rPr>
          <w:sz w:val="20"/>
          <w:szCs w:val="20"/>
          <w:color w:val="auto"/>
        </w:rPr>
      </w:pPr>
    </w:p>
    <w:p>
      <w:pPr>
        <w:jc w:val="both"/>
        <w:ind w:firstLine="1304"/>
        <w:spacing w:after="0" w:line="260" w:lineRule="auto"/>
        <w:tabs>
          <w:tab w:leader="none" w:pos="1792" w:val="left"/>
        </w:tabs>
        <w:numPr>
          <w:ilvl w:val="1"/>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a period of five (5) years from the Closing Date, the Seller shall, and shall cause its Representatives to, hold in confidence and not to disclose, release or use without the prior written consent of Purchaser, any and all Business Confidential Information;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foregoing restriction shall not apply to information (i) that becomes available on a non-confidential basis to the Seller or any of its Affiliates from and after the Closing from a third-party source that is not known by the Seller or its applicable Affiliates to be under any obligations of confidentiality with respect to such information, (ii) that is in the public domain or enters into the public domain through no fault of the Seller or any of its Affiliates, (iii) to the extent used by the Seller or any of its Affiliates to comply with the terms of this Agreement or any of the Transaction Documents or any other Contract between the Seller or any of its Affiliates, on the one hand, and Purchaser or any of its Affiliates, on the other hand, (iv) that is, following the Closing, independently derived by the Seller or any of its Affiliates without the use of such Business Confidential Information or (v) subject to the immediately following sentence, that Seller or any of its Affiliates is required by Law or required, or requested pursuant to legal or regulatory process to disclose. In the event that the Seller or any of its Affiliates is required by Law or required or requested pursuant to legal or regulatory process to disclose such information, the Seller shall reasonably promptly notify Purchaser in writing unless not permitted by Law or such legal or regulatory process to so notify, which notification shall include the nature of such legal or regulatory requirement or request, as applicable, and the extent of the required or requested disclosure, and will use commercially reasonable efforts to cooperate with Purchaser, at Purchaser’s expense, to preserve to the extent reasonably practicable the confidentiality of such information.</w:t>
      </w:r>
    </w:p>
    <w:p>
      <w:pPr>
        <w:spacing w:after="0" w:line="174" w:lineRule="exact"/>
        <w:rPr>
          <w:rFonts w:ascii="Times New Roman" w:cs="Times New Roman" w:eastAsia="Times New Roman" w:hAnsi="Times New Roman"/>
          <w:sz w:val="21"/>
          <w:szCs w:val="21"/>
          <w:color w:val="auto"/>
        </w:rPr>
      </w:pPr>
    </w:p>
    <w:p>
      <w:pPr>
        <w:jc w:val="both"/>
        <w:ind w:firstLine="1304"/>
        <w:spacing w:after="0" w:line="248" w:lineRule="auto"/>
        <w:tabs>
          <w:tab w:leader="none" w:pos="1808"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shall, and shall cause the other Seller Entities to, and shall use its commercially reasonable efforts to cause its and their respective Representatives to, cooperate with the reasonable requests of Purchaser, in each case, at Purchaser’s sole cost and expense, to assist Purchaser with its preparation of the audited combined financial statements of the Business for the 2024 fiscal year (the “</w:t>
      </w:r>
      <w:r>
        <w:rPr>
          <w:rFonts w:ascii="Times New Roman" w:cs="Times New Roman" w:eastAsia="Times New Roman" w:hAnsi="Times New Roman"/>
          <w:sz w:val="22"/>
          <w:szCs w:val="22"/>
          <w:u w:val="single" w:color="auto"/>
          <w:color w:val="auto"/>
        </w:rPr>
        <w:t>2024 Audited Financial Statements</w:t>
      </w:r>
      <w:r>
        <w:rPr>
          <w:rFonts w:ascii="Times New Roman" w:cs="Times New Roman" w:eastAsia="Times New Roman" w:hAnsi="Times New Roman"/>
          <w:sz w:val="22"/>
          <w:szCs w:val="22"/>
          <w:color w:val="auto"/>
        </w:rPr>
        <w:t xml:space="preserve">”) to the extent that such cooperation is reasonably necessary for Purchaser and its Representatives to prepare the 2024 Audited Financial Statements (it being understood that Purchaser may have books, records and other pertinent information necessary to prepare the 2024 Audited Financial Statements);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 such cooperation shall only relate to the period ending as of 11:59 p.m., New York City time on the Closing Date, (B) the Seller Entities shall not be required to provide, or provide access to, (1) any information that is not readily available to them or (2) any officer or employees of any Seller Entity, except for officers, management employees and other employees that would be reasonably necessary to prepare the 2024 Audited Financial Statements (if any), in each case, during working hours with reasonable advance notice, or (3) any books or records of any Seller Entity to the extent that they are not related to the Business, the Transferred Assets, the Shared Contracts or the Assumed Liabilities, (C) the Seller Entities and their accountants shall not be required to provide any audit opinion, certification or representation letters and (D) notwithstanding anything to the contrary in this Agreement, (x) the Seller Entities and their respective Representatives shall have no liability (except for fraud) with respect to the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2" w:lineRule="exact"/>
        <w:rPr>
          <w:rFonts w:ascii="Times New Roman" w:cs="Times New Roman" w:eastAsia="Times New Roman" w:hAnsi="Times New Roman"/>
          <w:sz w:val="22"/>
          <w:szCs w:val="22"/>
          <w:color w:val="auto"/>
        </w:rPr>
      </w:pPr>
    </w:p>
    <w:p>
      <w:pPr>
        <w:ind w:left="360" w:hanging="136"/>
        <w:spacing w:after="0"/>
        <w:tabs>
          <w:tab w:leader="none" w:pos="36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68 -</w:t>
      </w:r>
    </w:p>
    <w:p>
      <w:pPr>
        <w:sectPr>
          <w:pgSz w:w="11900" w:h="16838" w:orient="portrait"/>
          <w:cols w:equalWidth="0" w:num="1">
            <w:col w:w="11240"/>
          </w:cols>
          <w:pgMar w:left="320" w:top="1421" w:right="339" w:bottom="1440" w:gutter="0" w:footer="0" w:header="0"/>
        </w:sectPr>
      </w:pPr>
    </w:p>
    <w:bookmarkStart w:id="137" w:name="page138"/>
    <w:bookmarkEnd w:id="137"/>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information contained in such financial statements or responsibility for whether such financial statements present fairly, in all material respects, the combined financial position and the combined results of operations of the Business, as of the dates or the periods included in such financial statements and (y) Purchaser shall indemnify and hold harmless the Seller Indemnitees from and against any and all Losses arising out of or relating to the efforts and actions taken by the Seller Entities or their Representatives pursuant to this </w:t>
      </w:r>
      <w:r>
        <w:rPr>
          <w:rFonts w:ascii="Times New Roman" w:cs="Times New Roman" w:eastAsia="Times New Roman" w:hAnsi="Times New Roman"/>
          <w:sz w:val="22"/>
          <w:szCs w:val="22"/>
          <w:u w:val="single" w:color="auto"/>
          <w:color w:val="auto"/>
        </w:rPr>
        <w:t>Section 7.03(d)</w:t>
      </w:r>
      <w:r>
        <w:rPr>
          <w:rFonts w:ascii="Times New Roman" w:cs="Times New Roman" w:eastAsia="Times New Roman" w:hAnsi="Times New Roman"/>
          <w:sz w:val="22"/>
          <w:szCs w:val="22"/>
          <w:color w:val="auto"/>
        </w:rPr>
        <w:t>, except in the case of fraud, gross negligence, willful misconduct or bad faith.</w:t>
      </w:r>
    </w:p>
    <w:p>
      <w:pPr>
        <w:spacing w:after="0" w:line="179" w:lineRule="exact"/>
        <w:rPr>
          <w:sz w:val="20"/>
          <w:szCs w:val="20"/>
          <w:color w:val="auto"/>
        </w:rPr>
      </w:pPr>
    </w:p>
    <w:p>
      <w:pPr>
        <w:jc w:val="both"/>
        <w:ind w:firstLine="1304"/>
        <w:spacing w:after="0" w:line="257" w:lineRule="auto"/>
        <w:tabs>
          <w:tab w:leader="none" w:pos="1774"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promptly as possible following the date hereof until the earlier of the Closing and the termination of this Agreement in accordance with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Purchaser and Seller, as applicable, shall act in accordance with </w:t>
      </w:r>
      <w:r>
        <w:rPr>
          <w:rFonts w:ascii="Times New Roman" w:cs="Times New Roman" w:eastAsia="Times New Roman" w:hAnsi="Times New Roman"/>
          <w:sz w:val="22"/>
          <w:szCs w:val="22"/>
          <w:u w:val="single" w:color="auto"/>
          <w:color w:val="auto"/>
        </w:rPr>
        <w:t>Section 7.03(e)</w:t>
      </w:r>
      <w:r>
        <w:rPr>
          <w:rFonts w:ascii="Times New Roman" w:cs="Times New Roman" w:eastAsia="Times New Roman" w:hAnsi="Times New Roman"/>
          <w:sz w:val="22"/>
          <w:szCs w:val="22"/>
          <w:color w:val="auto"/>
        </w:rPr>
        <w:t xml:space="preserve"> of the Disclosure Letter.</w:t>
      </w:r>
    </w:p>
    <w:p>
      <w:pPr>
        <w:spacing w:after="0" w:line="186" w:lineRule="exact"/>
        <w:rPr>
          <w:sz w:val="20"/>
          <w:szCs w:val="20"/>
          <w:color w:val="auto"/>
        </w:rPr>
      </w:pPr>
    </w:p>
    <w:p>
      <w:pPr>
        <w:jc w:val="both"/>
        <w:ind w:left="80"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7.04 </w:t>
      </w:r>
      <w:r>
        <w:rPr>
          <w:rFonts w:ascii="Times New Roman" w:cs="Times New Roman" w:eastAsia="Times New Roman" w:hAnsi="Times New Roman"/>
          <w:sz w:val="22"/>
          <w:szCs w:val="22"/>
          <w:u w:val="single" w:color="auto"/>
          <w:color w:val="auto"/>
        </w:rPr>
        <w:t>Employee and Permits Schedule Updates</w:t>
      </w:r>
      <w:r>
        <w:rPr>
          <w:rFonts w:ascii="Times New Roman" w:cs="Times New Roman" w:eastAsia="Times New Roman" w:hAnsi="Times New Roman"/>
          <w:sz w:val="22"/>
          <w:szCs w:val="22"/>
          <w:color w:val="auto"/>
        </w:rPr>
        <w:t xml:space="preserve">. Prior to the Closing Date, the Seller may deliver to Purchaser an updated (a) </w:t>
      </w:r>
      <w:r>
        <w:rPr>
          <w:rFonts w:ascii="Times New Roman" w:cs="Times New Roman" w:eastAsia="Times New Roman" w:hAnsi="Times New Roman"/>
          <w:sz w:val="22"/>
          <w:szCs w:val="22"/>
          <w:u w:val="single" w:color="auto"/>
          <w:color w:val="auto"/>
        </w:rPr>
        <w:t>Section 1.01(b)</w:t>
      </w:r>
      <w:r>
        <w:rPr>
          <w:rFonts w:ascii="Times New Roman" w:cs="Times New Roman" w:eastAsia="Times New Roman" w:hAnsi="Times New Roman"/>
          <w:sz w:val="22"/>
          <w:szCs w:val="22"/>
          <w:color w:val="auto"/>
        </w:rPr>
        <w:t xml:space="preserve"> of the Disclosure Letter setting forth updates to the list of employees thereon who constitute Business Employees or (b) </w:t>
      </w:r>
      <w:r>
        <w:rPr>
          <w:rFonts w:ascii="Times New Roman" w:cs="Times New Roman" w:eastAsia="Times New Roman" w:hAnsi="Times New Roman"/>
          <w:sz w:val="22"/>
          <w:szCs w:val="22"/>
          <w:u w:val="single" w:color="auto"/>
          <w:color w:val="auto"/>
        </w:rPr>
        <w:t>Section 2.02(a)(v)</w:t>
      </w:r>
      <w:r>
        <w:rPr>
          <w:rFonts w:ascii="Times New Roman" w:cs="Times New Roman" w:eastAsia="Times New Roman" w:hAnsi="Times New Roman"/>
          <w:sz w:val="22"/>
          <w:szCs w:val="22"/>
          <w:color w:val="auto"/>
        </w:rPr>
        <w:t xml:space="preserve"> of the Disclosure Letter setting forth updates to the list of assets thereon which constitute Transferred Permits;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updates shall reflect only, (i) in the case of </w:t>
      </w:r>
      <w:r>
        <w:rPr>
          <w:rFonts w:ascii="Times New Roman" w:cs="Times New Roman" w:eastAsia="Times New Roman" w:hAnsi="Times New Roman"/>
          <w:sz w:val="22"/>
          <w:szCs w:val="22"/>
          <w:u w:val="single" w:color="auto"/>
          <w:color w:val="auto"/>
        </w:rPr>
        <w:t>Section 1.01(b)</w:t>
      </w:r>
      <w:r>
        <w:rPr>
          <w:rFonts w:ascii="Times New Roman" w:cs="Times New Roman" w:eastAsia="Times New Roman" w:hAnsi="Times New Roman"/>
          <w:sz w:val="22"/>
          <w:szCs w:val="22"/>
          <w:color w:val="auto"/>
        </w:rPr>
        <w:t xml:space="preserve"> of the Disclosure Letter, the addition or deletion of individuals to reflect whether or not they are primarily engaged in the Business as a result of an action not prohibited by </w:t>
      </w:r>
      <w:r>
        <w:rPr>
          <w:rFonts w:ascii="Times New Roman" w:cs="Times New Roman" w:eastAsia="Times New Roman" w:hAnsi="Times New Roman"/>
          <w:sz w:val="22"/>
          <w:szCs w:val="22"/>
          <w:u w:val="single" w:color="auto"/>
          <w:color w:val="auto"/>
        </w:rPr>
        <w:t>Section 6.01(b)(v)</w:t>
      </w:r>
      <w:r>
        <w:rPr>
          <w:rFonts w:ascii="Times New Roman" w:cs="Times New Roman" w:eastAsia="Times New Roman" w:hAnsi="Times New Roman"/>
          <w:sz w:val="22"/>
          <w:szCs w:val="22"/>
          <w:color w:val="auto"/>
        </w:rPr>
        <w:t xml:space="preserve"> and (ii), in the case of </w:t>
      </w:r>
      <w:r>
        <w:rPr>
          <w:rFonts w:ascii="Times New Roman" w:cs="Times New Roman" w:eastAsia="Times New Roman" w:hAnsi="Times New Roman"/>
          <w:sz w:val="22"/>
          <w:szCs w:val="22"/>
          <w:u w:val="single" w:color="auto"/>
          <w:color w:val="auto"/>
        </w:rPr>
        <w:t>Section 2.02(a)(v)</w:t>
      </w:r>
      <w:r>
        <w:rPr>
          <w:rFonts w:ascii="Times New Roman" w:cs="Times New Roman" w:eastAsia="Times New Roman" w:hAnsi="Times New Roman"/>
          <w:sz w:val="22"/>
          <w:szCs w:val="22"/>
          <w:color w:val="auto"/>
        </w:rPr>
        <w:t xml:space="preserve"> of the Disclosure Letter, (A) assets acquired by a member of the Seller Group for use by the Business after the date hereof, (B) the disposition of assets listed on such sections of the Disclosure Letter as of the date hereof in the ordinary course of business or otherwise in a manner not prohibited by this Agreement or (C) the identification by the Seller after the date hereof of assets reasonably necessary for the operation of the Business. </w:t>
      </w:r>
      <w:r>
        <w:rPr>
          <w:rFonts w:ascii="Times New Roman" w:cs="Times New Roman" w:eastAsia="Times New Roman" w:hAnsi="Times New Roman"/>
          <w:sz w:val="22"/>
          <w:szCs w:val="22"/>
          <w:u w:val="single" w:color="auto"/>
          <w:color w:val="auto"/>
        </w:rPr>
        <w:t>Sections 1.01(b)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2.02(a)(v)</w:t>
      </w:r>
      <w:r>
        <w:rPr>
          <w:rFonts w:ascii="Times New Roman" w:cs="Times New Roman" w:eastAsia="Times New Roman" w:hAnsi="Times New Roman"/>
          <w:sz w:val="22"/>
          <w:szCs w:val="22"/>
          <w:color w:val="auto"/>
        </w:rPr>
        <w:t xml:space="preserve"> of the Disclosure Letter, if and as updated in accordance with this </w:t>
      </w:r>
      <w:r>
        <w:rPr>
          <w:rFonts w:ascii="Times New Roman" w:cs="Times New Roman" w:eastAsia="Times New Roman" w:hAnsi="Times New Roman"/>
          <w:sz w:val="22"/>
          <w:szCs w:val="22"/>
          <w:u w:val="single" w:color="auto"/>
          <w:color w:val="auto"/>
        </w:rPr>
        <w:t>Section 7.04</w:t>
      </w:r>
      <w:r>
        <w:rPr>
          <w:rFonts w:ascii="Times New Roman" w:cs="Times New Roman" w:eastAsia="Times New Roman" w:hAnsi="Times New Roman"/>
          <w:sz w:val="22"/>
          <w:szCs w:val="22"/>
          <w:color w:val="auto"/>
        </w:rPr>
        <w:t>, shall set forth the Business Employees and Transferred Permits, respectively, for all purposes of this Agreement from and after the date of delivery thereof by the Seller.</w:t>
      </w:r>
    </w:p>
    <w:p>
      <w:pPr>
        <w:spacing w:after="0" w:line="184" w:lineRule="exact"/>
        <w:rPr>
          <w:sz w:val="20"/>
          <w:szCs w:val="20"/>
          <w:color w:val="auto"/>
        </w:rPr>
      </w:pPr>
    </w:p>
    <w:p>
      <w:pPr>
        <w:jc w:val="both"/>
        <w:ind w:left="80"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7.05 </w:t>
      </w: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xml:space="preserve">. As of the Closing, the Business, the Transferred Assets, the Assumed Liabilities and the Transferred Employees shall cease to be insured by the insurance policies of the Seller Group or by any of their respective self-insurance programs and the coverage under all insurance policies or self-insurance programs, including those relating to the Business, the Transferred Assets and the Assumed Liabilities, arranged or maintained by any member of the Seller Group shall not be for the benefit of Purchaser or any of its Affiliates. The Seller may, to be effective at the Closing, amend any insurance policies and ancillary arrangements in the manner they deem appropriate to give effect to this </w:t>
      </w:r>
      <w:r>
        <w:rPr>
          <w:rFonts w:ascii="Times New Roman" w:cs="Times New Roman" w:eastAsia="Times New Roman" w:hAnsi="Times New Roman"/>
          <w:sz w:val="22"/>
          <w:szCs w:val="22"/>
          <w:u w:val="single" w:color="auto"/>
          <w:color w:val="auto"/>
        </w:rPr>
        <w:t>Section 7.05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Seller shall not, and shall cause its Affiliates not to, take any action that would cause the Business, the Transferred Assets, the Assumed Liabilities and the Transferred Employees to no longer be eligible for coverage under the Retained Policies (as defined below) in respect of Pre-Closing Occurrences. The parties acknowledge that Purchaser and its applicable Affiliates may be entitled to the benefit of coverage under the insurance policies of the Seller Group (the “</w:t>
      </w:r>
      <w:r>
        <w:rPr>
          <w:rFonts w:ascii="Times New Roman" w:cs="Times New Roman" w:eastAsia="Times New Roman" w:hAnsi="Times New Roman"/>
          <w:sz w:val="22"/>
          <w:szCs w:val="22"/>
          <w:u w:val="single" w:color="auto"/>
          <w:color w:val="auto"/>
        </w:rPr>
        <w:t>Retained Policies</w:t>
      </w:r>
      <w:r>
        <w:rPr>
          <w:rFonts w:ascii="Times New Roman" w:cs="Times New Roman" w:eastAsia="Times New Roman" w:hAnsi="Times New Roman"/>
          <w:sz w:val="22"/>
          <w:szCs w:val="22"/>
          <w:color w:val="auto"/>
        </w:rPr>
        <w:t>”) with respect to acts, facts, circumstances or omissions occurring prior to the Closing (“</w:t>
      </w:r>
      <w:r>
        <w:rPr>
          <w:rFonts w:ascii="Times New Roman" w:cs="Times New Roman" w:eastAsia="Times New Roman" w:hAnsi="Times New Roman"/>
          <w:sz w:val="22"/>
          <w:szCs w:val="22"/>
          <w:u w:val="single" w:color="auto"/>
          <w:color w:val="auto"/>
        </w:rPr>
        <w:t>Pre-Closing Occurrences</w:t>
      </w:r>
      <w:r>
        <w:rPr>
          <w:rFonts w:ascii="Times New Roman" w:cs="Times New Roman" w:eastAsia="Times New Roman" w:hAnsi="Times New Roman"/>
          <w:sz w:val="22"/>
          <w:szCs w:val="22"/>
          <w:color w:val="auto"/>
        </w:rPr>
        <w:t>”). For any Pre-Closing Occurrences, from and after the Closing, at Purchaser’s written request, the Seller will, and will cause the other members of the Seller Group to, take commercially reasonable actions as may be necessary or advisable to assist Purchaser and such Affiliates in making claims under the Retained Policies in respect of Pre-Closing Occurrences (which claims, for the avoidance of doubt, shall be made by Seller or another member of the Seller Group on behalf of Purchaser or the Business). With respect to claims for Pre-Closing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- 69 -</w:t>
      </w:r>
    </w:p>
    <w:p>
      <w:pPr>
        <w:sectPr>
          <w:pgSz w:w="11900" w:h="16838" w:orient="portrait"/>
          <w:cols w:equalWidth="0" w:num="1">
            <w:col w:w="11240"/>
          </w:cols>
          <w:pgMar w:left="320" w:top="1421" w:right="339" w:bottom="1440" w:gutter="0" w:footer="0" w:header="0"/>
        </w:sectPr>
      </w:pPr>
    </w:p>
    <w:bookmarkStart w:id="138" w:name="page139"/>
    <w:bookmarkEnd w:id="138"/>
    <w:p>
      <w:pPr>
        <w:jc w:val="both"/>
        <w:ind w:left="72"/>
        <w:spacing w:after="0" w:line="248" w:lineRule="auto"/>
        <w:rPr>
          <w:sz w:val="20"/>
          <w:szCs w:val="20"/>
          <w:color w:val="auto"/>
        </w:rPr>
      </w:pPr>
      <w:r>
        <w:rPr>
          <w:rFonts w:ascii="Times New Roman" w:cs="Times New Roman" w:eastAsia="Times New Roman" w:hAnsi="Times New Roman"/>
          <w:sz w:val="22"/>
          <w:szCs w:val="22"/>
          <w:color w:val="auto"/>
        </w:rPr>
        <w:t xml:space="preserve">Occurrences made pursuant to this </w:t>
      </w:r>
      <w:r>
        <w:rPr>
          <w:rFonts w:ascii="Times New Roman" w:cs="Times New Roman" w:eastAsia="Times New Roman" w:hAnsi="Times New Roman"/>
          <w:sz w:val="22"/>
          <w:szCs w:val="22"/>
          <w:u w:val="single" w:color="auto"/>
          <w:color w:val="auto"/>
        </w:rPr>
        <w:t>Section 7.05</w:t>
      </w:r>
      <w:r>
        <w:rPr>
          <w:rFonts w:ascii="Times New Roman" w:cs="Times New Roman" w:eastAsia="Times New Roman" w:hAnsi="Times New Roman"/>
          <w:sz w:val="22"/>
          <w:szCs w:val="22"/>
          <w:color w:val="auto"/>
        </w:rPr>
        <w:t xml:space="preserve"> (or pending as of the date of this Agreement), (a) the Seller shall provide Purchaser with a copy of the applicable Retained Policy (which Retained Policies shall not be disclosed to any third Person without Seller’s prior written consent) and Purchaser shall, and shall cause its Affiliates to, comply with the terms of the applicable Retained Policy and (b) each party shall, and shall cause its Affiliates to, use commercially reasonable efforts to obtain the benefit of the applicable insurance coverage and pay such benefit, if any, to Purchaser. Purchaser shall exclusively bear the amount of (i) any “deductibles” or net retentions associated with such claims and (ii) any out-of-pocket costs and expenses incurred by Purchaser or its Affiliates with respect to such claims to the extent they are not covered under the relevant Retained Policies. Purchaser shall promptly reimburse any applicable member of the Seller Group for any reasonable and documented out-of-pocket costs and expenses incurred by them in connection with the provisions of this </w:t>
      </w:r>
      <w:r>
        <w:rPr>
          <w:rFonts w:ascii="Times New Roman" w:cs="Times New Roman" w:eastAsia="Times New Roman" w:hAnsi="Times New Roman"/>
          <w:sz w:val="22"/>
          <w:szCs w:val="22"/>
          <w:u w:val="single" w:color="auto"/>
          <w:color w:val="auto"/>
        </w:rPr>
        <w:t>Section 7.05</w:t>
      </w:r>
      <w:r>
        <w:rPr>
          <w:rFonts w:ascii="Times New Roman" w:cs="Times New Roman" w:eastAsia="Times New Roman" w:hAnsi="Times New Roman"/>
          <w:sz w:val="22"/>
          <w:szCs w:val="22"/>
          <w:color w:val="auto"/>
        </w:rPr>
        <w:t xml:space="preserve">. Subject to the rest of this </w:t>
      </w:r>
      <w:r>
        <w:rPr>
          <w:rFonts w:ascii="Times New Roman" w:cs="Times New Roman" w:eastAsia="Times New Roman" w:hAnsi="Times New Roman"/>
          <w:sz w:val="22"/>
          <w:szCs w:val="22"/>
          <w:u w:val="single" w:color="auto"/>
          <w:color w:val="auto"/>
        </w:rPr>
        <w:t>Section 7.05</w:t>
      </w:r>
      <w:r>
        <w:rPr>
          <w:rFonts w:ascii="Times New Roman" w:cs="Times New Roman" w:eastAsia="Times New Roman" w:hAnsi="Times New Roman"/>
          <w:sz w:val="22"/>
          <w:szCs w:val="22"/>
          <w:color w:val="auto"/>
        </w:rPr>
        <w:t>, Purchaser acknowledges and agrees that it is Purchaser’s sole responsibility to arrange for its own insurance policies or self-insurance programs with respect to the Business, the Transferred Assets, the Assumed Liabilities and the Transferred Employees covering all periods prior to and following the Closing and, without prejudice to any right to indemnification pursuant to this Agreement or any other Transaction Documents, agrees not to seek, through any means, to benefit from any of the insurance policies of the Seller Group which may provide coverage for claims relating in any way to the Business, the Transferred Assets, the Assumed Liabilities or the Transferred Employees.</w:t>
      </w:r>
    </w:p>
    <w:p>
      <w:pPr>
        <w:spacing w:after="0" w:line="183" w:lineRule="exact"/>
        <w:rPr>
          <w:sz w:val="20"/>
          <w:szCs w:val="20"/>
          <w:color w:val="auto"/>
        </w:rPr>
      </w:pPr>
    </w:p>
    <w:p>
      <w:pPr>
        <w:ind w:left="1372"/>
        <w:spacing w:after="0"/>
        <w:tabs>
          <w:tab w:leader="none" w:pos="2652" w:val="left"/>
        </w:tabs>
        <w:rPr>
          <w:sz w:val="20"/>
          <w:szCs w:val="20"/>
          <w:color w:val="auto"/>
        </w:rPr>
      </w:pPr>
      <w:r>
        <w:rPr>
          <w:rFonts w:ascii="Times New Roman" w:cs="Times New Roman" w:eastAsia="Times New Roman" w:hAnsi="Times New Roman"/>
          <w:sz w:val="22"/>
          <w:szCs w:val="22"/>
          <w:color w:val="auto"/>
        </w:rPr>
        <w:t>Section 7.06</w:t>
      </w:r>
      <w:r>
        <w:rPr>
          <w:sz w:val="20"/>
          <w:szCs w:val="20"/>
          <w:color w:val="auto"/>
        </w:rPr>
        <w:tab/>
      </w:r>
      <w:r>
        <w:rPr>
          <w:rFonts w:ascii="Times New Roman" w:cs="Times New Roman" w:eastAsia="Times New Roman" w:hAnsi="Times New Roman"/>
          <w:sz w:val="21"/>
          <w:szCs w:val="21"/>
          <w:u w:val="single" w:color="auto"/>
          <w:color w:val="auto"/>
        </w:rPr>
        <w:t>Employee Matters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8" w:firstLine="1304"/>
        <w:spacing w:after="0" w:line="250" w:lineRule="auto"/>
        <w:tabs>
          <w:tab w:leader="none" w:pos="1744"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Information</w:t>
      </w:r>
      <w:r>
        <w:rPr>
          <w:rFonts w:ascii="Times New Roman" w:cs="Times New Roman" w:eastAsia="Times New Roman" w:hAnsi="Times New Roman"/>
          <w:sz w:val="22"/>
          <w:szCs w:val="22"/>
          <w:color w:val="auto"/>
        </w:rPr>
        <w:t xml:space="preserve">. To the extent permitted by applicable Law and as soon as practicable after the date of this Agreement, the Seller shall update, and provide to Purchaser, an updated </w:t>
      </w:r>
      <w:r>
        <w:rPr>
          <w:rFonts w:ascii="Times New Roman" w:cs="Times New Roman" w:eastAsia="Times New Roman" w:hAnsi="Times New Roman"/>
          <w:sz w:val="22"/>
          <w:szCs w:val="22"/>
          <w:u w:val="single" w:color="auto"/>
          <w:color w:val="auto"/>
        </w:rPr>
        <w:t>Section 4.12(b)(i)</w:t>
      </w:r>
      <w:r>
        <w:rPr>
          <w:rFonts w:ascii="Times New Roman" w:cs="Times New Roman" w:eastAsia="Times New Roman" w:hAnsi="Times New Roman"/>
          <w:sz w:val="22"/>
          <w:szCs w:val="22"/>
          <w:color w:val="auto"/>
        </w:rPr>
        <w:t xml:space="preserve"> of the Disclosure Letter (which </w:t>
      </w:r>
      <w:r>
        <w:rPr>
          <w:rFonts w:ascii="Times New Roman" w:cs="Times New Roman" w:eastAsia="Times New Roman" w:hAnsi="Times New Roman"/>
          <w:sz w:val="22"/>
          <w:szCs w:val="22"/>
          <w:u w:val="single" w:color="auto"/>
          <w:color w:val="auto"/>
        </w:rPr>
        <w:t>Section 4.12(a)(i)</w:t>
      </w:r>
      <w:r>
        <w:rPr>
          <w:rFonts w:ascii="Times New Roman" w:cs="Times New Roman" w:eastAsia="Times New Roman" w:hAnsi="Times New Roman"/>
          <w:sz w:val="22"/>
          <w:szCs w:val="22"/>
          <w:color w:val="auto"/>
        </w:rPr>
        <w:t xml:space="preserve"> of the Disclosure Letter will also include identification of any positions which have become vacant since the date of this Agreement), and the Seller shall update </w:t>
      </w:r>
      <w:r>
        <w:rPr>
          <w:rFonts w:ascii="Times New Roman" w:cs="Times New Roman" w:eastAsia="Times New Roman" w:hAnsi="Times New Roman"/>
          <w:sz w:val="22"/>
          <w:szCs w:val="22"/>
          <w:u w:val="single" w:color="auto"/>
          <w:color w:val="auto"/>
        </w:rPr>
        <w:t>Section 4.12(a)(i)</w:t>
      </w:r>
      <w:r>
        <w:rPr>
          <w:rFonts w:ascii="Times New Roman" w:cs="Times New Roman" w:eastAsia="Times New Roman" w:hAnsi="Times New Roman"/>
          <w:sz w:val="22"/>
          <w:szCs w:val="22"/>
          <w:color w:val="auto"/>
        </w:rPr>
        <w:t xml:space="preserve"> of the Disclosure Letter on a monthly basis prior to the Closing Date to reflect new hires, leaves of absence, employment terminations, vacancies and any other material changes thereto and provide copies of such updated lists and information to Purchaser, with a final </w:t>
      </w:r>
      <w:r>
        <w:rPr>
          <w:rFonts w:ascii="Times New Roman" w:cs="Times New Roman" w:eastAsia="Times New Roman" w:hAnsi="Times New Roman"/>
          <w:sz w:val="22"/>
          <w:szCs w:val="22"/>
          <w:u w:val="single" w:color="auto"/>
          <w:color w:val="auto"/>
        </w:rPr>
        <w:t>Section 4.12(b)(i)</w:t>
      </w:r>
      <w:r>
        <w:rPr>
          <w:rFonts w:ascii="Times New Roman" w:cs="Times New Roman" w:eastAsia="Times New Roman" w:hAnsi="Times New Roman"/>
          <w:sz w:val="22"/>
          <w:szCs w:val="22"/>
          <w:color w:val="auto"/>
        </w:rPr>
        <w:t xml:space="preserve"> of the Disclosure Letter delivered to Purchaser no later than fifteen (15) Business Days prior to the Closing.</w:t>
      </w:r>
    </w:p>
    <w:p>
      <w:pPr>
        <w:spacing w:after="0" w:line="180" w:lineRule="exact"/>
        <w:rPr>
          <w:rFonts w:ascii="Times New Roman" w:cs="Times New Roman" w:eastAsia="Times New Roman" w:hAnsi="Times New Roman"/>
          <w:sz w:val="22"/>
          <w:szCs w:val="22"/>
          <w:color w:val="auto"/>
        </w:rPr>
      </w:pPr>
    </w:p>
    <w:p>
      <w:pPr>
        <w:jc w:val="both"/>
        <w:ind w:left="-8" w:firstLine="1304"/>
        <w:spacing w:after="0" w:line="261" w:lineRule="auto"/>
        <w:tabs>
          <w:tab w:leader="none" w:pos="1837"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Offers of Employment.</w:t>
      </w:r>
      <w:r>
        <w:rPr>
          <w:rFonts w:ascii="Times New Roman" w:cs="Times New Roman" w:eastAsia="Times New Roman" w:hAnsi="Times New Roman"/>
          <w:sz w:val="22"/>
          <w:szCs w:val="22"/>
          <w:color w:val="auto"/>
        </w:rPr>
        <w:t xml:space="preserve"> Not less than five (5) Business Days prior to the Closing, Purchaser or one of its Affiliates (x) shall offer employment, effective as of the Closing Date, to (A) each Business Employee covered by a CBA, and</w:t>
      </w:r>
    </w:p>
    <w:p>
      <w:pPr>
        <w:jc w:val="both"/>
        <w:ind w:left="-8" w:firstLine="8"/>
        <w:spacing w:after="0" w:line="246" w:lineRule="auto"/>
        <w:tabs>
          <w:tab w:leader="none" w:pos="376"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Business Employee not covered by a CBA other than those Business Employees listed in </w:t>
      </w:r>
      <w:r>
        <w:rPr>
          <w:rFonts w:ascii="Times New Roman" w:cs="Times New Roman" w:eastAsia="Times New Roman" w:hAnsi="Times New Roman"/>
          <w:sz w:val="22"/>
          <w:szCs w:val="22"/>
          <w:u w:val="single" w:color="auto"/>
          <w:color w:val="auto"/>
        </w:rPr>
        <w:t>Section 7.06(b)</w:t>
      </w:r>
      <w:r>
        <w:rPr>
          <w:rFonts w:ascii="Times New Roman" w:cs="Times New Roman" w:eastAsia="Times New Roman" w:hAnsi="Times New Roman"/>
          <w:sz w:val="22"/>
          <w:szCs w:val="22"/>
          <w:color w:val="auto"/>
        </w:rPr>
        <w:t xml:space="preserve"> of the Disclosure Letter, and (y) may, in its sole discretion, offer employment, effective as of the Closing Date, to any Business Employee listed in </w:t>
      </w:r>
      <w:r>
        <w:rPr>
          <w:rFonts w:ascii="Times New Roman" w:cs="Times New Roman" w:eastAsia="Times New Roman" w:hAnsi="Times New Roman"/>
          <w:sz w:val="22"/>
          <w:szCs w:val="22"/>
          <w:u w:val="single" w:color="auto"/>
          <w:color w:val="auto"/>
        </w:rPr>
        <w:t>Section 7.06(b)</w:t>
      </w:r>
      <w:r>
        <w:rPr>
          <w:rFonts w:ascii="Times New Roman" w:cs="Times New Roman" w:eastAsia="Times New Roman" w:hAnsi="Times New Roman"/>
          <w:sz w:val="22"/>
          <w:szCs w:val="22"/>
          <w:color w:val="auto"/>
        </w:rPr>
        <w:t xml:space="preserve"> of the Disclosure Letter, in each case in accordance with this Agreement (each such employee who receives an offer of employment, an “</w:t>
      </w:r>
      <w:r>
        <w:rPr>
          <w:rFonts w:ascii="Times New Roman" w:cs="Times New Roman" w:eastAsia="Times New Roman" w:hAnsi="Times New Roman"/>
          <w:sz w:val="22"/>
          <w:szCs w:val="22"/>
          <w:u w:val="single" w:color="auto"/>
          <w:color w:val="auto"/>
        </w:rPr>
        <w:t>Offer Employee</w:t>
      </w:r>
      <w:r>
        <w:rPr>
          <w:rFonts w:ascii="Times New Roman" w:cs="Times New Roman" w:eastAsia="Times New Roman" w:hAnsi="Times New Roman"/>
          <w:sz w:val="22"/>
          <w:szCs w:val="22"/>
          <w:color w:val="auto"/>
        </w:rPr>
        <w:t xml:space="preserve">”). Offers pursuant to this </w:t>
      </w:r>
      <w:r>
        <w:rPr>
          <w:rFonts w:ascii="Times New Roman" w:cs="Times New Roman" w:eastAsia="Times New Roman" w:hAnsi="Times New Roman"/>
          <w:sz w:val="22"/>
          <w:szCs w:val="22"/>
          <w:u w:val="single" w:color="auto"/>
          <w:color w:val="auto"/>
        </w:rPr>
        <w:t>Section 7.06(b)</w:t>
      </w:r>
      <w:r>
        <w:rPr>
          <w:rFonts w:ascii="Times New Roman" w:cs="Times New Roman" w:eastAsia="Times New Roman" w:hAnsi="Times New Roman"/>
          <w:sz w:val="22"/>
          <w:szCs w:val="22"/>
          <w:color w:val="auto"/>
        </w:rPr>
        <w:t xml:space="preserve"> shall (i) be, for Offer Employees covered by a CBA, the same position as held by each such Offer Employee immediately prior to the Closing Date, (ii) be at the same or nearby geographic work locations to those as of the Closing Date consistent with </w:t>
      </w:r>
      <w:r>
        <w:rPr>
          <w:rFonts w:ascii="Times New Roman" w:cs="Times New Roman" w:eastAsia="Times New Roman" w:hAnsi="Times New Roman"/>
          <w:sz w:val="22"/>
          <w:szCs w:val="22"/>
          <w:u w:val="single" w:color="auto"/>
          <w:color w:val="auto"/>
        </w:rPr>
        <w:t>Section 7.06(b)</w:t>
      </w:r>
      <w:r>
        <w:rPr>
          <w:rFonts w:ascii="Times New Roman" w:cs="Times New Roman" w:eastAsia="Times New Roman" w:hAnsi="Times New Roman"/>
          <w:sz w:val="22"/>
          <w:szCs w:val="22"/>
          <w:color w:val="auto"/>
        </w:rPr>
        <w:t>, (iii) contain language designed to avoid triggering severance or notice pay from Seller in connection with separation from employment with Seller, and (iv) be contingent on the Closing. Seller shall, and shall cause the other Seller Entities to, work and cooperate with Purchaser and its designated Affiliates in good faith to coordinate and effectuate the timely distribution of employment offers to Offer Employees and Seller shall not, and shall cause its Affiliates not to, encourage or persuade any Offer Employee not to accept such offers in their communications with such individuals.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22"/>
          <w:szCs w:val="22"/>
          <w:color w:val="auto"/>
        </w:rPr>
        <w:t>- 70 -</w:t>
      </w:r>
    </w:p>
    <w:p>
      <w:pPr>
        <w:sectPr>
          <w:pgSz w:w="11900" w:h="16838" w:orient="portrait"/>
          <w:cols w:equalWidth="0" w:num="1">
            <w:col w:w="11232"/>
          </w:cols>
          <w:pgMar w:left="328" w:top="1421" w:right="339" w:bottom="1440" w:gutter="0" w:footer="0" w:header="0"/>
        </w:sectPr>
      </w:pPr>
    </w:p>
    <w:bookmarkStart w:id="139" w:name="page140"/>
    <w:bookmarkEnd w:id="139"/>
    <w:p>
      <w:pPr>
        <w:jc w:val="both"/>
        <w:spacing w:after="0" w:line="248" w:lineRule="auto"/>
        <w:rPr>
          <w:sz w:val="20"/>
          <w:szCs w:val="20"/>
          <w:color w:val="auto"/>
        </w:rPr>
      </w:pPr>
      <w:r>
        <w:rPr>
          <w:rFonts w:ascii="Times New Roman" w:cs="Times New Roman" w:eastAsia="Times New Roman" w:hAnsi="Times New Roman"/>
          <w:sz w:val="22"/>
          <w:szCs w:val="22"/>
          <w:color w:val="auto"/>
        </w:rPr>
        <w:t>With respect to any Offer Employee who, as of the Closing Date, is (or will be) on approved leave of absence from work with the Seller or its Affiliates (each, an “</w:t>
      </w:r>
      <w:r>
        <w:rPr>
          <w:rFonts w:ascii="Times New Roman" w:cs="Times New Roman" w:eastAsia="Times New Roman" w:hAnsi="Times New Roman"/>
          <w:sz w:val="22"/>
          <w:szCs w:val="22"/>
          <w:u w:val="single" w:color="auto"/>
          <w:color w:val="auto"/>
        </w:rPr>
        <w:t>Inactive Employee</w:t>
      </w:r>
      <w:r>
        <w:rPr>
          <w:rFonts w:ascii="Times New Roman" w:cs="Times New Roman" w:eastAsia="Times New Roman" w:hAnsi="Times New Roman"/>
          <w:sz w:val="22"/>
          <w:szCs w:val="22"/>
          <w:color w:val="auto"/>
        </w:rPr>
        <w:t xml:space="preserve">”), Purchaser shall, upon such Inactive Employee’s presenting himself or herself for active employment with Purchaser, provide such Inactive Employee with an offer of employment on terms and conditions consistent with this </w:t>
      </w:r>
      <w:r>
        <w:rPr>
          <w:rFonts w:ascii="Times New Roman" w:cs="Times New Roman" w:eastAsia="Times New Roman" w:hAnsi="Times New Roman"/>
          <w:sz w:val="22"/>
          <w:szCs w:val="22"/>
          <w:u w:val="single" w:color="auto"/>
          <w:color w:val="auto"/>
        </w:rPr>
        <w:t>Section 7.06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such Inactive Employee must present himself or herself to Purchaser for active employment within 180 days of the Closing Date. The Seller shall promptly notify Purchaser of the occurrence and end of any such leave of absence if such information is provided to Seller or any of its Affiliates. In the case of any Inactive Employee who becomes a Transferred Employee on or after the day following the Closing Date, all references in this Agreement to the “Closing” and the “Closing Date” (other than in this </w:t>
      </w:r>
      <w:r>
        <w:rPr>
          <w:rFonts w:ascii="Times New Roman" w:cs="Times New Roman" w:eastAsia="Times New Roman" w:hAnsi="Times New Roman"/>
          <w:sz w:val="22"/>
          <w:szCs w:val="22"/>
          <w:u w:val="single" w:color="auto"/>
          <w:color w:val="auto"/>
        </w:rPr>
        <w:t>Section 7.06(b)</w:t>
      </w:r>
      <w:r>
        <w:rPr>
          <w:rFonts w:ascii="Times New Roman" w:cs="Times New Roman" w:eastAsia="Times New Roman" w:hAnsi="Times New Roman"/>
          <w:sz w:val="22"/>
          <w:szCs w:val="22"/>
          <w:color w:val="auto"/>
        </w:rPr>
        <w:t xml:space="preserve">, the first sentence of </w:t>
      </w:r>
      <w:r>
        <w:rPr>
          <w:rFonts w:ascii="Times New Roman" w:cs="Times New Roman" w:eastAsia="Times New Roman" w:hAnsi="Times New Roman"/>
          <w:sz w:val="22"/>
          <w:szCs w:val="22"/>
          <w:u w:val="single" w:color="auto"/>
          <w:color w:val="auto"/>
        </w:rPr>
        <w:t>Section 7.06(c)</w:t>
      </w:r>
    </w:p>
    <w:p>
      <w:pPr>
        <w:jc w:val="both"/>
        <w:spacing w:after="0" w:line="259" w:lineRule="auto"/>
        <w:rPr>
          <w:sz w:val="20"/>
          <w:szCs w:val="20"/>
          <w:color w:val="auto"/>
        </w:rPr>
      </w:pPr>
      <w:r>
        <w:rPr>
          <w:rFonts w:ascii="Times New Roman" w:cs="Times New Roman" w:eastAsia="Times New Roman" w:hAnsi="Times New Roman"/>
          <w:sz w:val="22"/>
          <w:szCs w:val="22"/>
          <w:u w:val="single" w:color="auto"/>
          <w:color w:val="auto"/>
        </w:rPr>
        <w:t>(v)</w:t>
      </w:r>
      <w:r>
        <w:rPr>
          <w:rFonts w:ascii="Times New Roman" w:cs="Times New Roman" w:eastAsia="Times New Roman" w:hAnsi="Times New Roman"/>
          <w:sz w:val="22"/>
          <w:szCs w:val="22"/>
          <w:color w:val="auto"/>
        </w:rPr>
        <w:t xml:space="preserve">, the first sentence of </w:t>
      </w:r>
      <w:r>
        <w:rPr>
          <w:rFonts w:ascii="Times New Roman" w:cs="Times New Roman" w:eastAsia="Times New Roman" w:hAnsi="Times New Roman"/>
          <w:sz w:val="22"/>
          <w:szCs w:val="22"/>
          <w:u w:val="single" w:color="auto"/>
          <w:color w:val="auto"/>
        </w:rPr>
        <w:t>Section 7.06(c)(vii)</w:t>
      </w:r>
      <w:r>
        <w:rPr>
          <w:rFonts w:ascii="Times New Roman" w:cs="Times New Roman" w:eastAsia="Times New Roman" w:hAnsi="Times New Roman"/>
          <w:sz w:val="22"/>
          <w:szCs w:val="22"/>
          <w:color w:val="auto"/>
        </w:rPr>
        <w:t xml:space="preserve">, the first sentence of </w:t>
      </w:r>
      <w:r>
        <w:rPr>
          <w:rFonts w:ascii="Times New Roman" w:cs="Times New Roman" w:eastAsia="Times New Roman" w:hAnsi="Times New Roman"/>
          <w:sz w:val="22"/>
          <w:szCs w:val="22"/>
          <w:u w:val="single" w:color="auto"/>
          <w:color w:val="auto"/>
        </w:rPr>
        <w:t>Section 7.06(d)(i)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7.06(h)</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7.06(i)</w:t>
      </w:r>
      <w:r>
        <w:rPr>
          <w:rFonts w:ascii="Times New Roman" w:cs="Times New Roman" w:eastAsia="Times New Roman" w:hAnsi="Times New Roman"/>
          <w:sz w:val="22"/>
          <w:szCs w:val="22"/>
          <w:color w:val="auto"/>
        </w:rPr>
        <w:t>) shall be deemed to be references to the time and date on which such individual becomes a Transferred Employee.</w:t>
      </w:r>
    </w:p>
    <w:p>
      <w:pPr>
        <w:spacing w:after="0" w:line="171" w:lineRule="exact"/>
        <w:rPr>
          <w:sz w:val="20"/>
          <w:szCs w:val="20"/>
          <w:color w:val="auto"/>
        </w:rPr>
      </w:pPr>
    </w:p>
    <w:p>
      <w:pPr>
        <w:ind w:left="1760" w:hanging="456"/>
        <w:spacing w:after="0"/>
        <w:tabs>
          <w:tab w:leader="none" w:pos="1760"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and Employee Benefits.</w:t>
      </w:r>
    </w:p>
    <w:p>
      <w:pPr>
        <w:spacing w:after="0" w:line="219" w:lineRule="exact"/>
        <w:rPr>
          <w:rFonts w:ascii="Times New Roman" w:cs="Times New Roman" w:eastAsia="Times New Roman" w:hAnsi="Times New Roman"/>
          <w:sz w:val="22"/>
          <w:szCs w:val="22"/>
          <w:color w:val="auto"/>
        </w:rPr>
      </w:pPr>
    </w:p>
    <w:p>
      <w:pPr>
        <w:ind w:left="1880" w:hanging="495"/>
        <w:spacing w:after="0"/>
        <w:tabs>
          <w:tab w:leader="none" w:pos="1880" w:val="left"/>
        </w:tabs>
        <w:numPr>
          <w:ilvl w:val="2"/>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and Benefits Comparability.</w:t>
      </w:r>
      <w:r>
        <w:rPr>
          <w:rFonts w:ascii="Times New Roman" w:cs="Times New Roman" w:eastAsia="Times New Roman" w:hAnsi="Times New Roman"/>
          <w:sz w:val="22"/>
          <w:szCs w:val="22"/>
          <w:color w:val="auto"/>
        </w:rPr>
        <w:t xml:space="preserve"> With respect to Transferred Employees, for a period of twelve</w:t>
      </w:r>
    </w:p>
    <w:p>
      <w:pPr>
        <w:spacing w:after="0" w:line="27" w:lineRule="exact"/>
        <w:rPr>
          <w:rFonts w:ascii="Times New Roman" w:cs="Times New Roman" w:eastAsia="Times New Roman" w:hAnsi="Times New Roman"/>
          <w:sz w:val="22"/>
          <w:szCs w:val="22"/>
          <w:color w:val="auto"/>
        </w:rPr>
      </w:pPr>
    </w:p>
    <w:p>
      <w:pPr>
        <w:jc w:val="both"/>
        <w:ind w:left="740" w:hanging="3"/>
        <w:spacing w:after="0" w:line="246" w:lineRule="auto"/>
        <w:tabs>
          <w:tab w:leader="none" w:pos="1214"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months following the Closing Date, or until employment terminates, if sooner (the “</w:t>
      </w:r>
      <w:r>
        <w:rPr>
          <w:rFonts w:ascii="Times New Roman" w:cs="Times New Roman" w:eastAsia="Times New Roman" w:hAnsi="Times New Roman"/>
          <w:sz w:val="22"/>
          <w:szCs w:val="22"/>
          <w:u w:val="single" w:color="auto"/>
          <w:color w:val="auto"/>
        </w:rPr>
        <w:t>Continuation Period</w:t>
      </w:r>
      <w:r>
        <w:rPr>
          <w:rFonts w:ascii="Times New Roman" w:cs="Times New Roman" w:eastAsia="Times New Roman" w:hAnsi="Times New Roman"/>
          <w:sz w:val="22"/>
          <w:szCs w:val="22"/>
          <w:color w:val="auto"/>
        </w:rPr>
        <w:t>”), Purchaser shall cause its Subsidiaries to provide: (A) base salary or base wage rates that are no less favorable than the rates in effect for each such Transferred Employee immediately prior to the Closing, (B) target annual cash bonus opportunities that are no less favorable in the aggregate than those in effect for each such Transferred Employee immediately prior to the Closing, (C) other employee benefits (excluding any defined benefit pension benefits, retiree or post-termination health or welfare benefits or any severance, equity or equity-based, nonqualified deferred compensation, retention bonus, incentive, change in control or transaction compensation or arrangements, collectively, the “</w:t>
      </w:r>
      <w:r>
        <w:rPr>
          <w:rFonts w:ascii="Times New Roman" w:cs="Times New Roman" w:eastAsia="Times New Roman" w:hAnsi="Times New Roman"/>
          <w:sz w:val="22"/>
          <w:szCs w:val="22"/>
          <w:u w:val="single" w:color="auto"/>
          <w:color w:val="auto"/>
        </w:rPr>
        <w:t>Excluded Benefits</w:t>
      </w:r>
      <w:r>
        <w:rPr>
          <w:rFonts w:ascii="Times New Roman" w:cs="Times New Roman" w:eastAsia="Times New Roman" w:hAnsi="Times New Roman"/>
          <w:sz w:val="22"/>
          <w:szCs w:val="22"/>
          <w:color w:val="auto"/>
        </w:rPr>
        <w:t xml:space="preserve">”) that, in the aggregate, are substantially comparable to the employee benefits in effect for the Transferred Employees immediately prior to the Closing under the Seller Benefit Plans set forth on </w:t>
      </w:r>
      <w:r>
        <w:rPr>
          <w:rFonts w:ascii="Times New Roman" w:cs="Times New Roman" w:eastAsia="Times New Roman" w:hAnsi="Times New Roman"/>
          <w:sz w:val="22"/>
          <w:szCs w:val="22"/>
          <w:u w:val="single" w:color="auto"/>
          <w:color w:val="auto"/>
        </w:rPr>
        <w:t>Section 4.11(a)</w:t>
      </w:r>
      <w:r>
        <w:rPr>
          <w:rFonts w:ascii="Times New Roman" w:cs="Times New Roman" w:eastAsia="Times New Roman" w:hAnsi="Times New Roman"/>
          <w:sz w:val="22"/>
          <w:szCs w:val="22"/>
          <w:color w:val="auto"/>
        </w:rPr>
        <w:t xml:space="preserve"> of the Disclosure Letter (other than the Excluded Benefits), and (D) with respect to Transferred Employees whose employment is involuntarily terminated by Purchaser or its Affiliates without “cause” (and not due to the Transferred Employee’s death or disability) during the Continuation Period, cash severance benefits that are no less favorable in the aggregate than either, as determined in Purchaser’s reasonable discretion, those (x) that would have been provided to each such Transferred Employee in connection with such a termination by Seller or its Affiliates under the existing terms as of the date hereof of the applicable Seller Benefit Plan that is set forth on </w:t>
      </w:r>
      <w:r>
        <w:rPr>
          <w:rFonts w:ascii="Times New Roman" w:cs="Times New Roman" w:eastAsia="Times New Roman" w:hAnsi="Times New Roman"/>
          <w:sz w:val="22"/>
          <w:szCs w:val="22"/>
          <w:u w:val="single" w:color="auto"/>
          <w:color w:val="auto"/>
        </w:rPr>
        <w:t>Section 7.06(c)(i)</w:t>
      </w:r>
      <w:r>
        <w:rPr>
          <w:rFonts w:ascii="Times New Roman" w:cs="Times New Roman" w:eastAsia="Times New Roman" w:hAnsi="Times New Roman"/>
          <w:sz w:val="22"/>
          <w:szCs w:val="22"/>
          <w:color w:val="auto"/>
        </w:rPr>
        <w:t xml:space="preserve"> of the Disclosure Letter, or (y) provided by Purchaser to similarly-situated employees upon such termination. Without limiting the generality of this </w:t>
      </w:r>
      <w:r>
        <w:rPr>
          <w:rFonts w:ascii="Times New Roman" w:cs="Times New Roman" w:eastAsia="Times New Roman" w:hAnsi="Times New Roman"/>
          <w:sz w:val="22"/>
          <w:szCs w:val="22"/>
          <w:u w:val="single" w:color="auto"/>
          <w:color w:val="auto"/>
        </w:rPr>
        <w:t>Section 7.06(c)(i)</w:t>
      </w:r>
      <w:r>
        <w:rPr>
          <w:rFonts w:ascii="Times New Roman" w:cs="Times New Roman" w:eastAsia="Times New Roman" w:hAnsi="Times New Roman"/>
          <w:sz w:val="22"/>
          <w:szCs w:val="22"/>
          <w:color w:val="auto"/>
        </w:rPr>
        <w:t xml:space="preserve"> or Purchaser’s obligations hereunder, with respect to Transferred Employees covered by any CBA, effective from and after the Closing Date, Purchaser and its Affiliates shall comply with applicable Law concerning such CBA in the context of this Agreement.</w:t>
      </w:r>
    </w:p>
    <w:p>
      <w:pPr>
        <w:spacing w:after="0" w:line="192" w:lineRule="exact"/>
        <w:rPr>
          <w:rFonts w:ascii="Times New Roman" w:cs="Times New Roman" w:eastAsia="Times New Roman" w:hAnsi="Times New Roman"/>
          <w:sz w:val="22"/>
          <w:szCs w:val="22"/>
          <w:color w:val="auto"/>
        </w:rPr>
      </w:pPr>
    </w:p>
    <w:p>
      <w:pPr>
        <w:jc w:val="both"/>
        <w:ind w:left="740" w:firstLine="645"/>
        <w:spacing w:after="0" w:line="253" w:lineRule="auto"/>
        <w:tabs>
          <w:tab w:leader="none" w:pos="1895" w:val="left"/>
        </w:tabs>
        <w:numPr>
          <w:ilvl w:val="2"/>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Service Credit.</w:t>
      </w:r>
      <w:r>
        <w:rPr>
          <w:rFonts w:ascii="Times New Roman" w:cs="Times New Roman" w:eastAsia="Times New Roman" w:hAnsi="Times New Roman"/>
          <w:sz w:val="22"/>
          <w:szCs w:val="22"/>
          <w:color w:val="auto"/>
        </w:rPr>
        <w:t xml:space="preserve"> With respect to Transferred Employees, from and after the Closing Date, Purchaser shall or shall cause its Affiliates to, provide credit (without duplication) to each Transferred Employee for his or her service recognized by the Seller and its Affiliates and their respective predecessors before the Closing Date for purposes of eligibility to participate, vesting of defined contribution retirement benefits, and level of vacation and paid time off and severance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- 71 -</w:t>
      </w:r>
    </w:p>
    <w:p>
      <w:pPr>
        <w:sectPr>
          <w:pgSz w:w="11900" w:h="16838" w:orient="portrait"/>
          <w:cols w:equalWidth="0" w:num="1">
            <w:col w:w="11240"/>
          </w:cols>
          <w:pgMar w:left="320" w:top="1421" w:right="339" w:bottom="1440" w:gutter="0" w:footer="0" w:header="0"/>
        </w:sectPr>
      </w:pPr>
    </w:p>
    <w:bookmarkStart w:id="140" w:name="page141"/>
    <w:bookmarkEnd w:id="140"/>
    <w:p>
      <w:pPr>
        <w:jc w:val="both"/>
        <w:ind w:left="520"/>
        <w:spacing w:after="0" w:line="253" w:lineRule="auto"/>
        <w:rPr>
          <w:sz w:val="20"/>
          <w:szCs w:val="20"/>
          <w:color w:val="auto"/>
        </w:rPr>
      </w:pPr>
      <w:r>
        <w:rPr>
          <w:rFonts w:ascii="Times New Roman" w:cs="Times New Roman" w:eastAsia="Times New Roman" w:hAnsi="Times New Roman"/>
          <w:sz w:val="22"/>
          <w:szCs w:val="22"/>
          <w:color w:val="auto"/>
        </w:rPr>
        <w:t xml:space="preserve">entitlements to the same extent and for the same purposes as such service was credited under the comparable Seller Benefit Plan in which such Transferred Employee participated immediately prior to the Closing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service shall not be recognized for purposes of benefit accrual under any defined benefit pension plan or retiree medical plan or to the extent that such recognition would result in a duplication of benefits or for purposes of any frozen or discontinued Seller Benefit Plan or any frozen or discontinued portion of a Seller Benefit Plan.</w:t>
      </w:r>
    </w:p>
    <w:p>
      <w:pPr>
        <w:spacing w:after="0" w:line="179" w:lineRule="exact"/>
        <w:rPr>
          <w:sz w:val="20"/>
          <w:szCs w:val="20"/>
          <w:color w:val="auto"/>
        </w:rPr>
      </w:pPr>
    </w:p>
    <w:p>
      <w:pPr>
        <w:jc w:val="both"/>
        <w:ind w:left="520" w:firstLine="645"/>
        <w:spacing w:after="0" w:line="262" w:lineRule="auto"/>
        <w:tabs>
          <w:tab w:leader="none" w:pos="1735"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Severance or Other Termination Liabilities.</w:t>
      </w:r>
      <w:r>
        <w:rPr>
          <w:rFonts w:ascii="Times New Roman" w:cs="Times New Roman" w:eastAsia="Times New Roman" w:hAnsi="Times New Roman"/>
          <w:sz w:val="21"/>
          <w:szCs w:val="21"/>
          <w:color w:val="auto"/>
        </w:rPr>
        <w:t xml:space="preserve"> Purchaser or its Affiliates shall bear all the Liabilities relating to, and shall indemnify and hold harmless the Seller Indemnitees from and against any claims relating to the employment, compensation or benefits of any Transferred Employee after the Closing Date, including in respect of any act or omission relating to the employment of any Transferred Employee after the Closing Date. For the avoidance of doubt, Seller shall retain all the Liabilities relating to, and shall indemnify and hold harmless the Purchaser and its Affiliates from and against any claims relating to, the employment, compensation or benefits of any Business Employees who do not become Offer Employees, including claims for severance or other termination-related pay, but excluding any other claims arising out of or relating to Purchaser’s decision not to offer employment to such Business Employee(s).</w:t>
      </w:r>
    </w:p>
    <w:p>
      <w:pPr>
        <w:spacing w:after="0" w:line="172" w:lineRule="exact"/>
        <w:rPr>
          <w:rFonts w:ascii="Times New Roman" w:cs="Times New Roman" w:eastAsia="Times New Roman" w:hAnsi="Times New Roman"/>
          <w:sz w:val="21"/>
          <w:szCs w:val="21"/>
          <w:color w:val="auto"/>
        </w:rPr>
      </w:pPr>
    </w:p>
    <w:p>
      <w:pPr>
        <w:jc w:val="both"/>
        <w:ind w:left="520" w:firstLine="645"/>
        <w:spacing w:after="0" w:line="261" w:lineRule="auto"/>
        <w:tabs>
          <w:tab w:leader="none" w:pos="1723"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Welfare Plans</w:t>
      </w:r>
      <w:r>
        <w:rPr>
          <w:rFonts w:ascii="Times New Roman" w:cs="Times New Roman" w:eastAsia="Times New Roman" w:hAnsi="Times New Roman"/>
          <w:sz w:val="21"/>
          <w:szCs w:val="21"/>
          <w:color w:val="auto"/>
        </w:rPr>
        <w:t>. Purchaser shall cause its Subsidiaries to, use commercially reasonable efforts to waive pre-existing conditions, exclusions or waiting periods under the benefit plans that are group health or welfare plans of Purchaser or its Subsidiaries to the extent such condition or exclusion would not have been applicable to the Transferred Employee under the comparable Seller Benefit Plan prior to the Closing Date during the plan year in which the Closing occurs. With respect to the plan year during which the Closing occurs, Purchaser shall cause its Subsidiaries to use commercially reasonable efforts to provide each Transferred Employee with credit for deductibles and out-of-pocket requirements paid prior to the Closing Date and credited to such person under the Seller Benefit Plan that is a group health plan in satisfying any applicable deductible or out-of-pocket requirements under the comparable group health plan of Purchaser or its Subsidiaries in which such Transferred Employee is eligible to participate following the Closing Date. The Seller Group shall be solely responsible for complying with the requirements of Section 4980B of the Code with respect to any “M&amp;A qualified beneficiary” as that term is defined in Treasury Regulation Section 54.4980B-9.</w:t>
      </w:r>
    </w:p>
    <w:p>
      <w:pPr>
        <w:spacing w:after="0" w:line="189" w:lineRule="exact"/>
        <w:rPr>
          <w:rFonts w:ascii="Times New Roman" w:cs="Times New Roman" w:eastAsia="Times New Roman" w:hAnsi="Times New Roman"/>
          <w:sz w:val="21"/>
          <w:szCs w:val="21"/>
          <w:color w:val="auto"/>
        </w:rPr>
      </w:pPr>
    </w:p>
    <w:p>
      <w:pPr>
        <w:jc w:val="both"/>
        <w:ind w:left="520" w:firstLine="645"/>
        <w:spacing w:after="0" w:line="262" w:lineRule="auto"/>
        <w:tabs>
          <w:tab w:leader="none" w:pos="1825"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Workers Compensation.</w:t>
      </w:r>
      <w:r>
        <w:rPr>
          <w:rFonts w:ascii="Times New Roman" w:cs="Times New Roman" w:eastAsia="Times New Roman" w:hAnsi="Times New Roman"/>
          <w:sz w:val="21"/>
          <w:szCs w:val="21"/>
          <w:color w:val="auto"/>
        </w:rPr>
        <w:t xml:space="preserve"> The Seller and its Affiliates shall be responsible for all claims for workers compensation benefits that are incurred prior to the Closing Date by any Transferred Employee. Purchaser and its Affiliates shall be responsible for all claims for workers compensation benefits that are incurred on or after the Closing Date by any Transferred Employee. A claim for workers compensation benefits shall be deemed to be incurred when the event giving rise to the claim (the “</w:t>
      </w:r>
      <w:r>
        <w:rPr>
          <w:rFonts w:ascii="Times New Roman" w:cs="Times New Roman" w:eastAsia="Times New Roman" w:hAnsi="Times New Roman"/>
          <w:sz w:val="21"/>
          <w:szCs w:val="21"/>
          <w:u w:val="single" w:color="auto"/>
          <w:color w:val="auto"/>
        </w:rPr>
        <w:t>Workers Compensation Event</w:t>
      </w:r>
      <w:r>
        <w:rPr>
          <w:rFonts w:ascii="Times New Roman" w:cs="Times New Roman" w:eastAsia="Times New Roman" w:hAnsi="Times New Roman"/>
          <w:sz w:val="21"/>
          <w:szCs w:val="21"/>
          <w:color w:val="auto"/>
        </w:rPr>
        <w:t>”) occurs. If the Workers Compensation Event occurs over a period both preceding and following the Closing Date, the claim shall be the joint responsibility and liability of the Seller and Purchaser and shall be equitably apportioned between the Seller and Purchaser based upon the relative periods of time that the Workers Compensation Event transpired preceding and following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- 72 -</w:t>
      </w:r>
    </w:p>
    <w:p>
      <w:pPr>
        <w:sectPr>
          <w:pgSz w:w="11900" w:h="16838" w:orient="portrait"/>
          <w:cols w:equalWidth="0" w:num="1">
            <w:col w:w="11020"/>
          </w:cols>
          <w:pgMar w:left="540" w:top="1421" w:right="339" w:bottom="1440" w:gutter="0" w:footer="0" w:header="0"/>
        </w:sectPr>
      </w:pPr>
    </w:p>
    <w:bookmarkStart w:id="141" w:name="page142"/>
    <w:bookmarkEnd w:id="141"/>
    <w:p>
      <w:pPr>
        <w:jc w:val="both"/>
        <w:ind w:left="520" w:firstLine="645"/>
        <w:spacing w:after="0" w:line="249" w:lineRule="auto"/>
        <w:tabs>
          <w:tab w:leader="none" w:pos="1750"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Flexible Spending Accounts.</w:t>
      </w:r>
      <w:r>
        <w:rPr>
          <w:rFonts w:ascii="Times New Roman" w:cs="Times New Roman" w:eastAsia="Times New Roman" w:hAnsi="Times New Roman"/>
          <w:sz w:val="22"/>
          <w:szCs w:val="22"/>
          <w:color w:val="auto"/>
        </w:rPr>
        <w:t xml:space="preserve"> As soon as reasonably practicable after the Closing Date, (i) Seller shall, or shall cause its Affiliates to, transfer to Purchaser or its applicable Subsidiary an amount in cash equal to the excess, if any, of the aggregate contributions to Seller Benefit Plan flexible spending reimbursement accounts (the “</w:t>
      </w:r>
      <w:r>
        <w:rPr>
          <w:rFonts w:ascii="Times New Roman" w:cs="Times New Roman" w:eastAsia="Times New Roman" w:hAnsi="Times New Roman"/>
          <w:sz w:val="22"/>
          <w:szCs w:val="22"/>
          <w:u w:val="single" w:color="auto"/>
          <w:color w:val="auto"/>
        </w:rPr>
        <w:t>Seller’s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Cafeteria Plan</w:t>
      </w:r>
      <w:r>
        <w:rPr>
          <w:rFonts w:ascii="Times New Roman" w:cs="Times New Roman" w:eastAsia="Times New Roman" w:hAnsi="Times New Roman"/>
          <w:sz w:val="22"/>
          <w:szCs w:val="22"/>
          <w:color w:val="auto"/>
        </w:rPr>
        <w:t>”) made by the Transferred Employees prior to the Closing Date for the plan year in which the Closing Date occurs over the aggregate reimbursement payouts made to the Transferred Employees prior to the Closing Date for such year from such plans, and (ii) Purchaser shall cause its Subsidiaries to, cause such amounts to be credited to each such Transferred Employee’s accounts under Purchaser’s Cafeteria Plan. In connection with such transfer, Purchaser shall honor and continue through the end of the calendar year in which the Closing Date occurs the elections made by each Transferred Employee under the Seller’s Cafeteria Plan in respect of the flexible spending reimbursement accounts that are in effect immediately prior to the Closing Date.</w:t>
      </w:r>
    </w:p>
    <w:p>
      <w:pPr>
        <w:spacing w:after="0" w:line="183" w:lineRule="exact"/>
        <w:rPr>
          <w:rFonts w:ascii="Times New Roman" w:cs="Times New Roman" w:eastAsia="Times New Roman" w:hAnsi="Times New Roman"/>
          <w:sz w:val="22"/>
          <w:szCs w:val="22"/>
          <w:color w:val="auto"/>
        </w:rPr>
      </w:pPr>
    </w:p>
    <w:p>
      <w:pPr>
        <w:jc w:val="both"/>
        <w:ind w:left="520" w:firstLine="645"/>
        <w:spacing w:after="0" w:line="247" w:lineRule="auto"/>
        <w:tabs>
          <w:tab w:leader="none" w:pos="1783"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Bonuses.</w:t>
      </w:r>
      <w:r>
        <w:rPr>
          <w:rFonts w:ascii="Times New Roman" w:cs="Times New Roman" w:eastAsia="Times New Roman" w:hAnsi="Times New Roman"/>
          <w:sz w:val="22"/>
          <w:szCs w:val="22"/>
          <w:color w:val="auto"/>
        </w:rPr>
        <w:t xml:space="preserve"> With respect to annual bonus opportunities provided under the applicable Seller Benefit Plan in effect as of the date hereof and set forth on </w:t>
      </w:r>
      <w:r>
        <w:rPr>
          <w:rFonts w:ascii="Times New Roman" w:cs="Times New Roman" w:eastAsia="Times New Roman" w:hAnsi="Times New Roman"/>
          <w:sz w:val="22"/>
          <w:szCs w:val="22"/>
          <w:u w:val="single" w:color="auto"/>
          <w:color w:val="auto"/>
        </w:rPr>
        <w:t>Section 4.11(a)</w:t>
      </w:r>
      <w:r>
        <w:rPr>
          <w:rFonts w:ascii="Times New Roman" w:cs="Times New Roman" w:eastAsia="Times New Roman" w:hAnsi="Times New Roman"/>
          <w:sz w:val="22"/>
          <w:szCs w:val="22"/>
          <w:color w:val="auto"/>
        </w:rPr>
        <w:t xml:space="preserve"> of the Disclosure Letter, the Seller shall, for any partial performance period for the fiscal year in which the Closing Date occurs, make a pro-rated annual bonus payment to each eligible Business Employee who is not an Inactive Employee as of, and who remains employed through, the Closing Date, which shall be pro-rated based on the number of calendar days that have elapsed during the calendar year that the Closing Date occurs from January 1 through the Closing Date. Seller shall, in consultation with Purchaser, determine such annual bonus amount using good faith methodology based on actual performance and individual performance through the Closing Date, in each case, in accordance with the terms of the applicable Seller Benefit Plan in effect as of the date hereof. Such pro-rated annual bonuses shall be paid no later than the date on which Seller pays annual bonuses to similarly situated other employees of Seller and its Affiliates. In the case of any Transferred Employee who is an Inactive Employee as of the Closing Date, Seller and its Affiliates will comply with all applicable Law relating to the payment, whether pro-rated or not, to such employee of a bonus with respect to the period that precedes the Closing Date.</w:t>
      </w:r>
    </w:p>
    <w:p>
      <w:pPr>
        <w:spacing w:after="0" w:line="192" w:lineRule="exact"/>
        <w:rPr>
          <w:rFonts w:ascii="Times New Roman" w:cs="Times New Roman" w:eastAsia="Times New Roman" w:hAnsi="Times New Roman"/>
          <w:sz w:val="22"/>
          <w:szCs w:val="22"/>
          <w:color w:val="auto"/>
        </w:rPr>
      </w:pPr>
    </w:p>
    <w:p>
      <w:pPr>
        <w:jc w:val="both"/>
        <w:ind w:left="520" w:firstLine="645"/>
        <w:spacing w:after="0" w:line="253" w:lineRule="auto"/>
        <w:tabs>
          <w:tab w:leader="none" w:pos="1856"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Vacation and Paid Leave.</w:t>
      </w:r>
      <w:r>
        <w:rPr>
          <w:rFonts w:ascii="Times New Roman" w:cs="Times New Roman" w:eastAsia="Times New Roman" w:hAnsi="Times New Roman"/>
          <w:sz w:val="22"/>
          <w:szCs w:val="22"/>
          <w:color w:val="auto"/>
        </w:rPr>
        <w:t xml:space="preserve"> From and after the Closing Date, Purchaser shall, and shall cause its Affiliates to, assume and honor all accrued but unused vacation and other paid time-off of the Transferred Employees;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to the extent required by applicable Law, Seller shall, or shall cause its Affiliates to, pay each Transferred Employee all of his or her accrued but unused vacation and other paid-time off upon such Transferred Employee’s termination of employment with Seller and its Affiliates.</w:t>
      </w:r>
    </w:p>
    <w:p>
      <w:pPr>
        <w:spacing w:after="0" w:line="178" w:lineRule="exact"/>
        <w:rPr>
          <w:rFonts w:ascii="Times New Roman" w:cs="Times New Roman" w:eastAsia="Times New Roman" w:hAnsi="Times New Roman"/>
          <w:sz w:val="22"/>
          <w:szCs w:val="22"/>
          <w:color w:val="auto"/>
        </w:rPr>
      </w:pPr>
    </w:p>
    <w:p>
      <w:pPr>
        <w:ind w:left="520" w:firstLine="645"/>
        <w:spacing w:after="0" w:line="271" w:lineRule="auto"/>
        <w:tabs>
          <w:tab w:leader="none" w:pos="1804"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Business Benefit Plans.</w:t>
      </w:r>
      <w:r>
        <w:rPr>
          <w:rFonts w:ascii="Times New Roman" w:cs="Times New Roman" w:eastAsia="Times New Roman" w:hAnsi="Times New Roman"/>
          <w:sz w:val="22"/>
          <w:szCs w:val="22"/>
          <w:color w:val="auto"/>
        </w:rPr>
        <w:t xml:space="preserve"> From and after the Closing Date, the Transferred Employees shall cease to be active participants in the Seller Benefit Plans that are not Assumed Benefit Plans.</w:t>
      </w:r>
    </w:p>
    <w:p>
      <w:pPr>
        <w:spacing w:after="0" w:line="171" w:lineRule="exact"/>
        <w:rPr>
          <w:rFonts w:ascii="Times New Roman" w:cs="Times New Roman" w:eastAsia="Times New Roman" w:hAnsi="Times New Roman"/>
          <w:sz w:val="22"/>
          <w:szCs w:val="22"/>
          <w:color w:val="auto"/>
        </w:rPr>
      </w:pPr>
    </w:p>
    <w:p>
      <w:pPr>
        <w:ind w:left="1560" w:hanging="476"/>
        <w:spacing w:after="0"/>
        <w:tabs>
          <w:tab w:leader="none" w:pos="156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Defined Contribution Plans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520" w:firstLine="645"/>
        <w:spacing w:after="0" w:line="252" w:lineRule="auto"/>
        <w:tabs>
          <w:tab w:leader="none" w:pos="1690"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as of as soon as reasonably practicable after the Closing, Purchaser shall create or designate a defined contribution retirement plan that is intended to be qualified under Section 401(a) of the Code (the “</w:t>
      </w:r>
      <w:r>
        <w:rPr>
          <w:rFonts w:ascii="Times New Roman" w:cs="Times New Roman" w:eastAsia="Times New Roman" w:hAnsi="Times New Roman"/>
          <w:sz w:val="22"/>
          <w:szCs w:val="22"/>
          <w:u w:val="single" w:color="auto"/>
          <w:color w:val="auto"/>
        </w:rPr>
        <w:t>Purchaser DC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for the benefit of the Transferred Employees who participated in one or more of the defined contribution retirement plans Seller Benefit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- 73 -</w:t>
      </w:r>
    </w:p>
    <w:p>
      <w:pPr>
        <w:sectPr>
          <w:pgSz w:w="11900" w:h="16838" w:orient="portrait"/>
          <w:cols w:equalWidth="0" w:num="1">
            <w:col w:w="11020"/>
          </w:cols>
          <w:pgMar w:left="540" w:top="1421" w:right="339" w:bottom="1440" w:gutter="0" w:footer="0" w:header="0"/>
        </w:sectPr>
      </w:pPr>
    </w:p>
    <w:bookmarkStart w:id="142" w:name="page143"/>
    <w:bookmarkEnd w:id="142"/>
    <w:p>
      <w:pPr>
        <w:ind w:left="516"/>
        <w:spacing w:after="0" w:line="271" w:lineRule="auto"/>
        <w:rPr>
          <w:sz w:val="20"/>
          <w:szCs w:val="20"/>
          <w:color w:val="auto"/>
        </w:rPr>
      </w:pPr>
      <w:r>
        <w:rPr>
          <w:rFonts w:ascii="Times New Roman" w:cs="Times New Roman" w:eastAsia="Times New Roman" w:hAnsi="Times New Roman"/>
          <w:sz w:val="22"/>
          <w:szCs w:val="22"/>
          <w:color w:val="auto"/>
        </w:rPr>
        <w:t>that are intended to be qualified under Section 401(a) of the Code immediately prior to the Closing Date (collectively, the “</w:t>
      </w:r>
      <w:r>
        <w:rPr>
          <w:rFonts w:ascii="Times New Roman" w:cs="Times New Roman" w:eastAsia="Times New Roman" w:hAnsi="Times New Roman"/>
          <w:sz w:val="22"/>
          <w:szCs w:val="22"/>
          <w:u w:val="single" w:color="auto"/>
          <w:color w:val="auto"/>
        </w:rPr>
        <w:t>Business DC Plan</w:t>
      </w:r>
      <w:r>
        <w:rPr>
          <w:rFonts w:ascii="Times New Roman" w:cs="Times New Roman" w:eastAsia="Times New Roman" w:hAnsi="Times New Roman"/>
          <w:sz w:val="22"/>
          <w:szCs w:val="22"/>
          <w:color w:val="auto"/>
        </w:rPr>
        <w:t>”). Such Transferred Employees are referred to hereinafter as the “</w:t>
      </w:r>
      <w:r>
        <w:rPr>
          <w:rFonts w:ascii="Times New Roman" w:cs="Times New Roman" w:eastAsia="Times New Roman" w:hAnsi="Times New Roman"/>
          <w:sz w:val="22"/>
          <w:szCs w:val="22"/>
          <w:u w:val="single" w:color="auto"/>
          <w:color w:val="auto"/>
        </w:rPr>
        <w:t>DC Employees</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left="516" w:firstLine="645"/>
        <w:spacing w:after="0" w:line="250" w:lineRule="auto"/>
        <w:tabs>
          <w:tab w:leader="none" w:pos="1688" w:val="left"/>
        </w:tabs>
        <w:numPr>
          <w:ilvl w:val="2"/>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Purchaser DC Plan will accept “eligible rollover distributions” (as such term is defined under Section 402(c)(4) of the Code) in cash, but including notes corresponding to loans, that are elected by the Transferred Employees. Purchaser and the Seller will cooperate in order to facilitate any such distribution or rollover and to effect an eligible rollover distribution for those DC Employees who timely elect to rollover their account balances, including notes, directly into the Purchaser DC Plan. Effective as of the Closing Date, the Seller Group shall take, or cause to be taken, all necessary actions: (i) to cause all Transferred Employees to become fully vested in all account balances under the Business DC Plan; and (ii) to make to the Business DC plan all employer contributions that would have been made on behalf of the Transferred Employees had the Transactions not occurred, regardless of any service or end of year employment requirements, but prorated for the portion of the plan year that ends on the Closing Date.</w:t>
      </w:r>
    </w:p>
    <w:p>
      <w:pPr>
        <w:spacing w:after="0" w:line="179" w:lineRule="exact"/>
        <w:rPr>
          <w:rFonts w:ascii="Times New Roman" w:cs="Times New Roman" w:eastAsia="Times New Roman" w:hAnsi="Times New Roman"/>
          <w:sz w:val="22"/>
          <w:szCs w:val="22"/>
          <w:color w:val="auto"/>
        </w:rPr>
      </w:pPr>
    </w:p>
    <w:p>
      <w:pPr>
        <w:jc w:val="both"/>
        <w:ind w:left="-224" w:firstLine="1304"/>
        <w:spacing w:after="0" w:line="250" w:lineRule="auto"/>
        <w:tabs>
          <w:tab w:leader="none" w:pos="1541"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Qualified Defined Benefit Plans.</w:t>
      </w:r>
      <w:r>
        <w:rPr>
          <w:rFonts w:ascii="Times New Roman" w:cs="Times New Roman" w:eastAsia="Times New Roman" w:hAnsi="Times New Roman"/>
          <w:sz w:val="22"/>
          <w:szCs w:val="22"/>
          <w:color w:val="auto"/>
        </w:rPr>
        <w:t xml:space="preserve"> The Seller shall retain all Liabilities under each Seller Benefit Plan that is a defined benefit pension plan subject to Section 412 of the Code or Section 302 or Title IV of ERISA (a “</w:t>
      </w:r>
      <w:r>
        <w:rPr>
          <w:rFonts w:ascii="Times New Roman" w:cs="Times New Roman" w:eastAsia="Times New Roman" w:hAnsi="Times New Roman"/>
          <w:sz w:val="22"/>
          <w:szCs w:val="22"/>
          <w:u w:val="single" w:color="auto"/>
          <w:color w:val="auto"/>
        </w:rPr>
        <w:t>Seller Qualified Plan</w:t>
      </w:r>
      <w:r>
        <w:rPr>
          <w:rFonts w:ascii="Times New Roman" w:cs="Times New Roman" w:eastAsia="Times New Roman" w:hAnsi="Times New Roman"/>
          <w:sz w:val="22"/>
          <w:szCs w:val="22"/>
          <w:color w:val="auto"/>
        </w:rPr>
        <w:t>”) in respect of benefits accrued thereunder by Transferred Employees prior to the Closing Date and shall make payments to Transferred Employees with vested rights thereunder in accordance with the terms of such plan and applicable Law. As of and following the Closing, Seller shall cause any Seller Qualified Plan to recognize future service of Transferred Employees with Purchaser or its Affiliates for purposes of determining eligibility for any early retirement or other subsidy. No assets or liabilities of any Seller Qualified Plan shall be transferred to a retirement plan maintained by Purchaser or any of its Affiliates.</w:t>
      </w:r>
    </w:p>
    <w:p>
      <w:pPr>
        <w:spacing w:after="0" w:line="180" w:lineRule="exact"/>
        <w:rPr>
          <w:rFonts w:ascii="Times New Roman" w:cs="Times New Roman" w:eastAsia="Times New Roman" w:hAnsi="Times New Roman"/>
          <w:sz w:val="22"/>
          <w:szCs w:val="22"/>
          <w:color w:val="auto"/>
        </w:rPr>
      </w:pPr>
    </w:p>
    <w:p>
      <w:pPr>
        <w:jc w:val="both"/>
        <w:ind w:left="-224" w:firstLine="1304"/>
        <w:spacing w:after="0" w:line="251" w:lineRule="auto"/>
        <w:tabs>
          <w:tab w:leader="none" w:pos="1531"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Deferred Compensation Plans.</w:t>
      </w:r>
      <w:r>
        <w:rPr>
          <w:rFonts w:ascii="Times New Roman" w:cs="Times New Roman" w:eastAsia="Times New Roman" w:hAnsi="Times New Roman"/>
          <w:sz w:val="22"/>
          <w:szCs w:val="22"/>
          <w:color w:val="auto"/>
        </w:rPr>
        <w:t xml:space="preserve"> The Seller shall retain all Liabilities under the Seller Deferred Compensation Plans in respect of benefits accrued thereunder by Transferred Employees prior to the Closing Date and shall make payments to Transferred Employees with vested rights thereunder in accordance with the terms of such Seller Deferred Compensation Plan and applicable Law. No Transferred Employee shall accrue any benefit under such plans in respect of service with Purchaser or any of its Affiliates after the Closing Date. No assets or liabilities of any Seller Deferred Compensation Plan shall be transferred to a plan maintained by Purchaser or any of its Affiliates.</w:t>
      </w:r>
    </w:p>
    <w:p>
      <w:pPr>
        <w:spacing w:after="0" w:line="194" w:lineRule="exact"/>
        <w:rPr>
          <w:rFonts w:ascii="Times New Roman" w:cs="Times New Roman" w:eastAsia="Times New Roman" w:hAnsi="Times New Roman"/>
          <w:sz w:val="22"/>
          <w:szCs w:val="22"/>
          <w:color w:val="auto"/>
        </w:rPr>
      </w:pPr>
    </w:p>
    <w:p>
      <w:pPr>
        <w:jc w:val="both"/>
        <w:ind w:left="-224" w:firstLine="1304"/>
        <w:spacing w:after="0" w:line="248" w:lineRule="auto"/>
        <w:tabs>
          <w:tab w:leader="none" w:pos="1594"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Compensation.</w:t>
      </w:r>
      <w:r>
        <w:rPr>
          <w:rFonts w:ascii="Times New Roman" w:cs="Times New Roman" w:eastAsia="Times New Roman" w:hAnsi="Times New Roman"/>
          <w:sz w:val="22"/>
          <w:szCs w:val="22"/>
          <w:color w:val="auto"/>
        </w:rPr>
        <w:t xml:space="preserve"> The Seller shall retain all Liabilities under each Seller Benefit Plan in respect of all long-term cash incentive compensation arrangements, phantom equity and equity or equity-based compensation awards or arrangements (collectively, the “</w:t>
      </w:r>
      <w:r>
        <w:rPr>
          <w:rFonts w:ascii="Times New Roman" w:cs="Times New Roman" w:eastAsia="Times New Roman" w:hAnsi="Times New Roman"/>
          <w:sz w:val="22"/>
          <w:szCs w:val="22"/>
          <w:u w:val="single" w:color="auto"/>
          <w:color w:val="auto"/>
        </w:rPr>
        <w:t>LTI Incentives</w:t>
      </w:r>
      <w:r>
        <w:rPr>
          <w:rFonts w:ascii="Times New Roman" w:cs="Times New Roman" w:eastAsia="Times New Roman" w:hAnsi="Times New Roman"/>
          <w:sz w:val="22"/>
          <w:szCs w:val="22"/>
          <w:color w:val="auto"/>
        </w:rPr>
        <w:t>”) held by any current or former Business Employee, which shall be treated in accordance with their terms; provided, that, the Seller shall take all necessary actions under the applicable Seller Benefit Plans to accelerate and vest all LTI Incentives for each of the Transferred Employees in a manner that complies with Section 409A of the Code.</w:t>
      </w:r>
    </w:p>
    <w:p>
      <w:pPr>
        <w:spacing w:after="0" w:line="200" w:lineRule="exact"/>
        <w:rPr>
          <w:rFonts w:ascii="Times New Roman" w:cs="Times New Roman" w:eastAsia="Times New Roman" w:hAnsi="Times New Roman"/>
          <w:sz w:val="22"/>
          <w:szCs w:val="22"/>
          <w:color w:val="auto"/>
        </w:rPr>
      </w:pPr>
    </w:p>
    <w:p>
      <w:pPr>
        <w:jc w:val="both"/>
        <w:ind w:left="-224" w:firstLine="1304"/>
        <w:spacing w:after="0" w:line="250" w:lineRule="auto"/>
        <w:tabs>
          <w:tab w:leader="none" w:pos="1594"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Labor and Employment Law Matters.</w:t>
      </w:r>
      <w:r>
        <w:rPr>
          <w:rFonts w:ascii="Times New Roman" w:cs="Times New Roman" w:eastAsia="Times New Roman" w:hAnsi="Times New Roman"/>
          <w:sz w:val="22"/>
          <w:szCs w:val="22"/>
          <w:color w:val="auto"/>
        </w:rPr>
        <w:t xml:space="preserve"> Seller shall, and shall cause its applicable Affiliates to, fully comply with applicable Law and the terms of each CBA, if any, with respect to any notice, consultation, bargaining, or similar obligation owed to each union, labor board, employee group, or Governmental Authority. Purchaser or its applicable Affiliate shall assume each CBA and in accordance with </w:t>
      </w:r>
      <w:r>
        <w:rPr>
          <w:rFonts w:ascii="Times New Roman" w:cs="Times New Roman" w:eastAsia="Times New Roman" w:hAnsi="Times New Roman"/>
          <w:sz w:val="22"/>
          <w:szCs w:val="22"/>
          <w:u w:val="single" w:color="auto"/>
          <w:color w:val="auto"/>
        </w:rPr>
        <w:t>Section 2.03(a)(x)</w:t>
      </w:r>
      <w:r>
        <w:rPr>
          <w:rFonts w:ascii="Times New Roman" w:cs="Times New Roman" w:eastAsia="Times New Roman" w:hAnsi="Times New Roman"/>
          <w:sz w:val="22"/>
          <w:szCs w:val="22"/>
          <w:color w:val="auto"/>
        </w:rPr>
        <w:t xml:space="preserve"> herein shall, or shall cause its Affiliates to, be responsible for all Liabilities arising</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0" w:lineRule="exact"/>
        <w:rPr>
          <w:rFonts w:ascii="Times New Roman" w:cs="Times New Roman" w:eastAsia="Times New Roman" w:hAnsi="Times New Roman"/>
          <w:sz w:val="22"/>
          <w:szCs w:val="22"/>
          <w:color w:val="auto"/>
        </w:rPr>
      </w:pPr>
    </w:p>
    <w:p>
      <w:pPr>
        <w:ind w:left="136" w:hanging="136"/>
        <w:spacing w:after="0"/>
        <w:tabs>
          <w:tab w:leader="none" w:pos="136"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74 -</w:t>
      </w:r>
    </w:p>
    <w:p>
      <w:pPr>
        <w:sectPr>
          <w:pgSz w:w="11900" w:h="16838" w:orient="portrait"/>
          <w:cols w:equalWidth="0" w:num="1">
            <w:col w:w="11016"/>
          </w:cols>
          <w:pgMar w:left="544" w:top="1421" w:right="339" w:bottom="1440" w:gutter="0" w:footer="0" w:header="0"/>
        </w:sectPr>
      </w:pPr>
    </w:p>
    <w:bookmarkStart w:id="143" w:name="page144"/>
    <w:bookmarkEnd w:id="143"/>
    <w:p>
      <w:pPr>
        <w:jc w:val="both"/>
        <w:spacing w:after="0" w:line="249" w:lineRule="auto"/>
        <w:rPr>
          <w:sz w:val="20"/>
          <w:szCs w:val="20"/>
          <w:color w:val="auto"/>
        </w:rPr>
      </w:pPr>
      <w:r>
        <w:rPr>
          <w:rFonts w:ascii="Times New Roman" w:cs="Times New Roman" w:eastAsia="Times New Roman" w:hAnsi="Times New Roman"/>
          <w:sz w:val="22"/>
          <w:szCs w:val="22"/>
          <w:color w:val="auto"/>
        </w:rPr>
        <w:t>under any CBA so assumed to the extent such Liabilities arise after the Closing. The Seller shall regularly provide Purchaser with updates regarding the progress of all notifications, consultations and negotiations with each union, labor board, employee group and Governmental Authority regarding the effect, impact or timing of the Transactions. Purchaser shall similarly provide Seller with regular updates regarding the progress of all notifications, consultations and negotiations with each union, labor board, employee group and Governmental Authority regarding the effect, impact or timing of the Transactions. Notwithstanding anything in this Agreement to the contrary, the terms and conditions of employment for any Transferred Employee covered by a CBA shall be governed by the applicable CBA until the expiration, modification, or termination of such CBA in accordance with its terms or applicable Law.</w:t>
      </w:r>
    </w:p>
    <w:p>
      <w:pPr>
        <w:spacing w:after="0" w:line="195" w:lineRule="exact"/>
        <w:rPr>
          <w:sz w:val="20"/>
          <w:szCs w:val="20"/>
          <w:color w:val="auto"/>
        </w:rPr>
      </w:pPr>
    </w:p>
    <w:p>
      <w:pPr>
        <w:jc w:val="both"/>
        <w:ind w:firstLine="1304"/>
        <w:spacing w:after="0" w:line="260" w:lineRule="auto"/>
        <w:tabs>
          <w:tab w:leader="none" w:pos="1756" w:val="left"/>
        </w:tabs>
        <w:numPr>
          <w:ilvl w:val="1"/>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Regulatory Matters.</w:t>
      </w:r>
      <w:r>
        <w:rPr>
          <w:rFonts w:ascii="Times New Roman" w:cs="Times New Roman" w:eastAsia="Times New Roman" w:hAnsi="Times New Roman"/>
          <w:sz w:val="21"/>
          <w:szCs w:val="21"/>
          <w:color w:val="auto"/>
        </w:rPr>
        <w:t xml:space="preserve"> If any Business Employee requires a work permit or employment pass or other legal or regulatory approval for his or her employment with Purchaser or its Affiliates, Seller shall, and shall cause its Affiliates to, use their commercially reasonable efforts to cause any such permit, pass or other approval to be obtained and in effect prior to the Closing Date. Notwithstanding the foregoing, to the extent permitted by applicable Law and any applicable CBA, in the event an applicable work permit, pass or other approval for a Business Employee is not in place with Purchaser or its applicable Affiliate as of the Closing Date, such Business Employee shall be treated as an Inactive Employee hereunder and the parties shall reasonably cooperate to provide for the services of such Business Employee to be made available exclusively to Purchaser through an employee secondment, services or similar arrangement (to be negotiated in good faith by Seller and Purchaser for such service period until the applicable work permit, pass or other approval can be obtained);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Seller shall, and shall cause its Affiliates to, continue to use their commercially reasonable efforts to obtain the applicable work permit.</w:t>
      </w:r>
    </w:p>
    <w:p>
      <w:pPr>
        <w:spacing w:after="0" w:line="178" w:lineRule="exact"/>
        <w:rPr>
          <w:rFonts w:ascii="Times New Roman" w:cs="Times New Roman" w:eastAsia="Times New Roman" w:hAnsi="Times New Roman"/>
          <w:sz w:val="21"/>
          <w:szCs w:val="21"/>
          <w:color w:val="auto"/>
        </w:rPr>
      </w:pPr>
    </w:p>
    <w:p>
      <w:pPr>
        <w:jc w:val="both"/>
        <w:ind w:firstLine="1304"/>
        <w:spacing w:after="0" w:line="268" w:lineRule="auto"/>
        <w:tabs>
          <w:tab w:leader="none" w:pos="1783" w:val="left"/>
        </w:tabs>
        <w:numPr>
          <w:ilvl w:val="1"/>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WARN.</w:t>
      </w:r>
      <w:r>
        <w:rPr>
          <w:rFonts w:ascii="Times New Roman" w:cs="Times New Roman" w:eastAsia="Times New Roman" w:hAnsi="Times New Roman"/>
          <w:sz w:val="21"/>
          <w:szCs w:val="21"/>
          <w:color w:val="auto"/>
        </w:rPr>
        <w:t xml:space="preserve"> With respect to the Transferred Employees, Purchaser shall, and shall cause each of its applicable Affiliates to, comply in all material respects with any notice or other requirements of the Worker Adjustment and Retraining Notification Act of 1988, as amended and any similar state or local Law (“</w:t>
      </w:r>
      <w:r>
        <w:rPr>
          <w:rFonts w:ascii="Times New Roman" w:cs="Times New Roman" w:eastAsia="Times New Roman" w:hAnsi="Times New Roman"/>
          <w:sz w:val="21"/>
          <w:szCs w:val="21"/>
          <w:u w:val="single" w:color="auto"/>
          <w:color w:val="auto"/>
        </w:rPr>
        <w:t>WARN</w:t>
      </w:r>
      <w:r>
        <w:rPr>
          <w:rFonts w:ascii="Times New Roman" w:cs="Times New Roman" w:eastAsia="Times New Roman" w:hAnsi="Times New Roman"/>
          <w:sz w:val="21"/>
          <w:szCs w:val="21"/>
          <w:color w:val="auto"/>
        </w:rPr>
        <w:t>”), with respect to events occurring during the ninety (90) days after the Closing. The Seller shall, and shall cause each of their applicable Affiliates to, comply in all material respects with any notice(s) or other requirements of WARN, with respect to events occurring on or prior to the Closing.</w:t>
      </w:r>
    </w:p>
    <w:p>
      <w:pPr>
        <w:spacing w:after="0" w:line="163" w:lineRule="exact"/>
        <w:rPr>
          <w:rFonts w:ascii="Times New Roman" w:cs="Times New Roman" w:eastAsia="Times New Roman" w:hAnsi="Times New Roman"/>
          <w:sz w:val="21"/>
          <w:szCs w:val="21"/>
          <w:color w:val="auto"/>
        </w:rPr>
      </w:pPr>
    </w:p>
    <w:p>
      <w:pPr>
        <w:jc w:val="both"/>
        <w:ind w:firstLine="1304"/>
        <w:spacing w:after="0" w:line="253" w:lineRule="auto"/>
        <w:tabs>
          <w:tab w:leader="none" w:pos="1791"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 Records.</w:t>
      </w:r>
      <w:r>
        <w:rPr>
          <w:rFonts w:ascii="Times New Roman" w:cs="Times New Roman" w:eastAsia="Times New Roman" w:hAnsi="Times New Roman"/>
          <w:sz w:val="22"/>
          <w:szCs w:val="22"/>
          <w:color w:val="auto"/>
        </w:rPr>
        <w:t xml:space="preserve"> As of the Closing Date, the Seller shall provide to Purchaser and its Affiliates copies of all employment Records for each Transferred Employee able to be provided to Purchaser and its Affiliates under applicable Law or as requested by Purchaser, including to establish payroll systems or employee benefit plans as of the Closing Date (the “</w:t>
      </w:r>
      <w:r>
        <w:rPr>
          <w:rFonts w:ascii="Times New Roman" w:cs="Times New Roman" w:eastAsia="Times New Roman" w:hAnsi="Times New Roman"/>
          <w:sz w:val="22"/>
          <w:szCs w:val="22"/>
          <w:u w:val="single" w:color="auto"/>
          <w:color w:val="auto"/>
        </w:rPr>
        <w:t>Transferred Personnel Records</w:t>
      </w:r>
      <w:r>
        <w:rPr>
          <w:rFonts w:ascii="Times New Roman" w:cs="Times New Roman" w:eastAsia="Times New Roman" w:hAnsi="Times New Roman"/>
          <w:sz w:val="22"/>
          <w:szCs w:val="22"/>
          <w:color w:val="auto"/>
        </w:rPr>
        <w:t>”). The Seller shall be permitted to retain copies of such employment records, except where prohibited by applicable Law.</w:t>
      </w:r>
    </w:p>
    <w:p>
      <w:pPr>
        <w:spacing w:after="0" w:line="178" w:lineRule="exact"/>
        <w:rPr>
          <w:rFonts w:ascii="Times New Roman" w:cs="Times New Roman" w:eastAsia="Times New Roman" w:hAnsi="Times New Roman"/>
          <w:sz w:val="22"/>
          <w:szCs w:val="22"/>
          <w:color w:val="auto"/>
        </w:rPr>
      </w:pPr>
    </w:p>
    <w:p>
      <w:pPr>
        <w:ind w:right="20" w:firstLine="1304"/>
        <w:spacing w:after="0" w:line="295" w:lineRule="auto"/>
        <w:tabs>
          <w:tab w:leader="none" w:pos="1716" w:val="left"/>
        </w:tabs>
        <w:numPr>
          <w:ilvl w:val="1"/>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Payroll Reporting.</w:t>
      </w:r>
      <w:r>
        <w:rPr>
          <w:rFonts w:ascii="Times New Roman" w:cs="Times New Roman" w:eastAsia="Times New Roman" w:hAnsi="Times New Roman"/>
          <w:sz w:val="21"/>
          <w:szCs w:val="21"/>
          <w:color w:val="auto"/>
        </w:rPr>
        <w:t xml:space="preserve"> Pursuant to IRS Revenue Procedure 2004-53, Purchaser and the Seller and their respective Affiliates shall apply the “standard” method for purposes of employee payroll reporting with respect to any Business Employee.</w:t>
      </w:r>
    </w:p>
    <w:p>
      <w:pPr>
        <w:spacing w:after="0" w:line="148" w:lineRule="exact"/>
        <w:rPr>
          <w:rFonts w:ascii="Times New Roman" w:cs="Times New Roman" w:eastAsia="Times New Roman" w:hAnsi="Times New Roman"/>
          <w:sz w:val="21"/>
          <w:szCs w:val="21"/>
          <w:color w:val="auto"/>
        </w:rPr>
      </w:pPr>
    </w:p>
    <w:p>
      <w:pPr>
        <w:jc w:val="both"/>
        <w:ind w:firstLine="1304"/>
        <w:spacing w:after="0" w:line="257" w:lineRule="auto"/>
        <w:tabs>
          <w:tab w:leader="none" w:pos="1824"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Communications.</w:t>
      </w:r>
      <w:r>
        <w:rPr>
          <w:rFonts w:ascii="Times New Roman" w:cs="Times New Roman" w:eastAsia="Times New Roman" w:hAnsi="Times New Roman"/>
          <w:sz w:val="22"/>
          <w:szCs w:val="22"/>
          <w:color w:val="auto"/>
        </w:rPr>
        <w:t xml:space="preserve"> Prior to the Closing, any employee notices or communication materials (including website postings) from Purchaser or its Affiliates to the Business Employees, including notices or communication materials with respect to employment, compensation or benefits matters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2" w:lineRule="exact"/>
        <w:rPr>
          <w:rFonts w:ascii="Times New Roman" w:cs="Times New Roman" w:eastAsia="Times New Roman" w:hAnsi="Times New Roman"/>
          <w:sz w:val="22"/>
          <w:szCs w:val="22"/>
          <w:color w:val="auto"/>
        </w:rPr>
      </w:pPr>
    </w:p>
    <w:p>
      <w:pPr>
        <w:ind w:left="360" w:hanging="136"/>
        <w:spacing w:after="0"/>
        <w:tabs>
          <w:tab w:leader="none" w:pos="36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75 -</w:t>
      </w:r>
    </w:p>
    <w:p>
      <w:pPr>
        <w:sectPr>
          <w:pgSz w:w="11900" w:h="16838" w:orient="portrait"/>
          <w:cols w:equalWidth="0" w:num="1">
            <w:col w:w="11240"/>
          </w:cols>
          <w:pgMar w:left="320" w:top="1421" w:right="339" w:bottom="1440" w:gutter="0" w:footer="0" w:header="0"/>
        </w:sectPr>
      </w:pPr>
    </w:p>
    <w:bookmarkStart w:id="144" w:name="page145"/>
    <w:bookmarkEnd w:id="144"/>
    <w:p>
      <w:pPr>
        <w:spacing w:after="0" w:line="271" w:lineRule="auto"/>
        <w:rPr>
          <w:sz w:val="20"/>
          <w:szCs w:val="20"/>
          <w:color w:val="auto"/>
        </w:rPr>
      </w:pPr>
      <w:r>
        <w:rPr>
          <w:rFonts w:ascii="Times New Roman" w:cs="Times New Roman" w:eastAsia="Times New Roman" w:hAnsi="Times New Roman"/>
          <w:sz w:val="22"/>
          <w:szCs w:val="22"/>
          <w:color w:val="auto"/>
        </w:rPr>
        <w:t>addressed in this Agreement or related, directly or indirectly, to the Transactions or employment thereafter, shall be subject to the prior review and reasonable comment of the Seller.</w:t>
      </w:r>
    </w:p>
    <w:p>
      <w:pPr>
        <w:spacing w:after="0" w:line="158" w:lineRule="exact"/>
        <w:rPr>
          <w:sz w:val="20"/>
          <w:szCs w:val="20"/>
          <w:color w:val="auto"/>
        </w:rPr>
      </w:pPr>
    </w:p>
    <w:p>
      <w:pPr>
        <w:jc w:val="both"/>
        <w:ind w:firstLine="1304"/>
        <w:spacing w:after="0" w:line="251" w:lineRule="auto"/>
        <w:tabs>
          <w:tab w:leader="none" w:pos="1845" w:val="left"/>
        </w:tabs>
        <w:numPr>
          <w:ilvl w:val="2"/>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Contingent Labor</w:t>
      </w:r>
      <w:r>
        <w:rPr>
          <w:rFonts w:ascii="Times New Roman" w:cs="Times New Roman" w:eastAsia="Times New Roman" w:hAnsi="Times New Roman"/>
          <w:sz w:val="22"/>
          <w:szCs w:val="22"/>
          <w:color w:val="auto"/>
        </w:rPr>
        <w:t>. During the period prior to the Closing Date, the Seller Entities shall use commercially reasonable efforts to make individual independent contractors engaged by the Seller Entities in service to the Business available to Purchaser for the purpose of allowing Purchaser to interview each such contractor and determine the nature and extent of each such individual’s continuation with Purchaser, if any. The Seller Entities shall provide to Purchaser contact information for third-party service providers providing contingent personnel to the Business and reasonably cooperate in identifying and transferring such contingent work force to the extent requested by Purchaser.</w:t>
      </w:r>
    </w:p>
    <w:p>
      <w:pPr>
        <w:spacing w:after="0" w:line="194" w:lineRule="exact"/>
        <w:rPr>
          <w:rFonts w:ascii="Times New Roman" w:cs="Times New Roman" w:eastAsia="Times New Roman" w:hAnsi="Times New Roman"/>
          <w:sz w:val="22"/>
          <w:szCs w:val="22"/>
          <w:color w:val="auto"/>
        </w:rPr>
      </w:pPr>
    </w:p>
    <w:p>
      <w:pPr>
        <w:jc w:val="both"/>
        <w:ind w:firstLine="1304"/>
        <w:spacing w:after="0" w:line="248" w:lineRule="auto"/>
        <w:tabs>
          <w:tab w:leader="none" w:pos="1899" w:val="left"/>
        </w:tabs>
        <w:numPr>
          <w:ilvl w:val="2"/>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Restrictive Covenants</w:t>
      </w:r>
      <w:r>
        <w:rPr>
          <w:rFonts w:ascii="Times New Roman" w:cs="Times New Roman" w:eastAsia="Times New Roman" w:hAnsi="Times New Roman"/>
          <w:sz w:val="22"/>
          <w:szCs w:val="22"/>
          <w:color w:val="auto"/>
        </w:rPr>
        <w:t>. The Seller Group agrees that, notwithstanding the terms of any noncompetition, customer non-solicit, or other restrictive covenant obligation between any member of the Seller Group and an Offer Employee, such Offer Employee shall be permitted to provide services to Purchaser and its Affiliates following the Closing, and no member of the Seller Group will seek to enforce the terms of any such restrictive covenant following the Closing with respect to such Offer Employee’s services to Purchaser or its Affiliates. The Seller Group hereby assigns all such restrictive covenant obligations relating to the Business in respect of Offer Employees to Purchaser and its applicable Affiliates, and Purchaser and its Affiliates have the right, but not the obligation, to enforce such restrictive covenant obligations; provided, however, that each applicable member of the Seller Group shall retain the right to enforce such restrictive covenant obligations with respect to any Business Employee’s activities other than services to Purchaser or its Affiliates.</w:t>
      </w:r>
    </w:p>
    <w:p>
      <w:pPr>
        <w:spacing w:after="0" w:line="185" w:lineRule="exact"/>
        <w:rPr>
          <w:rFonts w:ascii="Times New Roman" w:cs="Times New Roman" w:eastAsia="Times New Roman" w:hAnsi="Times New Roman"/>
          <w:sz w:val="22"/>
          <w:szCs w:val="22"/>
          <w:color w:val="auto"/>
        </w:rPr>
      </w:pPr>
    </w:p>
    <w:p>
      <w:pPr>
        <w:jc w:val="both"/>
        <w:ind w:firstLine="1304"/>
        <w:spacing w:after="0" w:line="262" w:lineRule="auto"/>
        <w:tabs>
          <w:tab w:leader="none" w:pos="1831" w:val="left"/>
        </w:tabs>
        <w:numPr>
          <w:ilvl w:val="2"/>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Third-Party Beneficiary Rights.</w:t>
      </w:r>
      <w:r>
        <w:rPr>
          <w:rFonts w:ascii="Times New Roman" w:cs="Times New Roman" w:eastAsia="Times New Roman" w:hAnsi="Times New Roman"/>
          <w:sz w:val="21"/>
          <w:szCs w:val="21"/>
          <w:color w:val="auto"/>
        </w:rPr>
        <w:t xml:space="preserve"> This </w:t>
      </w:r>
      <w:r>
        <w:rPr>
          <w:rFonts w:ascii="Times New Roman" w:cs="Times New Roman" w:eastAsia="Times New Roman" w:hAnsi="Times New Roman"/>
          <w:sz w:val="21"/>
          <w:szCs w:val="21"/>
          <w:u w:val="single" w:color="auto"/>
          <w:color w:val="auto"/>
        </w:rPr>
        <w:t>Section 7.06</w:t>
      </w:r>
      <w:r>
        <w:rPr>
          <w:rFonts w:ascii="Times New Roman" w:cs="Times New Roman" w:eastAsia="Times New Roman" w:hAnsi="Times New Roman"/>
          <w:sz w:val="21"/>
          <w:szCs w:val="21"/>
          <w:color w:val="auto"/>
        </w:rPr>
        <w:t xml:space="preserve"> is included for the sole benefit of the parties to this Agreement and does not and shall not create any right in any Person, including any current or former employee of the Seller or any of its Affiliates or any current or former Business Employee. Nothing contained in this Agreement (express or implied) (i) is intended to terminate, establish create or amend any benefit or compensation plan, policy or arrangement, or to require Purchaser or its Affiliates to terminate, establish, create, amend or maintain, any benefit or compensation plan, policy or arrangement or</w:t>
      </w:r>
    </w:p>
    <w:p>
      <w:pPr>
        <w:spacing w:after="0" w:line="1" w:lineRule="exact"/>
        <w:rPr>
          <w:rFonts w:ascii="Times New Roman" w:cs="Times New Roman" w:eastAsia="Times New Roman" w:hAnsi="Times New Roman"/>
          <w:sz w:val="21"/>
          <w:szCs w:val="21"/>
          <w:color w:val="auto"/>
        </w:rPr>
      </w:pPr>
    </w:p>
    <w:p>
      <w:pPr>
        <w:jc w:val="both"/>
        <w:ind w:firstLine="8"/>
        <w:spacing w:after="0" w:line="249" w:lineRule="auto"/>
        <w:tabs>
          <w:tab w:leader="none" w:pos="325"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is intended to confer upon any individual any right to employment for any period of time, or any right to a particular term or condition of employment. No current or former employee of Sellers or any of its Affiliates or any Business Employee, including any beneficiary or dependent thereof, or any other Person not a party to this Agreement, shall be entitled to assert any claim or remedy against Purchaser, the Seller or any of its Affiliates under this </w:t>
      </w:r>
      <w:r>
        <w:rPr>
          <w:rFonts w:ascii="Times New Roman" w:cs="Times New Roman" w:eastAsia="Times New Roman" w:hAnsi="Times New Roman"/>
          <w:sz w:val="22"/>
          <w:szCs w:val="22"/>
          <w:u w:val="single" w:color="auto"/>
          <w:color w:val="auto"/>
        </w:rPr>
        <w:t>Section 7.06</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80" w:lineRule="exact"/>
        <w:rPr>
          <w:rFonts w:ascii="Times New Roman" w:cs="Times New Roman" w:eastAsia="Times New Roman" w:hAnsi="Times New Roman"/>
          <w:sz w:val="22"/>
          <w:szCs w:val="22"/>
          <w:color w:val="auto"/>
        </w:rPr>
      </w:pPr>
    </w:p>
    <w:p>
      <w:pPr>
        <w:ind w:left="360" w:hanging="136"/>
        <w:spacing w:after="0"/>
        <w:tabs>
          <w:tab w:leader="none" w:pos="360"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76 -</w:t>
      </w:r>
    </w:p>
    <w:p>
      <w:pPr>
        <w:sectPr>
          <w:pgSz w:w="11900" w:h="16838" w:orient="portrait"/>
          <w:cols w:equalWidth="0" w:num="1">
            <w:col w:w="11240"/>
          </w:cols>
          <w:pgMar w:left="320" w:top="1421" w:right="339" w:bottom="1440" w:gutter="0" w:footer="0" w:header="0"/>
        </w:sectPr>
      </w:pPr>
    </w:p>
    <w:bookmarkStart w:id="145" w:name="page146"/>
    <w:bookmarkEnd w:id="145"/>
    <w:p>
      <w:pPr>
        <w:ind w:left="1372"/>
        <w:spacing w:after="0"/>
        <w:tabs>
          <w:tab w:leader="none" w:pos="2652" w:val="left"/>
        </w:tabs>
        <w:rPr>
          <w:sz w:val="20"/>
          <w:szCs w:val="20"/>
          <w:color w:val="auto"/>
        </w:rPr>
      </w:pPr>
      <w:r>
        <w:rPr>
          <w:rFonts w:ascii="Times New Roman" w:cs="Times New Roman" w:eastAsia="Times New Roman" w:hAnsi="Times New Roman"/>
          <w:sz w:val="22"/>
          <w:szCs w:val="22"/>
          <w:color w:val="auto"/>
        </w:rPr>
        <w:t>Section 7.07</w:t>
      </w:r>
      <w:r>
        <w:rPr>
          <w:sz w:val="20"/>
          <w:szCs w:val="20"/>
          <w:color w:val="auto"/>
        </w:rPr>
        <w:tab/>
      </w:r>
      <w:r>
        <w:rPr>
          <w:rFonts w:ascii="Times New Roman" w:cs="Times New Roman" w:eastAsia="Times New Roman" w:hAnsi="Times New Roman"/>
          <w:sz w:val="21"/>
          <w:szCs w:val="21"/>
          <w:u w:val="single" w:color="auto"/>
          <w:color w:val="auto"/>
        </w:rPr>
        <w:t>Post-Closing Access.</w:t>
      </w:r>
    </w:p>
    <w:p>
      <w:pPr>
        <w:spacing w:after="0" w:line="220" w:lineRule="exact"/>
        <w:rPr>
          <w:sz w:val="20"/>
          <w:szCs w:val="20"/>
          <w:color w:val="auto"/>
        </w:rPr>
      </w:pPr>
    </w:p>
    <w:p>
      <w:pPr>
        <w:jc w:val="both"/>
        <w:ind w:left="-8" w:firstLine="1304"/>
        <w:spacing w:after="0" w:line="263" w:lineRule="auto"/>
        <w:tabs>
          <w:tab w:leader="none" w:pos="1844" w:val="left"/>
        </w:tabs>
        <w:numPr>
          <w:ilvl w:val="1"/>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Purchaser agrees that it shall, and shall cause its controlled Affiliates to, preserve and keep the books of accounts and financial and other Records held by it relating to the Business (including accountants’ work papers) for a period of seven (7) years from the Closing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prior to disposing of any such Records after such period, the applicable Person shall provide written notice to the Seller of its intent to dispose of such Records and shall provide the Seller with the opportunity to take ownership and possession of such Records (at the Seller’s sole expense) within sixty (60) days after such notice is delivered. If the Seller does not confirm its intention in writing to take ownership and possession of such records within such sixty (60)-day period, the Person who possesses the records may proceed with the disposition of such records.</w:t>
      </w:r>
    </w:p>
    <w:p>
      <w:pPr>
        <w:spacing w:after="0" w:line="186" w:lineRule="exact"/>
        <w:rPr>
          <w:rFonts w:ascii="Times New Roman" w:cs="Times New Roman" w:eastAsia="Times New Roman" w:hAnsi="Times New Roman"/>
          <w:sz w:val="21"/>
          <w:szCs w:val="21"/>
          <w:color w:val="auto"/>
        </w:rPr>
      </w:pPr>
    </w:p>
    <w:p>
      <w:pPr>
        <w:jc w:val="both"/>
        <w:ind w:left="-8" w:firstLine="1304"/>
        <w:spacing w:after="0" w:line="258" w:lineRule="auto"/>
        <w:tabs>
          <w:tab w:leader="none" w:pos="1771" w:val="left"/>
        </w:tabs>
        <w:numPr>
          <w:ilvl w:val="1"/>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After the Closing, the Seller and Purchaser shall make, or cause to be made, all Records, Other Records and other information and all employees, in each case, relating to the Business prior to the Closing (including by making them available for interviews, review of files or pleadings, preparation and provision of witness statements, depositions, interrogatories, testimony, investigation and preparation in connection with any negotiations, legal or arbitration Action) available to the other, at such times, during normal business hours, and places as may be reasonably required by such party, and at the sole expense of the requesting party, (i) in connection with any audit or investigation of, insurance claims by, Actions or disputes involving, or governmental investigations of, the Seller or Purchaser or any of their respective Affiliates, (ii) in order to enable the Seller or Purchaser to comply with its obligations under this Agreement, any of the other Transaction Documents and each other agreement, document or instrument contemplated hereby or thereby or (iii) for any other reasonable business purpose relating to the Seller, Purchaser or any of their respective Affiliates, but excluding, in each case, any dispute between the Seller Group, on the one hand, and Purchaser or any of its Affiliates, on the other hand, except as would be required by applicable civil process or applicable discovery rules;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requesting or reviewing party and its Representatives shall conduct any such activities in such a manner as not to interfere unreasonably with the conduct of the Business or the Retained Businesses, as applicable;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no party shall be obligated to provide such access or information if such party determines, in its reasonable judgment, that doing so would (A) violate applicable Law or (B) based on the opinion of outside counsel, jeopardize the protection of an attorney-client privilege, attorney work product protection or other legal privilege. In any such event, the parties shall use their commercially reasonable efforts to develop an arrangement to communicate, to the extent feasible, the applicable information or a portion thereof in a manner that would not (i) violate applicable Law or (ii) waive such privilege or protection;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(A) the disclosing party shall not be required to incur any costs or expenses in connection therewith and</w:t>
      </w:r>
    </w:p>
    <w:p>
      <w:pPr>
        <w:spacing w:after="0" w:line="5" w:lineRule="exact"/>
        <w:rPr>
          <w:rFonts w:ascii="Times New Roman" w:cs="Times New Roman" w:eastAsia="Times New Roman" w:hAnsi="Times New Roman"/>
          <w:sz w:val="21"/>
          <w:szCs w:val="21"/>
          <w:color w:val="auto"/>
        </w:rPr>
      </w:pPr>
    </w:p>
    <w:p>
      <w:pPr>
        <w:jc w:val="both"/>
        <w:ind w:left="-8" w:firstLine="8"/>
        <w:spacing w:after="0" w:line="246" w:lineRule="auto"/>
        <w:tabs>
          <w:tab w:leader="none" w:pos="406"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Seller is the disclosing party, the Seller may redact portions of any information provided pursuant to this </w:t>
      </w:r>
      <w:r>
        <w:rPr>
          <w:rFonts w:ascii="Times New Roman" w:cs="Times New Roman" w:eastAsia="Times New Roman" w:hAnsi="Times New Roman"/>
          <w:sz w:val="22"/>
          <w:szCs w:val="22"/>
          <w:u w:val="single" w:color="auto"/>
          <w:color w:val="auto"/>
        </w:rPr>
        <w:t>Section 7.07(b)</w:t>
      </w:r>
      <w:r>
        <w:rPr>
          <w:rFonts w:ascii="Times New Roman" w:cs="Times New Roman" w:eastAsia="Times New Roman" w:hAnsi="Times New Roman"/>
          <w:sz w:val="22"/>
          <w:szCs w:val="22"/>
          <w:color w:val="auto"/>
        </w:rPr>
        <w:t xml:space="preserve"> to the extent such portions relate exclusively to the Retained Businesses or the Excluded Assets. All requests for information made pursuant to this </w:t>
      </w:r>
      <w:r>
        <w:rPr>
          <w:rFonts w:ascii="Times New Roman" w:cs="Times New Roman" w:eastAsia="Times New Roman" w:hAnsi="Times New Roman"/>
          <w:sz w:val="22"/>
          <w:szCs w:val="22"/>
          <w:u w:val="single" w:color="auto"/>
          <w:color w:val="auto"/>
        </w:rPr>
        <w:t>Section 7.07(b)</w:t>
      </w:r>
      <w:r>
        <w:rPr>
          <w:rFonts w:ascii="Times New Roman" w:cs="Times New Roman" w:eastAsia="Times New Roman" w:hAnsi="Times New Roman"/>
          <w:sz w:val="22"/>
          <w:szCs w:val="22"/>
          <w:color w:val="auto"/>
        </w:rPr>
        <w:t xml:space="preserve"> shall be directed to the executive officer or other Person designated by the relevant disclosing party. Notwithstanding anything to the contrary in this Agreement or otherwise, in the event of any dispute between Purchaser or any of its Affiliates, on the one hand, and the Seller or any of its Affiliates, on the other hand, the applicable rules of discovery (and not this </w:t>
      </w:r>
      <w:r>
        <w:rPr>
          <w:rFonts w:ascii="Times New Roman" w:cs="Times New Roman" w:eastAsia="Times New Roman" w:hAnsi="Times New Roman"/>
          <w:sz w:val="22"/>
          <w:szCs w:val="22"/>
          <w:u w:val="single" w:color="auto"/>
          <w:color w:val="auto"/>
        </w:rPr>
        <w:t>Section 7.07(b)</w:t>
      </w:r>
      <w:r>
        <w:rPr>
          <w:rFonts w:ascii="Times New Roman" w:cs="Times New Roman" w:eastAsia="Times New Roman" w:hAnsi="Times New Roman"/>
          <w:sz w:val="22"/>
          <w:szCs w:val="22"/>
          <w:color w:val="auto"/>
        </w:rPr>
        <w:t>) shall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22"/>
          <w:szCs w:val="22"/>
          <w:color w:val="auto"/>
        </w:rPr>
        <w:t>- 77 -</w:t>
      </w:r>
    </w:p>
    <w:p>
      <w:pPr>
        <w:sectPr>
          <w:pgSz w:w="11900" w:h="16838" w:orient="portrait"/>
          <w:cols w:equalWidth="0" w:num="1">
            <w:col w:w="11232"/>
          </w:cols>
          <w:pgMar w:left="328" w:top="1421" w:right="339" w:bottom="1440" w:gutter="0" w:footer="0" w:header="0"/>
        </w:sectPr>
      </w:pPr>
    </w:p>
    <w:bookmarkStart w:id="146" w:name="page147"/>
    <w:bookmarkEnd w:id="146"/>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7.08 </w:t>
      </w:r>
      <w:r>
        <w:rPr>
          <w:rFonts w:ascii="Times New Roman" w:cs="Times New Roman" w:eastAsia="Times New Roman" w:hAnsi="Times New Roman"/>
          <w:sz w:val="22"/>
          <w:szCs w:val="22"/>
          <w:u w:val="single" w:color="auto"/>
          <w:color w:val="auto"/>
        </w:rPr>
        <w:t>Fees and Expenses</w:t>
      </w:r>
      <w:r>
        <w:rPr>
          <w:rFonts w:ascii="Times New Roman" w:cs="Times New Roman" w:eastAsia="Times New Roman" w:hAnsi="Times New Roman"/>
          <w:sz w:val="22"/>
          <w:szCs w:val="22"/>
          <w:color w:val="auto"/>
        </w:rPr>
        <w:t xml:space="preserve">. Whether or not the Transactions are consummated, and except as otherwise expressly provided in this Agreement (including, for the avoidance of doubt, </w:t>
      </w:r>
      <w:r>
        <w:rPr>
          <w:rFonts w:ascii="Times New Roman" w:cs="Times New Roman" w:eastAsia="Times New Roman" w:hAnsi="Times New Roman"/>
          <w:sz w:val="22"/>
          <w:szCs w:val="22"/>
          <w:u w:val="single" w:color="auto"/>
          <w:color w:val="auto"/>
        </w:rPr>
        <w:t>Annex 7.21</w:t>
      </w:r>
      <w:r>
        <w:rPr>
          <w:rFonts w:ascii="Times New Roman" w:cs="Times New Roman" w:eastAsia="Times New Roman" w:hAnsi="Times New Roman"/>
          <w:sz w:val="22"/>
          <w:szCs w:val="22"/>
          <w:color w:val="auto"/>
        </w:rPr>
        <w:t xml:space="preserve">), each party will bear its respective fees, costs and expenses (other than Transfer Taxes, which are governed by </w:t>
      </w:r>
      <w:r>
        <w:rPr>
          <w:rFonts w:ascii="Times New Roman" w:cs="Times New Roman" w:eastAsia="Times New Roman" w:hAnsi="Times New Roman"/>
          <w:sz w:val="22"/>
          <w:szCs w:val="22"/>
          <w:u w:val="single" w:color="auto"/>
          <w:color w:val="auto"/>
        </w:rPr>
        <w:t>Section 7.10(a)</w:t>
      </w:r>
      <w:r>
        <w:rPr>
          <w:rFonts w:ascii="Times New Roman" w:cs="Times New Roman" w:eastAsia="Times New Roman" w:hAnsi="Times New Roman"/>
          <w:sz w:val="22"/>
          <w:szCs w:val="22"/>
          <w:color w:val="auto"/>
        </w:rPr>
        <w:t xml:space="preserve">) incurred in connection with the preparation, negotiation, execution and performance of this Agreement or the Transactions (including legal, accounting and other professional fees). Without limiting the foregoing, Purchaser, on the one hand, and the Seller, on the other hand, shall each pay, when due, and be responsible for, fifty (50%) percent of, (a) any filing fees made pursuant to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xml:space="preserve"> (other than filing fees payable under the HSR Act), (b) any payments required to be made to obtain third party consents in connection with the Transactions (aside from payments made under the terms of a Contract which shall be borne solely by the Seller), (c) all fees and expenses related to the transfer of Transferred Intellectual Property and (d) all fees and expenses related to the recording and registration of title to the Transferred Assets. Notwithstanding anything to the contrary in this Agreement, Purchaser will pay and be solely responsible for (a) all filing fees payable under the HSR Act, (b) the premium and retention and all other costs and expenses that are payable to the underwriter or any broker related to the R&amp;W Insurance Policy and (c) solely to the extent required and contemplated by </w:t>
      </w:r>
      <w:r>
        <w:rPr>
          <w:rFonts w:ascii="Times New Roman" w:cs="Times New Roman" w:eastAsia="Times New Roman" w:hAnsi="Times New Roman"/>
          <w:sz w:val="22"/>
          <w:szCs w:val="22"/>
          <w:u w:val="single" w:color="auto"/>
          <w:color w:val="auto"/>
        </w:rPr>
        <w:t>Section 7.19(e)</w:t>
      </w:r>
      <w:r>
        <w:rPr>
          <w:rFonts w:ascii="Times New Roman" w:cs="Times New Roman" w:eastAsia="Times New Roman" w:hAnsi="Times New Roman"/>
          <w:sz w:val="22"/>
          <w:szCs w:val="22"/>
          <w:color w:val="auto"/>
        </w:rPr>
        <w:t xml:space="preserve">, all reasonable and documented out-of-pocket costs and expenses incurred by Seller or any of its Affiliates in connection with the cooperation of Seller and its Affiliates under </w:t>
      </w:r>
      <w:r>
        <w:rPr>
          <w:rFonts w:ascii="Times New Roman" w:cs="Times New Roman" w:eastAsia="Times New Roman" w:hAnsi="Times New Roman"/>
          <w:sz w:val="22"/>
          <w:szCs w:val="22"/>
          <w:u w:val="single" w:color="auto"/>
          <w:color w:val="auto"/>
        </w:rPr>
        <w:t>Section 7.19(e)</w:t>
      </w:r>
      <w:r>
        <w:rPr>
          <w:rFonts w:ascii="Times New Roman" w:cs="Times New Roman" w:eastAsia="Times New Roman" w:hAnsi="Times New Roman"/>
          <w:sz w:val="22"/>
          <w:szCs w:val="22"/>
          <w:color w:val="auto"/>
        </w:rPr>
        <w:t xml:space="preserve"> related to the Financing.</w:t>
      </w:r>
    </w:p>
    <w:p>
      <w:pPr>
        <w:spacing w:after="0" w:line="183"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7.09</w:t>
      </w:r>
      <w:r>
        <w:rPr>
          <w:sz w:val="20"/>
          <w:szCs w:val="20"/>
          <w:color w:val="auto"/>
        </w:rPr>
        <w:tab/>
      </w:r>
      <w:r>
        <w:rPr>
          <w:rFonts w:ascii="Times New Roman" w:cs="Times New Roman" w:eastAsia="Times New Roman" w:hAnsi="Times New Roman"/>
          <w:sz w:val="21"/>
          <w:szCs w:val="21"/>
          <w:u w:val="single" w:color="auto"/>
          <w:color w:val="auto"/>
        </w:rPr>
        <w:t>Intercompany Accounts; Affiliate Agreements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80" w:firstLine="1304"/>
        <w:spacing w:after="0" w:line="256" w:lineRule="auto"/>
        <w:tabs>
          <w:tab w:leader="none" w:pos="1719"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Closing, the Seller shall cause any amounts owed to or by any member of the Seller Group, on the one hand, from or to the Seller Entities with respect to the Business, on the other hand (other than pursuant to, or in accordance with, the Transaction Documents), to be canceled, settled or otherwise discharged without any further or continuing Liability on the part of Purchaser or any of its Affiliates (including with respect to the Business).</w:t>
      </w:r>
    </w:p>
    <w:p>
      <w:pPr>
        <w:spacing w:after="0" w:line="176" w:lineRule="exact"/>
        <w:rPr>
          <w:rFonts w:ascii="Times New Roman" w:cs="Times New Roman" w:eastAsia="Times New Roman" w:hAnsi="Times New Roman"/>
          <w:sz w:val="22"/>
          <w:szCs w:val="22"/>
          <w:color w:val="auto"/>
        </w:rPr>
      </w:pPr>
    </w:p>
    <w:p>
      <w:pPr>
        <w:jc w:val="both"/>
        <w:ind w:left="-80" w:firstLine="1304"/>
        <w:spacing w:after="0" w:line="251" w:lineRule="auto"/>
        <w:tabs>
          <w:tab w:leader="none" w:pos="1674"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or prior to the Closing, the Seller shall cause all Affiliate Agreements, Contracts entered into after the date hereof that would be an Affiliate Agreement if in effect as of the date hereof, and purchase orders for Products (as defined in the Supply Agreement) for a member of the Seller Group, other than any Transaction Document or any Contract listed on </w:t>
      </w:r>
      <w:r>
        <w:rPr>
          <w:rFonts w:ascii="Times New Roman" w:cs="Times New Roman" w:eastAsia="Times New Roman" w:hAnsi="Times New Roman"/>
          <w:sz w:val="22"/>
          <w:szCs w:val="22"/>
          <w:u w:val="single" w:color="auto"/>
          <w:color w:val="auto"/>
        </w:rPr>
        <w:t>Section 7.09</w:t>
      </w:r>
      <w:r>
        <w:rPr>
          <w:rFonts w:ascii="Times New Roman" w:cs="Times New Roman" w:eastAsia="Times New Roman" w:hAnsi="Times New Roman"/>
          <w:sz w:val="22"/>
          <w:szCs w:val="22"/>
          <w:color w:val="auto"/>
        </w:rPr>
        <w:t xml:space="preserve"> of the Disclosure Letter, to be settled or terminated with respect to the Business prior to the Closing without any further or continuing Liability on the part of Purchaser, Seller or any of their respective Affiliates (including with respect to the Business), in each case, in a manner reasonably acceptable to Seller and Purchaser.</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79" w:lineRule="exact"/>
        <w:rPr>
          <w:rFonts w:ascii="Times New Roman" w:cs="Times New Roman" w:eastAsia="Times New Roman" w:hAnsi="Times New Roman"/>
          <w:sz w:val="22"/>
          <w:szCs w:val="22"/>
          <w:color w:val="auto"/>
        </w:rPr>
      </w:pPr>
    </w:p>
    <w:p>
      <w:pPr>
        <w:ind w:left="280" w:hanging="136"/>
        <w:spacing w:after="0"/>
        <w:tabs>
          <w:tab w:leader="none" w:pos="28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78 -</w:t>
      </w:r>
    </w:p>
    <w:p>
      <w:pPr>
        <w:sectPr>
          <w:pgSz w:w="11900" w:h="16838" w:orient="portrait"/>
          <w:cols w:equalWidth="0" w:num="1">
            <w:col w:w="11160"/>
          </w:cols>
          <w:pgMar w:left="400" w:top="1421" w:right="339" w:bottom="1440" w:gutter="0" w:footer="0" w:header="0"/>
        </w:sectPr>
      </w:pPr>
    </w:p>
    <w:bookmarkStart w:id="147" w:name="page148"/>
    <w:bookmarkEnd w:id="147"/>
    <w:p>
      <w:pPr>
        <w:ind w:left="1156"/>
        <w:spacing w:after="0"/>
        <w:tabs>
          <w:tab w:leader="none" w:pos="2436" w:val="left"/>
        </w:tabs>
        <w:rPr>
          <w:sz w:val="20"/>
          <w:szCs w:val="20"/>
          <w:color w:val="auto"/>
        </w:rPr>
      </w:pPr>
      <w:r>
        <w:rPr>
          <w:rFonts w:ascii="Times New Roman" w:cs="Times New Roman" w:eastAsia="Times New Roman" w:hAnsi="Times New Roman"/>
          <w:sz w:val="22"/>
          <w:szCs w:val="22"/>
          <w:color w:val="auto"/>
        </w:rPr>
        <w:t>Section 7.10</w:t>
      </w:r>
      <w:r>
        <w:rPr>
          <w:sz w:val="20"/>
          <w:szCs w:val="20"/>
          <w:color w:val="auto"/>
        </w:rPr>
        <w:tab/>
      </w:r>
      <w:r>
        <w:rPr>
          <w:rFonts w:ascii="Times New Roman" w:cs="Times New Roman" w:eastAsia="Times New Roman" w:hAnsi="Times New Roman"/>
          <w:sz w:val="21"/>
          <w:szCs w:val="21"/>
          <w:u w:val="single" w:color="auto"/>
          <w:color w:val="auto"/>
        </w:rPr>
        <w:t>Tax Matters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224" w:firstLine="1304"/>
        <w:spacing w:after="0" w:line="261" w:lineRule="auto"/>
        <w:tabs>
          <w:tab w:leader="none" w:pos="1582" w:val="left"/>
        </w:tabs>
        <w:numPr>
          <w:ilvl w:val="1"/>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Transfer Taxes.</w:t>
      </w:r>
      <w:r>
        <w:rPr>
          <w:rFonts w:ascii="Times New Roman" w:cs="Times New Roman" w:eastAsia="Times New Roman" w:hAnsi="Times New Roman"/>
          <w:sz w:val="21"/>
          <w:szCs w:val="21"/>
          <w:color w:val="auto"/>
        </w:rPr>
        <w:t xml:space="preserve"> Purchaser shall use reasonable best efforts to produce and provide to Seller any applicable exemption certificate or other documentation necessary to reduce or eliminate any transfer, documentary, sales, use, value-added, stamp, registration and other similar Taxes or notarial fees (but excluding any Income Taxes of the Seller and Taxes imposed on or measured by gain of the Seller) imposed on the transfer of the Transferred Assets or the assumption of the Assumed Liabilities in connection with the transactions contemplated under this Agreement (collectively, “</w:t>
      </w:r>
      <w:r>
        <w:rPr>
          <w:rFonts w:ascii="Times New Roman" w:cs="Times New Roman" w:eastAsia="Times New Roman" w:hAnsi="Times New Roman"/>
          <w:sz w:val="21"/>
          <w:szCs w:val="21"/>
          <w:u w:val="single" w:color="auto"/>
          <w:color w:val="auto"/>
        </w:rPr>
        <w:t>Transfer Taxes</w:t>
      </w:r>
      <w:r>
        <w:rPr>
          <w:rFonts w:ascii="Times New Roman" w:cs="Times New Roman" w:eastAsia="Times New Roman" w:hAnsi="Times New Roman"/>
          <w:sz w:val="21"/>
          <w:szCs w:val="21"/>
          <w:color w:val="auto"/>
        </w:rPr>
        <w:t xml:space="preserve">”). To the extent Transfer Taxes are nonetheless due, and notwithstanding anything herein to the contrary, each of Purchaser, on the one hand, and the Seller, on the other hand, shall pay (or otherwise bear) 50% of such Transfer Taxes;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 Seller (or Purchaser) is required under applicable Law to pay any such Transfer Taxes, the Seller (or Purchaser) shall pay such Transfer Taxes and Purchaser (or Seller) shall promptly reimburse the Seller (or Purchaser) for such payment to the extent necessary such that each party bears payment of 50% of such Transfer Taxes. The party responsible under applicable Laws shall prepare and file all Tax Returns required to be filed with respect to all Transfer Taxes. If Purchaser or Seller will be entitled to receive a credit or refund for any particular Transfer Tax, they will either pay such amount initially or reimburse the other party.</w:t>
      </w:r>
    </w:p>
    <w:p>
      <w:pPr>
        <w:spacing w:after="0" w:line="169" w:lineRule="exact"/>
        <w:rPr>
          <w:rFonts w:ascii="Times New Roman" w:cs="Times New Roman" w:eastAsia="Times New Roman" w:hAnsi="Times New Roman"/>
          <w:sz w:val="21"/>
          <w:szCs w:val="21"/>
          <w:color w:val="auto"/>
        </w:rPr>
      </w:pPr>
    </w:p>
    <w:p>
      <w:pPr>
        <w:jc w:val="both"/>
        <w:ind w:left="-224" w:firstLine="1304"/>
        <w:spacing w:after="0" w:line="252" w:lineRule="auto"/>
        <w:tabs>
          <w:tab w:leader="none" w:pos="1837"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Cooperation.</w:t>
      </w:r>
      <w:r>
        <w:rPr>
          <w:rFonts w:ascii="Times New Roman" w:cs="Times New Roman" w:eastAsia="Times New Roman" w:hAnsi="Times New Roman"/>
          <w:sz w:val="22"/>
          <w:szCs w:val="22"/>
          <w:color w:val="auto"/>
        </w:rPr>
        <w:t xml:space="preserve"> The Seller and Purchaser shall, and shall cause their respective Affiliates and Representatives to, reasonably cooperate in connection with the filing of any Tax Return or the conduct of any Tax Action, in each case with respect to the Transferred Assets, the Business or Transfer Taxes, which cooperation shall include using commercially reasonable efforts to supply any information in such Person’s possession that is reasonably requested in connection with any such Tax Return or Tax Action, provided that in no event (including pursuant to </w:t>
      </w:r>
      <w:r>
        <w:rPr>
          <w:rFonts w:ascii="Times New Roman" w:cs="Times New Roman" w:eastAsia="Times New Roman" w:hAnsi="Times New Roman"/>
          <w:sz w:val="22"/>
          <w:szCs w:val="22"/>
          <w:u w:val="single" w:color="auto"/>
          <w:color w:val="auto"/>
        </w:rPr>
        <w:t>Section 7.07</w:t>
      </w:r>
      <w:r>
        <w:rPr>
          <w:rFonts w:ascii="Times New Roman" w:cs="Times New Roman" w:eastAsia="Times New Roman" w:hAnsi="Times New Roman"/>
          <w:sz w:val="22"/>
          <w:szCs w:val="22"/>
          <w:color w:val="auto"/>
        </w:rPr>
        <w:t>) shall the Seller be required to provide to any Person any Tax Return of a Seller Consolidated Group and neither Purchaser nor any of its Affiliates shall have any rights with respect to any Tax Action involving a Seller Consolidated Group.</w:t>
      </w:r>
    </w:p>
    <w:p>
      <w:pPr>
        <w:spacing w:after="0" w:line="179" w:lineRule="exact"/>
        <w:rPr>
          <w:rFonts w:ascii="Times New Roman" w:cs="Times New Roman" w:eastAsia="Times New Roman" w:hAnsi="Times New Roman"/>
          <w:sz w:val="22"/>
          <w:szCs w:val="22"/>
          <w:color w:val="auto"/>
        </w:rPr>
      </w:pPr>
    </w:p>
    <w:p>
      <w:pPr>
        <w:jc w:val="both"/>
        <w:ind w:left="-224" w:firstLine="1304"/>
        <w:spacing w:after="0" w:line="248" w:lineRule="auto"/>
        <w:tabs>
          <w:tab w:leader="none" w:pos="1595"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Straddle Period Allocation</w:t>
      </w:r>
      <w:r>
        <w:rPr>
          <w:rFonts w:ascii="Times New Roman" w:cs="Times New Roman" w:eastAsia="Times New Roman" w:hAnsi="Times New Roman"/>
          <w:sz w:val="22"/>
          <w:szCs w:val="22"/>
          <w:color w:val="auto"/>
        </w:rPr>
        <w:t>. To the extent permitted or required by applicable Law, the taxable year of the Business that includes the Closing Date shall be treated as closing on (and including) the Closing Date. To the extent not permitted or required by applicable Law, for purposes of this Agreement, with respect to any Straddle Period, (A) in the case of Taxes that are imposed on a periodic basis (such as property Taxes) (“Prorated Taxes”), the amount of such Taxes allocable to the Pre-Closing Tax Period shall be equal to the amount of such Taxes for the entire Straddle Period multiplied by a fraction, the numerator of which is the number of calendar days during the Straddle Period that are in the Pre-Closing Tax Period and the denominator of which is the number of calendar days in the entire Straddle Period, and (B) in the case of Taxes not described in clause (A), the amount of such Taxes allocable to the Pre-Closing Tax Period shall be computed as if such taxable period ended as of the end of the day on the Closing Date, provided that exemptions, allowances or deductions that are calculated on an annual basis (including, but not limited to, depreciation and amortization deductions) shall be allocated between the Pre-Closing Tax Period and the Post-Closing Tax Period in proportion to the number of days in each period.</w:t>
      </w:r>
    </w:p>
    <w:p>
      <w:pPr>
        <w:spacing w:after="0" w:line="188" w:lineRule="exact"/>
        <w:rPr>
          <w:rFonts w:ascii="Times New Roman" w:cs="Times New Roman" w:eastAsia="Times New Roman" w:hAnsi="Times New Roman"/>
          <w:sz w:val="22"/>
          <w:szCs w:val="22"/>
          <w:color w:val="auto"/>
        </w:rPr>
      </w:pPr>
    </w:p>
    <w:p>
      <w:pPr>
        <w:jc w:val="both"/>
        <w:ind w:left="-224" w:firstLine="1304"/>
        <w:spacing w:after="0" w:line="252" w:lineRule="auto"/>
        <w:tabs>
          <w:tab w:leader="none" w:pos="1594"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Purchaser Covenants.</w:t>
      </w:r>
      <w:r>
        <w:rPr>
          <w:rFonts w:ascii="Times New Roman" w:cs="Times New Roman" w:eastAsia="Times New Roman" w:hAnsi="Times New Roman"/>
          <w:sz w:val="22"/>
          <w:szCs w:val="22"/>
          <w:color w:val="auto"/>
        </w:rPr>
        <w:t xml:space="preserve"> Purchaser shall not, with respect to the Business or the Transferred Assets for a Pre-Closing Tax Period (a) make or change any Tax election, or (b) file or amend any Tax Return, in each case in a manner that would reasonably be expected to result in any increased Tax liability to Seller or reduction of any Tax asset of Seller in respect of any Pre-Closing Tax Period.</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8" w:lineRule="exact"/>
        <w:rPr>
          <w:rFonts w:ascii="Times New Roman" w:cs="Times New Roman" w:eastAsia="Times New Roman" w:hAnsi="Times New Roman"/>
          <w:sz w:val="22"/>
          <w:szCs w:val="22"/>
          <w:color w:val="auto"/>
        </w:rPr>
      </w:pPr>
    </w:p>
    <w:p>
      <w:pPr>
        <w:ind w:left="136" w:hanging="136"/>
        <w:spacing w:after="0"/>
        <w:tabs>
          <w:tab w:leader="none" w:pos="136"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79 -</w:t>
      </w:r>
    </w:p>
    <w:p>
      <w:pPr>
        <w:sectPr>
          <w:pgSz w:w="11900" w:h="16838" w:orient="portrait"/>
          <w:cols w:equalWidth="0" w:num="1">
            <w:col w:w="11016"/>
          </w:cols>
          <w:pgMar w:left="544" w:top="1421" w:right="339" w:bottom="1440" w:gutter="0" w:footer="0" w:header="0"/>
        </w:sectPr>
      </w:pPr>
    </w:p>
    <w:bookmarkStart w:id="148" w:name="page149"/>
    <w:bookmarkEnd w:id="148"/>
    <w:p>
      <w:pPr>
        <w:ind w:left="1156"/>
        <w:spacing w:after="0"/>
        <w:tabs>
          <w:tab w:leader="none" w:pos="2436" w:val="left"/>
        </w:tabs>
        <w:rPr>
          <w:sz w:val="20"/>
          <w:szCs w:val="20"/>
          <w:color w:val="auto"/>
        </w:rPr>
      </w:pPr>
      <w:r>
        <w:rPr>
          <w:rFonts w:ascii="Times New Roman" w:cs="Times New Roman" w:eastAsia="Times New Roman" w:hAnsi="Times New Roman"/>
          <w:sz w:val="22"/>
          <w:szCs w:val="22"/>
          <w:color w:val="auto"/>
        </w:rPr>
        <w:t>Section 7.11</w:t>
      </w:r>
      <w:r>
        <w:rPr>
          <w:sz w:val="20"/>
          <w:szCs w:val="20"/>
          <w:color w:val="auto"/>
        </w:rPr>
        <w:tab/>
      </w:r>
      <w:r>
        <w:rPr>
          <w:rFonts w:ascii="Times New Roman" w:cs="Times New Roman" w:eastAsia="Times New Roman" w:hAnsi="Times New Roman"/>
          <w:sz w:val="21"/>
          <w:szCs w:val="21"/>
          <w:u w:val="single" w:color="auto"/>
          <w:color w:val="auto"/>
        </w:rPr>
        <w:t>Transfer of Intellectual Property; Seller Retained Trademarks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224" w:right="20" w:firstLine="1304"/>
        <w:spacing w:after="0" w:line="256" w:lineRule="auto"/>
        <w:tabs>
          <w:tab w:leader="none" w:pos="1564"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 period of twenty-four (24) months following the Closing Date, Seller shall host and maintain, or shall cause a third party to host and maintain, a web page in form and substance satisfactory to Purchaser in its reasonable discretion, which shall be served upon a user’s request for the “goodyearchemical.com” domain name, notifying users thereof of a web address identified by Purchaser for Purchaser’s website.</w:t>
      </w:r>
    </w:p>
    <w:p>
      <w:pPr>
        <w:spacing w:after="0" w:line="176" w:lineRule="exact"/>
        <w:rPr>
          <w:rFonts w:ascii="Times New Roman" w:cs="Times New Roman" w:eastAsia="Times New Roman" w:hAnsi="Times New Roman"/>
          <w:sz w:val="22"/>
          <w:szCs w:val="22"/>
          <w:color w:val="auto"/>
        </w:rPr>
      </w:pPr>
    </w:p>
    <w:p>
      <w:pPr>
        <w:jc w:val="both"/>
        <w:ind w:left="-224" w:firstLine="1304"/>
        <w:spacing w:after="0" w:line="256" w:lineRule="auto"/>
        <w:tabs>
          <w:tab w:leader="none" w:pos="1588"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expressly permitted in </w:t>
      </w:r>
      <w:r>
        <w:rPr>
          <w:rFonts w:ascii="Times New Roman" w:cs="Times New Roman" w:eastAsia="Times New Roman" w:hAnsi="Times New Roman"/>
          <w:sz w:val="22"/>
          <w:szCs w:val="22"/>
          <w:u w:val="single" w:color="auto"/>
          <w:color w:val="auto"/>
        </w:rPr>
        <w:t>Section 7.11(c)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7.11(d)</w:t>
      </w:r>
      <w:r>
        <w:rPr>
          <w:rFonts w:ascii="Times New Roman" w:cs="Times New Roman" w:eastAsia="Times New Roman" w:hAnsi="Times New Roman"/>
          <w:sz w:val="22"/>
          <w:szCs w:val="22"/>
          <w:color w:val="auto"/>
        </w:rPr>
        <w:t>, on and after the Closing Date, none of Purchaser or any of its Affiliates shall use the Seller Retained Trademarks. Purchaser hereby acknowledges that all right, title and interest in and to the Seller Retained Trademarks are owned exclusively by the Seller Group, are Excluded Assets and all goodwill associated therewith shall inure solely to the benefit of the Seller Group.</w:t>
      </w:r>
    </w:p>
    <w:p>
      <w:pPr>
        <w:spacing w:after="0" w:line="176" w:lineRule="exact"/>
        <w:rPr>
          <w:rFonts w:ascii="Times New Roman" w:cs="Times New Roman" w:eastAsia="Times New Roman" w:hAnsi="Times New Roman"/>
          <w:sz w:val="22"/>
          <w:szCs w:val="22"/>
          <w:color w:val="auto"/>
        </w:rPr>
      </w:pPr>
    </w:p>
    <w:p>
      <w:pPr>
        <w:jc w:val="both"/>
        <w:ind w:left="-224" w:firstLine="1304"/>
        <w:spacing w:after="0" w:line="248" w:lineRule="auto"/>
        <w:tabs>
          <w:tab w:leader="none" w:pos="1711"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Seller Retained Trademarks displayed, engraved or embossed upon, or otherwise embedded in any items that are not for commercial sale, such as on displays and signs at the Transferred Real Property, employee uniforms, marketing collateral or advertising materials (all such items not for retail sale, collectively, “</w:t>
      </w:r>
      <w:r>
        <w:rPr>
          <w:rFonts w:ascii="Times New Roman" w:cs="Times New Roman" w:eastAsia="Times New Roman" w:hAnsi="Times New Roman"/>
          <w:sz w:val="22"/>
          <w:szCs w:val="22"/>
          <w:u w:val="single" w:color="auto"/>
          <w:color w:val="auto"/>
        </w:rPr>
        <w:t>Non-Sales Items</w:t>
      </w:r>
      <w:r>
        <w:rPr>
          <w:rFonts w:ascii="Times New Roman" w:cs="Times New Roman" w:eastAsia="Times New Roman" w:hAnsi="Times New Roman"/>
          <w:sz w:val="22"/>
          <w:szCs w:val="22"/>
          <w:color w:val="auto"/>
        </w:rPr>
        <w:t xml:space="preserve">”), the Seller, on behalf of itself and its Affiliates, hereby grants to Purchaser a non-exclusive, non-transferable (except as set forth in </w:t>
      </w:r>
      <w:r>
        <w:rPr>
          <w:rFonts w:ascii="Times New Roman" w:cs="Times New Roman" w:eastAsia="Times New Roman" w:hAnsi="Times New Roman"/>
          <w:sz w:val="22"/>
          <w:szCs w:val="22"/>
          <w:u w:val="single" w:color="auto"/>
          <w:color w:val="auto"/>
        </w:rPr>
        <w:t>Section 11.08</w:t>
      </w:r>
      <w:r>
        <w:rPr>
          <w:rFonts w:ascii="Times New Roman" w:cs="Times New Roman" w:eastAsia="Times New Roman" w:hAnsi="Times New Roman"/>
          <w:sz w:val="22"/>
          <w:szCs w:val="22"/>
          <w:color w:val="auto"/>
        </w:rPr>
        <w:t>), sublicensable (including through multiple tiers), worldwide, royalty-free, fully paid-up license and right to display such Seller Retained Trademarks upon or otherwise embedded in such Non-Sales Items for a period of twelve (12) months after the Closing Date, in substantially the same manner as displayed, engraved or embossed upon such Non-Sales Items as of the Closing Date (including with respect to size, color, proprietary rights designation, and otherwise). Upon expiration of the twelve (12)-month period, the Purchaser shall, and shall cause its Affiliates to, cover, repaint, take down, destroy, dispose of (in a manner satisfactory to the Seller) or replace any such Non-Sales Items that include the Seller Retained Trademarks so that there is no use or display of the Seller Retained Trademarks. All costs and expenses related to the removal of the Seller Retained Trademarks shall be borne by the Purchaser without reimbursement from the Seller.</w:t>
      </w:r>
    </w:p>
    <w:p>
      <w:pPr>
        <w:spacing w:after="0" w:line="184" w:lineRule="exact"/>
        <w:rPr>
          <w:rFonts w:ascii="Times New Roman" w:cs="Times New Roman" w:eastAsia="Times New Roman" w:hAnsi="Times New Roman"/>
          <w:sz w:val="22"/>
          <w:szCs w:val="22"/>
          <w:color w:val="auto"/>
        </w:rPr>
      </w:pPr>
    </w:p>
    <w:p>
      <w:pPr>
        <w:jc w:val="both"/>
        <w:ind w:left="-224" w:firstLine="1304"/>
        <w:spacing w:after="0" w:line="265" w:lineRule="auto"/>
        <w:tabs>
          <w:tab w:leader="none" w:pos="1607" w:val="left"/>
        </w:tabs>
        <w:numPr>
          <w:ilvl w:val="1"/>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 period of eighteen (18) months after the Closing Date, the Purchaser may engage in the commercial sale of all Inventory included in the Transferred Assets that is in saleable condition and that has the Seller Retained Trademarks displayed, engraved or embossed upon them (or the packaging). Upon expiration of the eighteen (18)-month period, or earlier in the event the Purchaser decides to stop selling such Inventory that has the Seller Retained Trademarks displayed, engraved or embossed upon them (or the packaging) and dispose of such products, the Purchaser shall notify the Seller in writing and the parties shall cooperate in good faith to ensure mutually satisfactory disposal of such products at the Purchaser’s sole cost.</w:t>
      </w:r>
    </w:p>
    <w:p>
      <w:pPr>
        <w:spacing w:after="0" w:line="168" w:lineRule="exact"/>
        <w:rPr>
          <w:rFonts w:ascii="Times New Roman" w:cs="Times New Roman" w:eastAsia="Times New Roman" w:hAnsi="Times New Roman"/>
          <w:sz w:val="21"/>
          <w:szCs w:val="21"/>
          <w:color w:val="auto"/>
        </w:rPr>
      </w:pPr>
    </w:p>
    <w:p>
      <w:pPr>
        <w:jc w:val="both"/>
        <w:ind w:left="-224" w:firstLine="1304"/>
        <w:spacing w:after="0" w:line="251" w:lineRule="auto"/>
        <w:tabs>
          <w:tab w:leader="none" w:pos="1690"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expiration of the time periods set forth in </w:t>
      </w:r>
      <w:r>
        <w:rPr>
          <w:rFonts w:ascii="Times New Roman" w:cs="Times New Roman" w:eastAsia="Times New Roman" w:hAnsi="Times New Roman"/>
          <w:sz w:val="22"/>
          <w:szCs w:val="22"/>
          <w:u w:val="single" w:color="auto"/>
          <w:color w:val="auto"/>
        </w:rPr>
        <w:t>Section 7.11(c)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7.11(d)</w:t>
      </w:r>
      <w:r>
        <w:rPr>
          <w:rFonts w:ascii="Times New Roman" w:cs="Times New Roman" w:eastAsia="Times New Roman" w:hAnsi="Times New Roman"/>
          <w:sz w:val="22"/>
          <w:szCs w:val="22"/>
          <w:color w:val="auto"/>
        </w:rPr>
        <w:t xml:space="preserve">, as applicable, the Purchaser shall, and shall cause its Affiliates to, not use any Seller Retained Trademarks, either alone or in combination with other words or logos confusingly similar to or embodying any of the foregoing. The Purchaser agrees that nothing in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7.11(e)</w:t>
      </w:r>
      <w:r>
        <w:rPr>
          <w:rFonts w:ascii="Times New Roman" w:cs="Times New Roman" w:eastAsia="Times New Roman" w:hAnsi="Times New Roman"/>
          <w:sz w:val="22"/>
          <w:szCs w:val="22"/>
          <w:color w:val="auto"/>
        </w:rPr>
        <w:t xml:space="preserve"> restricts or limits any use, licensing, disposition, or abandonment by any member of the Seller Group of the Seller Retained Trademarks. All goodwill associated with any use of the Seller Retained Trademarks will inure solely to the benefit of the Seller Group. Upon expiration of the time periods set forth in </w:t>
      </w:r>
      <w:r>
        <w:rPr>
          <w:rFonts w:ascii="Times New Roman" w:cs="Times New Roman" w:eastAsia="Times New Roman" w:hAnsi="Times New Roman"/>
          <w:sz w:val="22"/>
          <w:szCs w:val="22"/>
          <w:u w:val="single" w:color="auto"/>
          <w:color w:val="auto"/>
        </w:rPr>
        <w:t>Section 7.11(c)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7.11(d)</w:t>
      </w:r>
      <w:r>
        <w:rPr>
          <w:rFonts w:ascii="Times New Roman" w:cs="Times New Roman" w:eastAsia="Times New Roman" w:hAnsi="Times New Roman"/>
          <w:sz w:val="22"/>
          <w:szCs w:val="22"/>
          <w:color w:val="auto"/>
        </w:rPr>
        <w:t>, as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0" w:lineRule="exact"/>
        <w:rPr>
          <w:rFonts w:ascii="Times New Roman" w:cs="Times New Roman" w:eastAsia="Times New Roman" w:hAnsi="Times New Roman"/>
          <w:sz w:val="22"/>
          <w:szCs w:val="22"/>
          <w:color w:val="auto"/>
        </w:rPr>
      </w:pPr>
    </w:p>
    <w:p>
      <w:pPr>
        <w:ind w:left="136" w:hanging="136"/>
        <w:spacing w:after="0"/>
        <w:tabs>
          <w:tab w:leader="none" w:pos="136"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80 -</w:t>
      </w:r>
    </w:p>
    <w:p>
      <w:pPr>
        <w:sectPr>
          <w:pgSz w:w="11900" w:h="16838" w:orient="portrait"/>
          <w:cols w:equalWidth="0" w:num="1">
            <w:col w:w="11016"/>
          </w:cols>
          <w:pgMar w:left="544" w:top="1421" w:right="339" w:bottom="1440" w:gutter="0" w:footer="0" w:header="0"/>
        </w:sectPr>
      </w:pPr>
    </w:p>
    <w:bookmarkStart w:id="149" w:name="page150"/>
    <w:bookmarkEnd w:id="149"/>
    <w:p>
      <w:pPr>
        <w:jc w:val="both"/>
        <w:spacing w:after="0" w:line="250" w:lineRule="auto"/>
        <w:rPr>
          <w:sz w:val="20"/>
          <w:szCs w:val="20"/>
          <w:color w:val="auto"/>
        </w:rPr>
      </w:pPr>
      <w:r>
        <w:rPr>
          <w:rFonts w:ascii="Times New Roman" w:cs="Times New Roman" w:eastAsia="Times New Roman" w:hAnsi="Times New Roman"/>
          <w:sz w:val="22"/>
          <w:szCs w:val="22"/>
          <w:color w:val="auto"/>
        </w:rPr>
        <w:t>applicable, the Purchaser shall, and shall cause each of its Affiliates to, immediately cease all use of the Seller Retained Trademarks. Notwithstanding anything to the contrary contained herein, Purchaser and its Affiliates (i) shall have no obligation to modify or update any products or materials distributed or sold prior to the Closing Date to remove or prevent the continued inclusion or display of the Seller Retained Trademarks therein or thereon, and (ii) shall have the right to use Seller Retained Trademarks for internal purposes, in a non-trademark manner or otherwise in a manner that does not constitute trademark infringement, including for purposes of regulatory filings, describing the past ownership or affiliation of the Business, or for fair use, nominative use, or other uses not prohibited by applicable Law.</w:t>
      </w:r>
    </w:p>
    <w:p>
      <w:pPr>
        <w:spacing w:after="0" w:line="180" w:lineRule="exact"/>
        <w:rPr>
          <w:sz w:val="20"/>
          <w:szCs w:val="20"/>
          <w:color w:val="auto"/>
        </w:rPr>
      </w:pPr>
    </w:p>
    <w:p>
      <w:pPr>
        <w:ind w:left="1380"/>
        <w:spacing w:after="0"/>
        <w:tabs>
          <w:tab w:leader="none" w:pos="2660" w:val="left"/>
        </w:tabs>
        <w:rPr>
          <w:sz w:val="20"/>
          <w:szCs w:val="20"/>
          <w:color w:val="auto"/>
        </w:rPr>
      </w:pPr>
      <w:r>
        <w:rPr>
          <w:rFonts w:ascii="Times New Roman" w:cs="Times New Roman" w:eastAsia="Times New Roman" w:hAnsi="Times New Roman"/>
          <w:sz w:val="22"/>
          <w:szCs w:val="22"/>
          <w:color w:val="auto"/>
        </w:rPr>
        <w:t>Section 7.12</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80"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7.13 </w:t>
      </w:r>
      <w:r>
        <w:rPr>
          <w:rFonts w:ascii="Times New Roman" w:cs="Times New Roman" w:eastAsia="Times New Roman" w:hAnsi="Times New Roman"/>
          <w:sz w:val="22"/>
          <w:szCs w:val="22"/>
          <w:u w:val="single" w:color="auto"/>
          <w:color w:val="auto"/>
        </w:rPr>
        <w:t>Payments from Third Parties</w:t>
      </w:r>
      <w:r>
        <w:rPr>
          <w:rFonts w:ascii="Times New Roman" w:cs="Times New Roman" w:eastAsia="Times New Roman" w:hAnsi="Times New Roman"/>
          <w:sz w:val="22"/>
          <w:szCs w:val="22"/>
          <w:color w:val="auto"/>
        </w:rPr>
        <w:t>. In the event that, on or after the Closing, any member of the Seller Group, on the one hand, or Purchaser or any of its Affiliates, on the other hand, shall receive any payments or other funds due to the other pursuant to the terms of any of the Transaction Documents, then the party receiving such funds shall promptly forward such funds to the proper party. The parties acknowledge and agree there is no right of offset regarding such payments and a party may not withhold funds received from third parties for the account of the other party in the event there is a dispute regarding any other issue under any of the Transaction Documents. Following the date hereof, Seller shall, and shall cause its applicable Subsidiaries to, reasonably cooperate with Purchaser and its Affiliates in order to promptly (and, in any event, prior to the Closing) notify customers of the Business of the Business’ new bank account information that will go into effect as of the Closing.</w:t>
      </w:r>
    </w:p>
    <w:p>
      <w:pPr>
        <w:spacing w:after="0" w:line="185" w:lineRule="exact"/>
        <w:rPr>
          <w:sz w:val="20"/>
          <w:szCs w:val="20"/>
          <w:color w:val="auto"/>
        </w:rPr>
      </w:pPr>
    </w:p>
    <w:p>
      <w:pPr>
        <w:jc w:val="both"/>
        <w:ind w:left="80"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7.14 </w:t>
      </w:r>
      <w:r>
        <w:rPr>
          <w:rFonts w:ascii="Times New Roman" w:cs="Times New Roman" w:eastAsia="Times New Roman" w:hAnsi="Times New Roman"/>
          <w:sz w:val="22"/>
          <w:szCs w:val="22"/>
          <w:u w:val="single" w:color="auto"/>
          <w:color w:val="auto"/>
        </w:rPr>
        <w:t>Further Assurances; Wrong Pockets</w:t>
      </w:r>
      <w:r>
        <w:rPr>
          <w:rFonts w:ascii="Times New Roman" w:cs="Times New Roman" w:eastAsia="Times New Roman" w:hAnsi="Times New Roman"/>
          <w:sz w:val="22"/>
          <w:szCs w:val="22"/>
          <w:color w:val="auto"/>
        </w:rPr>
        <w:t xml:space="preserve">. After the Closing, subject to the terms of this Agreement and the other Transaction Documents, each party shall, and shall cause its Affiliates to, execute and deliver such additional documents, instruments, conveyances and assurances and take such further actions as may be reasonably requested by the other party in order to evidence or consummate the Transactions and comply with the terms of this Agreement and the other Transaction Documents. In furtherance of the foregoing, subject to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 if after the Closing either Purchaser or the Seller becomes aware that any of the Transferred Assets or Assumed Liabilities have not been transferred to Purchaser or that any of the Excluded Assets or Retained Liabilities have been transferred to Purchaser, it shall promptly notify the other party and the parties hereto shall, as soon as reasonably practicable, ensure that such property or liability is transferred at the Seller’s expense with any necessary prior Consent, to:</w:t>
      </w:r>
    </w:p>
    <w:p>
      <w:pPr>
        <w:spacing w:after="0" w:line="180" w:lineRule="exact"/>
        <w:rPr>
          <w:sz w:val="20"/>
          <w:szCs w:val="20"/>
          <w:color w:val="auto"/>
        </w:rPr>
      </w:pPr>
    </w:p>
    <w:p>
      <w:pPr>
        <w:ind w:firstLine="1304"/>
        <w:spacing w:after="0" w:line="271" w:lineRule="auto"/>
        <w:tabs>
          <w:tab w:leader="none" w:pos="1775"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Purchaser (or such Person as the Purchaser designates), in the case of any Transferred Asset or Assumed Liability which was not transferred at the Closing; or</w:t>
      </w:r>
    </w:p>
    <w:p>
      <w:pPr>
        <w:spacing w:after="0" w:line="15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in the case of any Excluded Asset or Retained Liability which was transferred at the Closing.</w:t>
      </w:r>
    </w:p>
    <w:p>
      <w:pPr>
        <w:spacing w:after="0" w:line="2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For the avoidance of doubt, no additional consideration shall be due in connection with the foregoing transfers. Until such time that Seller or any of its Affiliates transfers ownership of such Transferred Asset to Purchaser (or such Person that Purchaser designates) in accordance with this </w:t>
      </w:r>
      <w:r>
        <w:rPr>
          <w:rFonts w:ascii="Times New Roman" w:cs="Times New Roman" w:eastAsia="Times New Roman" w:hAnsi="Times New Roman"/>
          <w:sz w:val="22"/>
          <w:szCs w:val="22"/>
          <w:u w:val="single" w:color="auto"/>
          <w:color w:val="auto"/>
        </w:rPr>
        <w:t>Section 7.14(a)</w:t>
      </w:r>
      <w:r>
        <w:rPr>
          <w:rFonts w:ascii="Times New Roman" w:cs="Times New Roman" w:eastAsia="Times New Roman" w:hAnsi="Times New Roman"/>
          <w:sz w:val="22"/>
          <w:szCs w:val="22"/>
          <w:color w:val="auto"/>
        </w:rPr>
        <w:t>, Seller, on behalf of itself and its Affiliates, hereby grants to the Purchaser and its Affiliates (x) a non-exclusive, royalty-free, fully paid-up, worldwide, irrevocable, sub-licensable and transferable right and license (or sub-license, as the case may be) to fully use, practice and otherwise exploit such Transferred Asset, and (y) a covenant not to sue with respect to the Purchaser’s and its Affiliates’ use, practice and exploitation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- 81 -</w:t>
      </w:r>
    </w:p>
    <w:p>
      <w:pPr>
        <w:sectPr>
          <w:pgSz w:w="11900" w:h="16838" w:orient="portrait"/>
          <w:cols w:equalWidth="0" w:num="1">
            <w:col w:w="11240"/>
          </w:cols>
          <w:pgMar w:left="320" w:top="1421" w:right="339" w:bottom="1440" w:gutter="0" w:footer="0" w:header="0"/>
        </w:sectPr>
      </w:pPr>
    </w:p>
    <w:bookmarkStart w:id="150" w:name="page151"/>
    <w:bookmarkEnd w:id="150"/>
    <w:p>
      <w:pPr>
        <w:jc w:val="both"/>
        <w:spacing w:after="0" w:line="249" w:lineRule="auto"/>
        <w:rPr>
          <w:sz w:val="20"/>
          <w:szCs w:val="20"/>
          <w:color w:val="auto"/>
        </w:rPr>
      </w:pPr>
      <w:r>
        <w:rPr>
          <w:rFonts w:ascii="Times New Roman" w:cs="Times New Roman" w:eastAsia="Times New Roman" w:hAnsi="Times New Roman"/>
          <w:sz w:val="22"/>
          <w:szCs w:val="22"/>
          <w:color w:val="auto"/>
        </w:rPr>
        <w:t>Transferred Intellectual Property rights associated with such Transferred Asset, in each case under clauses (x) and (y), effective as of the Closing Date. Until such time that Purchaser or any of its Affiliates transfer ownership of such Excluded Asset to Seller in accordance with Section 7.14(b), Purchaser, on behalf of itself and its Affiliates, hereby grants to Seller and its Affiliates, (x) a non-exclusive royalty-free, fully paid up, worldwide, irrevocable, sub-licensable and transferable right and license (or sub-license, as the case may be) to fully use, practice and otherwise exploit such Excluded Asset, and (y) a covenant not to sue with respect to the Seller’s and its Affiliates use, practice and exploitation of any Intellectual Property (other than Transferred Intellectual Property) rights associated with such Excluded Asset, in each case under clauses (x) and (y), effective as of the Closing Date.</w:t>
      </w:r>
    </w:p>
    <w:p>
      <w:pPr>
        <w:spacing w:after="0" w:line="195" w:lineRule="exact"/>
        <w:rPr>
          <w:sz w:val="20"/>
          <w:szCs w:val="20"/>
          <w:color w:val="auto"/>
        </w:rPr>
      </w:pPr>
    </w:p>
    <w:p>
      <w:pPr>
        <w:ind w:left="1800" w:hanging="496"/>
        <w:spacing w:after="0"/>
        <w:tabs>
          <w:tab w:leader="none" w:pos="1800"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during the five (5)-year period after the Closing, (i) any member of the Seller Group receives</w:t>
      </w:r>
    </w:p>
    <w:p>
      <w:pPr>
        <w:spacing w:after="0" w:line="27" w:lineRule="exact"/>
        <w:rPr>
          <w:rFonts w:ascii="Times New Roman" w:cs="Times New Roman" w:eastAsia="Times New Roman" w:hAnsi="Times New Roman"/>
          <w:sz w:val="22"/>
          <w:szCs w:val="22"/>
          <w:color w:val="auto"/>
        </w:rPr>
      </w:pPr>
    </w:p>
    <w:p>
      <w:pPr>
        <w:jc w:val="both"/>
        <w:ind w:firstLine="8"/>
        <w:spacing w:after="0" w:line="258" w:lineRule="auto"/>
        <w:tabs>
          <w:tab w:leader="none" w:pos="362"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refund or other amount which is a Transferred Asset or is otherwise properly due and owing to Purchaser in accordance with the terms of this Agreement or other Transaction Document or (B) any refund or other amount which is related to claims or other matters for which Purchaser is responsible hereunder, and which amount is not an Excluded Asset, or is otherwise properly due and owing to Purchaser in accordance with the terms of this Agreement or other Transaction Document, Seller promptly shall remit, or shall cause to be remitted, such amount to Purchaser; or (ii) Purchaser or any of its Affiliates receives (A) any refund or other amount which is an Excluded Asset or is otherwise properly due and owing to any member of the Seller Group in accordance with the terms of this Agreement or other Transaction Document, or (B) any refund or other amount which is related to claims or other matters for which Seller is responsible hereunder, and which amount is not a Transferred Asset, or is otherwise properly due and owing to any member of the Seller Group in accordance with the terms of this Agreement or other Transaction Document, Purchaser promptly shall remit, or shall cause to be remitted, such amount to Seller.</w:t>
      </w:r>
    </w:p>
    <w:p>
      <w:pPr>
        <w:spacing w:after="0" w:line="188"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7.15 </w:t>
      </w:r>
      <w:r>
        <w:rPr>
          <w:rFonts w:ascii="Times New Roman" w:cs="Times New Roman" w:eastAsia="Times New Roman" w:hAnsi="Times New Roman"/>
          <w:sz w:val="22"/>
          <w:szCs w:val="22"/>
          <w:u w:val="single" w:color="auto"/>
          <w:color w:val="auto"/>
        </w:rPr>
        <w:t>Correspondence</w:t>
      </w:r>
      <w:r>
        <w:rPr>
          <w:rFonts w:ascii="Times New Roman" w:cs="Times New Roman" w:eastAsia="Times New Roman" w:hAnsi="Times New Roman"/>
          <w:sz w:val="22"/>
          <w:szCs w:val="22"/>
          <w:color w:val="auto"/>
        </w:rPr>
        <w:t>. From and after the Closing, (a) the Seller shall use commercially reasonable efforts to cause to be delivered promptly to Purchaser any mail or other communications received by any member of the Seller Group intended for the Business and (b) Purchaser shall use commercially reasonable efforts to cause to be delivered promptly to the applicable member of the Seller Group any mail or other communications received by Purchaser or any of its Affiliates intended for any member of the Seller Group or any Retained Businesses. The provisions of this Section 7.15 are not intended to, and shall not be deemed to, constitute an authorization by any member of the Seller Group, Purchaser or their respective Subsidiaries to permit acceptance of service of process on its behalf, and, from and after the Closing, none of the Seller Group, on the one hand, and Purchaser and its Affiliates, on the other hand, is or shall be deemed to be the agent of the other for service of process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- 82 -</w:t>
      </w:r>
    </w:p>
    <w:p>
      <w:pPr>
        <w:sectPr>
          <w:pgSz w:w="11900" w:h="16838" w:orient="portrait"/>
          <w:cols w:equalWidth="0" w:num="1">
            <w:col w:w="11240"/>
          </w:cols>
          <w:pgMar w:left="320" w:top="1421" w:right="339" w:bottom="1440" w:gutter="0" w:footer="0" w:header="0"/>
        </w:sectPr>
      </w:pPr>
    </w:p>
    <w:bookmarkStart w:id="151" w:name="page152"/>
    <w:bookmarkEnd w:id="151"/>
    <w:p>
      <w:pPr>
        <w:ind w:right="160"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7.16 </w:t>
      </w:r>
      <w:r>
        <w:rPr>
          <w:rFonts w:ascii="Times New Roman" w:cs="Times New Roman" w:eastAsia="Times New Roman" w:hAnsi="Times New Roman"/>
          <w:sz w:val="22"/>
          <w:szCs w:val="22"/>
          <w:u w:val="single" w:color="auto"/>
          <w:color w:val="auto"/>
        </w:rPr>
        <w:t>Bulk Sale</w:t>
      </w:r>
      <w:r>
        <w:rPr>
          <w:rFonts w:ascii="Times New Roman" w:cs="Times New Roman" w:eastAsia="Times New Roman" w:hAnsi="Times New Roman"/>
          <w:sz w:val="22"/>
          <w:szCs w:val="22"/>
          <w:color w:val="auto"/>
        </w:rPr>
        <w:t>. Purchaser hereby waives compliance by the Seller and any other member of the Seller Group with the provisions of any so called “bulk transfer laws” or similar Laws of any jurisdiction in connection with the Transactions.</w:t>
      </w:r>
    </w:p>
    <w:p>
      <w:pPr>
        <w:spacing w:after="0" w:line="186"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1"/>
          <w:szCs w:val="21"/>
          <w:color w:val="auto"/>
        </w:rPr>
        <w:t xml:space="preserve">Section 7.17 </w:t>
      </w:r>
      <w:r>
        <w:rPr>
          <w:rFonts w:ascii="Times New Roman" w:cs="Times New Roman" w:eastAsia="Times New Roman" w:hAnsi="Times New Roman"/>
          <w:sz w:val="21"/>
          <w:szCs w:val="21"/>
          <w:u w:val="single" w:color="auto"/>
          <w:color w:val="auto"/>
        </w:rPr>
        <w:t>R&amp;W Insurance</w:t>
      </w:r>
      <w:r>
        <w:rPr>
          <w:rFonts w:ascii="Times New Roman" w:cs="Times New Roman" w:eastAsia="Times New Roman" w:hAnsi="Times New Roman"/>
          <w:sz w:val="21"/>
          <w:szCs w:val="21"/>
          <w:color w:val="auto"/>
        </w:rPr>
        <w:t>. On the date hereof, Purchaser has bound a buyer-side representations and warranties insurance policy naming Purchaser as an insured and providing coverage for certain Losses incurred by Purchaser and its Affiliates related to this Agreement (the “</w:t>
      </w:r>
      <w:r>
        <w:rPr>
          <w:rFonts w:ascii="Times New Roman" w:cs="Times New Roman" w:eastAsia="Times New Roman" w:hAnsi="Times New Roman"/>
          <w:sz w:val="21"/>
          <w:szCs w:val="21"/>
          <w:u w:val="single" w:color="auto"/>
          <w:color w:val="auto"/>
        </w:rPr>
        <w:t>R&amp;W Insurance Policy</w:t>
      </w:r>
      <w:r>
        <w:rPr>
          <w:rFonts w:ascii="Times New Roman" w:cs="Times New Roman" w:eastAsia="Times New Roman" w:hAnsi="Times New Roman"/>
          <w:sz w:val="21"/>
          <w:szCs w:val="21"/>
          <w:color w:val="auto"/>
        </w:rPr>
        <w:t xml:space="preserve">”), a true and complete copy of which has been made available to the Seller. Purchaser acknowledges and agrees that, notwithstanding anything to the contrary contained herein, from and after the Closing, the R&amp;W Insurance Policy (whether or not it is ultimately bound, and whether or not the R&amp;W Insurance Policy is sufficient to cover any Losses of Purchaser or any of its Affiliates) shall be the sole and exclusive remedy of Purchaser and its Affiliates and its and their respective Representatives, successors and assigns of whatever kind and nature, at law, in equity or otherwise, known or unknown, which such Persons have now or may have in the future, resulting from, arising out of, or related to any inaccuracy or breach of any representation or warranty of the Seller contained in this Agreement or the certificates delivered pursuant to </w:t>
      </w:r>
      <w:r>
        <w:rPr>
          <w:rFonts w:ascii="Times New Roman" w:cs="Times New Roman" w:eastAsia="Times New Roman" w:hAnsi="Times New Roman"/>
          <w:sz w:val="21"/>
          <w:szCs w:val="21"/>
          <w:u w:val="single" w:color="auto"/>
          <w:color w:val="auto"/>
        </w:rPr>
        <w:t>Section 8.02</w:t>
      </w:r>
      <w:r>
        <w:rPr>
          <w:rFonts w:ascii="Times New Roman" w:cs="Times New Roman" w:eastAsia="Times New Roman" w:hAnsi="Times New Roman"/>
          <w:sz w:val="21"/>
          <w:szCs w:val="21"/>
          <w:color w:val="auto"/>
        </w:rPr>
        <w:t xml:space="preserve">, and none of such Persons nor any other Person (including any insurer under the R&amp;W Insurance Policy) shall have any recourse against the Seller or any of its Affiliates with respect thereto except with respect to Fraud and, for the avoidance of doubt, any other rights to indemnification under </w:t>
      </w:r>
      <w:r>
        <w:rPr>
          <w:rFonts w:ascii="Times New Roman" w:cs="Times New Roman" w:eastAsia="Times New Roman" w:hAnsi="Times New Roman"/>
          <w:sz w:val="21"/>
          <w:szCs w:val="21"/>
          <w:u w:val="single" w:color="auto"/>
          <w:color w:val="auto"/>
        </w:rPr>
        <w:t>Article X</w:t>
      </w:r>
      <w:r>
        <w:rPr>
          <w:rFonts w:ascii="Times New Roman" w:cs="Times New Roman" w:eastAsia="Times New Roman" w:hAnsi="Times New Roman"/>
          <w:sz w:val="21"/>
          <w:szCs w:val="21"/>
          <w:color w:val="auto"/>
        </w:rPr>
        <w:t xml:space="preserve">. The premium and retention and all other costs and expenses related to the R&amp;W Insurance Policy that are payable to the underwriter or any broker shall be borne solely by Purchaser. Purchaser shall cause the R&amp;W Insurance Policy to exclude at all times any rights of subrogation against the Seller or any its Affiliates (other than in the case of Fraud) and Seller shall be a third-party beneficiary of that waiver under the R&amp;W Insurance Policy. Purchaser agrees that, from and after the issuance of the R&amp;W Insurance Policy, it will not amend, modify, terminate or waive, any provision of, or introduce any provision to, the R&amp;W Insurance Policy in any manner that would permit the insurer under the R&amp;W Insurance Policy to be subrogated or that would otherwise reasonably be expected to adversely impact in any material respect the Seller or any of its Affiliates without Seller’s express prior written consent. Purchaser will not novate, or otherwise assign its rights under the R&amp;W Insurance Policy;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Purchaser shall have an absolute right, without Seller’s express prior written approval, to assign its rights under the R&amp;W Insurance Policy, in whole or in part, at any time to an Affiliate of Purchaser or to any successor to Purchaser by merger, consolidation or reorganization so long as such assignment does not adversely impact Seller in any material respect.</w:t>
      </w:r>
    </w:p>
    <w:p>
      <w:pPr>
        <w:spacing w:after="0" w:line="200" w:lineRule="exact"/>
        <w:rPr>
          <w:sz w:val="20"/>
          <w:szCs w:val="20"/>
          <w:color w:val="auto"/>
        </w:rPr>
      </w:pPr>
    </w:p>
    <w:p>
      <w:pPr>
        <w:spacing w:after="0" w:line="23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 xml:space="preserve">Section 7.18 </w:t>
      </w:r>
      <w:r>
        <w:rPr>
          <w:rFonts w:ascii="Times New Roman" w:cs="Times New Roman" w:eastAsia="Times New Roman" w:hAnsi="Times New Roman"/>
          <w:sz w:val="21"/>
          <w:szCs w:val="21"/>
          <w:u w:val="single" w:color="auto"/>
          <w:color w:val="auto"/>
        </w:rPr>
        <w:t>Litigation Cooperation; Certain Settlements</w:t>
      </w:r>
      <w:r>
        <w:rPr>
          <w:rFonts w:ascii="Times New Roman" w:cs="Times New Roman" w:eastAsia="Times New Roman" w:hAnsi="Times New Roman"/>
          <w:sz w:val="21"/>
          <w:szCs w:val="21"/>
          <w:color w:val="auto"/>
        </w:rPr>
        <w:t xml:space="preserve">. The Seller shall deliver to Purchaser at Closing all Records (other than Records that constitute attorney work product to the extent relating to an ongoing or threatened Action that is an Excluded Business Claim) in the possession of any member of the Seller Group relating to each ongoing Action (whether pending, threatened or presently asserted) on the Closing Date to the extent primarily or exclusively related to the Business;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 upon the Seller’s reasonable request, Purchaser shall enter into one or more joint defense agreements or similar agreements with the Seller or its designees, each in a form reasonably acceptable to the Seller and Purchaser, prior to the Seller delivering any such Records that are subject to attorney work product protection or attorney-client or other established legal privilege, (ii) the Seller shall be permitted to redact any such Records to the extent they are not reasonably separable from Records that do not constitute Transferred Records and (iii) the Seller shall be permitted to retain copies of all such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- 83 -</w:t>
      </w:r>
    </w:p>
    <w:p>
      <w:pPr>
        <w:sectPr>
          <w:pgSz w:w="11900" w:h="16838" w:orient="portrait"/>
          <w:cols w:equalWidth="0" w:num="1">
            <w:col w:w="11160"/>
          </w:cols>
          <w:pgMar w:left="400" w:top="1421" w:right="339" w:bottom="1440" w:gutter="0" w:footer="0" w:header="0"/>
        </w:sectPr>
      </w:pPr>
    </w:p>
    <w:bookmarkStart w:id="152" w:name="page153"/>
    <w:bookmarkEnd w:id="152"/>
    <w:p>
      <w:pPr>
        <w:ind w:left="1372"/>
        <w:spacing w:after="0"/>
        <w:tabs>
          <w:tab w:leader="none" w:pos="2652" w:val="left"/>
        </w:tabs>
        <w:rPr>
          <w:sz w:val="20"/>
          <w:szCs w:val="20"/>
          <w:color w:val="auto"/>
        </w:rPr>
      </w:pPr>
      <w:r>
        <w:rPr>
          <w:rFonts w:ascii="Times New Roman" w:cs="Times New Roman" w:eastAsia="Times New Roman" w:hAnsi="Times New Roman"/>
          <w:sz w:val="22"/>
          <w:szCs w:val="22"/>
          <w:color w:val="auto"/>
        </w:rPr>
        <w:t>Section 7.19</w:t>
      </w:r>
      <w:r>
        <w:rPr>
          <w:sz w:val="20"/>
          <w:szCs w:val="20"/>
          <w:color w:val="auto"/>
        </w:rPr>
        <w:tab/>
      </w:r>
      <w:r>
        <w:rPr>
          <w:rFonts w:ascii="Times New Roman" w:cs="Times New Roman" w:eastAsia="Times New Roman" w:hAnsi="Times New Roman"/>
          <w:sz w:val="21"/>
          <w:szCs w:val="21"/>
          <w:u w:val="single" w:color="auto"/>
          <w:color w:val="auto"/>
        </w:rPr>
        <w:t>Financing</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8" w:firstLine="1304"/>
        <w:spacing w:after="0" w:line="260" w:lineRule="auto"/>
        <w:tabs>
          <w:tab w:leader="none" w:pos="1857" w:val="left"/>
        </w:tabs>
        <w:numPr>
          <w:ilvl w:val="2"/>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Prior to the earlier of the Closing and the termination of this Agreement in accordance with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Purchaser shall use reasonable best efforts to take, or cause to be taken, all appropriate actions and do, or cause to be done, all things necessary to arrange and obtain the Financing on or prior to the Closing Date on the terms (including any market flex provisions) and subject only to the conditions described in the Financing Commitment Letters, including (i) using reasonable best efforts to negotiate and enter into definitive financing agreements (the “</w:t>
      </w:r>
      <w:r>
        <w:rPr>
          <w:rFonts w:ascii="Times New Roman" w:cs="Times New Roman" w:eastAsia="Times New Roman" w:hAnsi="Times New Roman"/>
          <w:sz w:val="21"/>
          <w:szCs w:val="21"/>
          <w:u w:val="single" w:color="auto"/>
          <w:color w:val="auto"/>
        </w:rPr>
        <w:t>Definitive Agreements</w:t>
      </w:r>
      <w:r>
        <w:rPr>
          <w:rFonts w:ascii="Times New Roman" w:cs="Times New Roman" w:eastAsia="Times New Roman" w:hAnsi="Times New Roman"/>
          <w:sz w:val="21"/>
          <w:szCs w:val="21"/>
          <w:color w:val="auto"/>
        </w:rPr>
        <w:t>”) with respect to the Debt Financing on terms no less favorable to Purchaser than the terms, and subject only to the conditions contained, in the applicable Debt Commitment Letter (including any market flex provisions), (ii) to comply in all material respects with the Financing Commitment Letters to the extent compliance therewith is within Purchaser’s direct or indirect control, (iii) to not permit, without the prior written consent of Seller, any amendment to be made to any Financing Commitment Letter if such amendment would</w:t>
      </w:r>
    </w:p>
    <w:p>
      <w:pPr>
        <w:spacing w:after="0" w:line="5" w:lineRule="exact"/>
        <w:rPr>
          <w:rFonts w:ascii="Times New Roman" w:cs="Times New Roman" w:eastAsia="Times New Roman" w:hAnsi="Times New Roman"/>
          <w:sz w:val="21"/>
          <w:szCs w:val="21"/>
          <w:color w:val="auto"/>
        </w:rPr>
      </w:pPr>
    </w:p>
    <w:p>
      <w:pPr>
        <w:jc w:val="both"/>
        <w:ind w:left="-8" w:firstLine="8"/>
        <w:spacing w:after="0" w:line="258" w:lineRule="auto"/>
        <w:tabs>
          <w:tab w:leader="none" w:pos="315"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reduce the aggregate amount of the proceeds from the Financing to be below the Required Funding Amount (except to the extent there is a corresponding increase in an Alternate Financing, in accordance with </w:t>
      </w:r>
      <w:r>
        <w:rPr>
          <w:rFonts w:ascii="Times New Roman" w:cs="Times New Roman" w:eastAsia="Times New Roman" w:hAnsi="Times New Roman"/>
          <w:sz w:val="21"/>
          <w:szCs w:val="21"/>
          <w:u w:val="single" w:color="auto"/>
          <w:color w:val="auto"/>
        </w:rPr>
        <w:t>Section 7.19(d)</w:t>
      </w:r>
      <w:r>
        <w:rPr>
          <w:rFonts w:ascii="Times New Roman" w:cs="Times New Roman" w:eastAsia="Times New Roman" w:hAnsi="Times New Roman"/>
          <w:sz w:val="21"/>
          <w:szCs w:val="21"/>
          <w:color w:val="auto"/>
        </w:rPr>
        <w:t xml:space="preserve"> below) or (y) impose new or additional conditions precedent to the receipt of any portion of the Financing;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for the avoidance of doubt, Purchaser may amend any Debt Commitment Letter in accordance with any market flex provisions thereof and/or to add lenders, lead arrangers, bookrunners, agents, managers or other entities thereto;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Purchaser shall provide the Seller with copies of any such amendment reasonably promptly after the time such amendment is effective, (iv) to use reasonable best efforts to satisfy on a timely basis all of the Financing Conditions that are within its control, and (v) in the event the conditions in Article VIII and the Financing Conditions have been satisfied, or upon funding would be satisfied, to use reasonable best efforts to consummate the Financing contemplated by the Financing Commitment Letters (including any market flex provisions) at or before the Closing. Notwithstanding anything to the contrary contained in this Agreement, in no event shall the reasonable best efforts of Purchaser require or be deemed or construed to require Purchaser or its Affiliates to (I) seek equity financing from any source (other than the Equity Financing), (II) pay any fees in excess in any material respect of those contemplated by the applicable Debt Commitment Letter (including any market flex provisions set forth therein) as in effect on the date of this Agreement, (III) agree to any market flex provision materially less favorable to Purchaser than any market flex provisions contained in any Debt Commitment Letter as in effect on the date of this Agreement (in either case, whether to secure waiver of any conditions contained therein or otherwise), or (IV) disclose any information (x) in respect of which disclosure is prohibited by applicable material Law or (y) that is subject to attorney client or similar privilege or constitutes attorney work product.</w:t>
      </w:r>
    </w:p>
    <w:p>
      <w:pPr>
        <w:spacing w:after="0" w:line="179" w:lineRule="exact"/>
        <w:rPr>
          <w:rFonts w:ascii="Times New Roman" w:cs="Times New Roman" w:eastAsia="Times New Roman" w:hAnsi="Times New Roman"/>
          <w:sz w:val="21"/>
          <w:szCs w:val="21"/>
          <w:color w:val="auto"/>
        </w:rPr>
      </w:pPr>
    </w:p>
    <w:p>
      <w:pPr>
        <w:jc w:val="both"/>
        <w:ind w:left="-8" w:firstLine="1304"/>
        <w:spacing w:after="0" w:line="249" w:lineRule="auto"/>
        <w:tabs>
          <w:tab w:leader="none" w:pos="1802" w:val="left"/>
        </w:tabs>
        <w:numPr>
          <w:ilvl w:val="2"/>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Purchaser shall give Seller prompt written notice (i) of any breach or default (or any event or circumstance that, with or without notice, lapse of time or both, would reasonably be expected to result in a breach or default) by any party to the Financing Commitment Letters of which Purchaser becomes aware that would reasonably be expected to delay or prevent the Closing, (ii) of the receipt of any written notice or other written communication, from any Person with respect to any actual material breach, default, termination or repudiation by any party to the Financing Commitment Letters, (iii) in the event Purchaser believes in good faith that it will not be able to obtain any portion of the Financing such that the aggregate amount of the proceeds from the Financing will be below the Required Funding Amount, and (iv) of any termination of the Financing Commitment Letters.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1" w:lineRule="exact"/>
        <w:rPr>
          <w:rFonts w:ascii="Times New Roman" w:cs="Times New Roman" w:eastAsia="Times New Roman" w:hAnsi="Times New Roman"/>
          <w:sz w:val="22"/>
          <w:szCs w:val="22"/>
          <w:color w:val="auto"/>
        </w:rPr>
      </w:pPr>
    </w:p>
    <w:p>
      <w:pPr>
        <w:ind w:left="352" w:hanging="136"/>
        <w:spacing w:after="0"/>
        <w:tabs>
          <w:tab w:leader="none" w:pos="352"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84 -</w:t>
      </w:r>
    </w:p>
    <w:p>
      <w:pPr>
        <w:sectPr>
          <w:pgSz w:w="11900" w:h="16838" w:orient="portrait"/>
          <w:cols w:equalWidth="0" w:num="1">
            <w:col w:w="11232"/>
          </w:cols>
          <w:pgMar w:left="328" w:top="1422" w:right="339" w:bottom="1440" w:gutter="0" w:footer="0" w:header="0"/>
        </w:sectPr>
      </w:pPr>
    </w:p>
    <w:bookmarkStart w:id="153" w:name="page154"/>
    <w:bookmarkEnd w:id="153"/>
    <w:p>
      <w:pPr>
        <w:ind w:left="-224" w:firstLine="1304"/>
        <w:spacing w:after="0" w:line="271" w:lineRule="auto"/>
        <w:tabs>
          <w:tab w:leader="none" w:pos="1564"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reasonable written request of the Seller, Purchaser shall keep Seller informed on a timely basis and in reasonable detail of the status of its efforts to arrange the Debt Financing.</w:t>
      </w:r>
    </w:p>
    <w:p>
      <w:pPr>
        <w:spacing w:after="0" w:line="157" w:lineRule="exact"/>
        <w:rPr>
          <w:rFonts w:ascii="Times New Roman" w:cs="Times New Roman" w:eastAsia="Times New Roman" w:hAnsi="Times New Roman"/>
          <w:sz w:val="22"/>
          <w:szCs w:val="22"/>
          <w:color w:val="auto"/>
        </w:rPr>
      </w:pPr>
    </w:p>
    <w:p>
      <w:pPr>
        <w:jc w:val="both"/>
        <w:ind w:left="-224" w:firstLine="1304"/>
        <w:spacing w:after="0" w:line="248" w:lineRule="auto"/>
        <w:tabs>
          <w:tab w:leader="none" w:pos="1605"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portion of the Debt Financing becomes unavailable for any reason such that the aggregate proceeds from the Financing are insufficient to fund the Required Funding Amount, Purchaser shall use its reasonable best efforts to obtain alternative debt financing from the Financing Sources and/or from alternate sources (the “</w:t>
      </w:r>
      <w:r>
        <w:rPr>
          <w:rFonts w:ascii="Times New Roman" w:cs="Times New Roman" w:eastAsia="Times New Roman" w:hAnsi="Times New Roman"/>
          <w:sz w:val="22"/>
          <w:szCs w:val="22"/>
          <w:u w:val="single" w:color="auto"/>
          <w:color w:val="auto"/>
        </w:rPr>
        <w:t>Alternate Financing</w:t>
      </w:r>
      <w:r>
        <w:rPr>
          <w:rFonts w:ascii="Times New Roman" w:cs="Times New Roman" w:eastAsia="Times New Roman" w:hAnsi="Times New Roman"/>
          <w:sz w:val="22"/>
          <w:szCs w:val="22"/>
          <w:color w:val="auto"/>
        </w:rPr>
        <w:t xml:space="preserve">”) on terms and conditions that are no less favorable in the aggregate to Purchaser than those contained in the applicable Debt Commitment Letter as in effect on the date hereof (including any market flex provisions related thereto) (in Purchaser’s reasonable judgment), except to the extent otherwise acceptable to Purchaser in its sole discretion;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Alternate Financing shall not be reasonably likely to delay the Closing. Purchaser shall promptly deliver to Seller complete and correct copies of all commitment letters and fee letters pursuant to which any Alternate Financing shall be made available to Purchaser at the Closing, except that any fee amounts, any market flex provisions and any other economic terms or other commercially sensitive terms identified by the applicable Financing Sources may be redacted;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no such redacted provisions would adversely affect the conditionality or availability of the funding of the Debt Financing at the Closing.</w:t>
      </w:r>
    </w:p>
    <w:p>
      <w:pPr>
        <w:spacing w:after="0" w:line="188" w:lineRule="exact"/>
        <w:rPr>
          <w:rFonts w:ascii="Times New Roman" w:cs="Times New Roman" w:eastAsia="Times New Roman" w:hAnsi="Times New Roman"/>
          <w:sz w:val="22"/>
          <w:szCs w:val="22"/>
          <w:color w:val="auto"/>
        </w:rPr>
      </w:pPr>
    </w:p>
    <w:p>
      <w:pPr>
        <w:jc w:val="both"/>
        <w:ind w:left="-224" w:firstLine="1304"/>
        <w:spacing w:after="0" w:line="266" w:lineRule="auto"/>
        <w:tabs>
          <w:tab w:leader="none" w:pos="1563" w:val="left"/>
        </w:tabs>
        <w:numPr>
          <w:ilvl w:val="1"/>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the Closing, Seller shall, at the sole cost and expense of Purchaser, use its reasonable best efforts to provide, and shall cause its Affiliates and its and their respective Representatives to use reasonable best efforts to provide such assistance and cooperation in connection with the arrangement, syndication and consummation of the Debt Financing as may be reasonably requested by Purchaser and that is customary in connection with the arrangement of debt financing for transactions that are substantially similar to the Transactions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such requested cooperation does not (i) unreasonably interfere with the ongoing operations of Seller, any of its Affiliates and/or the Retained Businesses or (ii) cause any representation, warranty or covenant of Seller in this Agreement to be breached). Such assistance and cooperation shall include:</w:t>
      </w:r>
    </w:p>
    <w:p>
      <w:pPr>
        <w:spacing w:after="0" w:line="165" w:lineRule="exact"/>
        <w:rPr>
          <w:rFonts w:ascii="Times New Roman" w:cs="Times New Roman" w:eastAsia="Times New Roman" w:hAnsi="Times New Roman"/>
          <w:sz w:val="21"/>
          <w:szCs w:val="21"/>
          <w:color w:val="auto"/>
        </w:rPr>
      </w:pPr>
    </w:p>
    <w:p>
      <w:pPr>
        <w:jc w:val="both"/>
        <w:ind w:left="516" w:firstLine="645"/>
        <w:spacing w:after="0" w:line="265" w:lineRule="auto"/>
        <w:tabs>
          <w:tab w:leader="none" w:pos="1695" w:val="left"/>
        </w:tabs>
        <w:numPr>
          <w:ilvl w:val="2"/>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furnishing, or causing to be furnished, to Purchaser reasonably promptly such financial information and other pertinent information regarding the Business and Transferred Assets as may be reasonably requested in writing by Purchaser and/or the Financing Sources, which information is and shall remain Compliant, including (A) the financial information and other information requested in order to satisfy the conditions set forth in the Financing Commitment Letters, (B) the Financial Statements and (C) customary management representation and authorization letters (including customary representations with respect to accuracy of information and material non-public information);</w:t>
      </w:r>
    </w:p>
    <w:p>
      <w:pPr>
        <w:spacing w:after="0" w:line="168" w:lineRule="exact"/>
        <w:rPr>
          <w:rFonts w:ascii="Times New Roman" w:cs="Times New Roman" w:eastAsia="Times New Roman" w:hAnsi="Times New Roman"/>
          <w:sz w:val="21"/>
          <w:szCs w:val="21"/>
          <w:color w:val="auto"/>
        </w:rPr>
      </w:pPr>
    </w:p>
    <w:p>
      <w:pPr>
        <w:jc w:val="both"/>
        <w:ind w:left="516" w:firstLine="645"/>
        <w:spacing w:after="0" w:line="252" w:lineRule="auto"/>
        <w:tabs>
          <w:tab w:leader="none" w:pos="1846" w:val="left"/>
        </w:tabs>
        <w:numPr>
          <w:ilvl w:val="2"/>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causing Seller and its Subsidiaries’ management teams, with appropriate seniority and expertise, to reasonably assist Purchaser in its preparation of lender and investor presentations, rating agency presentations, bank information memoranda, bank books, confidential information memoranda, marketing materials and other similar documents and materials customary for the Debt Financing;</w:t>
      </w:r>
    </w:p>
    <w:p>
      <w:pPr>
        <w:spacing w:after="0" w:line="192" w:lineRule="exact"/>
        <w:rPr>
          <w:rFonts w:ascii="Times New Roman" w:cs="Times New Roman" w:eastAsia="Times New Roman" w:hAnsi="Times New Roman"/>
          <w:sz w:val="22"/>
          <w:szCs w:val="22"/>
          <w:color w:val="auto"/>
        </w:rPr>
      </w:pPr>
    </w:p>
    <w:p>
      <w:pPr>
        <w:jc w:val="both"/>
        <w:ind w:left="516" w:firstLine="645"/>
        <w:spacing w:after="0" w:line="252" w:lineRule="auto"/>
        <w:tabs>
          <w:tab w:leader="none" w:pos="1738" w:val="left"/>
        </w:tabs>
        <w:numPr>
          <w:ilvl w:val="2"/>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causing members of the Seller’s and its Subsidiaries’ management teams that are continuing in similar (or equivalent) roles with respect to the Business after Closing, with appropriate seniority and expertise, to participate in a reasonable number of lender presentations, drafting sessions, due diligence sessions and meetings with prospective providers of the Debt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8" w:lineRule="exact"/>
        <w:rPr>
          <w:rFonts w:ascii="Times New Roman" w:cs="Times New Roman" w:eastAsia="Times New Roman" w:hAnsi="Times New Roman"/>
          <w:sz w:val="22"/>
          <w:szCs w:val="22"/>
          <w:color w:val="auto"/>
        </w:rPr>
      </w:pPr>
    </w:p>
    <w:p>
      <w:pPr>
        <w:ind w:left="136" w:hanging="136"/>
        <w:spacing w:after="0"/>
        <w:tabs>
          <w:tab w:leader="none" w:pos="136"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85 -</w:t>
      </w:r>
    </w:p>
    <w:p>
      <w:pPr>
        <w:sectPr>
          <w:pgSz w:w="11900" w:h="16838" w:orient="portrait"/>
          <w:cols w:equalWidth="0" w:num="1">
            <w:col w:w="11016"/>
          </w:cols>
          <w:pgMar w:left="544" w:top="1422" w:right="339" w:bottom="1440" w:gutter="0" w:footer="0" w:header="0"/>
        </w:sectPr>
      </w:pPr>
    </w:p>
    <w:bookmarkStart w:id="154" w:name="page155"/>
    <w:bookmarkEnd w:id="154"/>
    <w:p>
      <w:pPr>
        <w:ind w:left="520"/>
        <w:spacing w:after="0"/>
        <w:rPr>
          <w:sz w:val="20"/>
          <w:szCs w:val="20"/>
          <w:color w:val="auto"/>
        </w:rPr>
      </w:pPr>
      <w:r>
        <w:rPr>
          <w:rFonts w:ascii="Times New Roman" w:cs="Times New Roman" w:eastAsia="Times New Roman" w:hAnsi="Times New Roman"/>
          <w:sz w:val="22"/>
          <w:szCs w:val="22"/>
          <w:color w:val="auto"/>
        </w:rPr>
        <w:t>Financing and ratings agencies, in each case, upon reasonable advance notice and at mutually agreed times;</w:t>
      </w:r>
    </w:p>
    <w:p>
      <w:pPr>
        <w:spacing w:after="0" w:line="220" w:lineRule="exact"/>
        <w:rPr>
          <w:sz w:val="20"/>
          <w:szCs w:val="20"/>
          <w:color w:val="auto"/>
        </w:rPr>
      </w:pPr>
    </w:p>
    <w:p>
      <w:pPr>
        <w:jc w:val="both"/>
        <w:ind w:left="520" w:firstLine="645"/>
        <w:spacing w:after="0" w:line="247" w:lineRule="auto"/>
        <w:tabs>
          <w:tab w:leader="none" w:pos="1724"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causing members of the Seller’s and its Subsidiaries’ management teams that are continuing in similar (or equivalent) roles with respect to the Business after Closing, with appropriate seniority and expertise, to reasonably assist in the preparation and negotiation of the Definitive Agreements and (B) facilitating the execution and delivery at the Closing of the Definitive Agreements, including by requesting that appropriate officers be available upon reasonable notice to Purchaser and its counsel to sign any credit agreements, any guarantee and collateral agreements, any other Definitive Agreements and related customary officer’s certificates (including a certificate of an appropriate officer with respect to the solvency of the parties to the Debt Financing and their respective Subsidiaries), secretary’s certificates, perfection certificates, management representation and authorization letters and other documentation required by the Financing Sources as a condition to obtaining the Debt Financing and the Definitive Agreements (in each case (other than with respect to management representation and authorization letters) to be held in escrow pending the Closing, with the effectiveness of such signatures conditioned upon the consummation of the Closing) in anticipation of the Closing, and furnishing all information relating to the Business and the Transferred Assets to Purchaser to be included in any schedules to the Definitive Agreements or in any perfection certificates;</w:t>
      </w:r>
    </w:p>
    <w:p>
      <w:pPr>
        <w:spacing w:after="0" w:line="206" w:lineRule="exact"/>
        <w:rPr>
          <w:rFonts w:ascii="Times New Roman" w:cs="Times New Roman" w:eastAsia="Times New Roman" w:hAnsi="Times New Roman"/>
          <w:sz w:val="22"/>
          <w:szCs w:val="22"/>
          <w:color w:val="auto"/>
        </w:rPr>
      </w:pPr>
    </w:p>
    <w:p>
      <w:pPr>
        <w:jc w:val="both"/>
        <w:ind w:left="520" w:firstLine="645"/>
        <w:spacing w:after="0" w:line="252" w:lineRule="auto"/>
        <w:tabs>
          <w:tab w:leader="none" w:pos="1657"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facilitating the pledging of, granting of security interests in (and perfection thereof), and otherwise granting of liens on, the property and assets of the Business and the Transferred Assets, including delivery of possessory collateral (such as certificated equity and promissory notes) within its possession to the Financing Sources at, and subject to the occurrence of, the Closing;</w:t>
      </w:r>
    </w:p>
    <w:p>
      <w:pPr>
        <w:spacing w:after="0" w:line="179" w:lineRule="exact"/>
        <w:rPr>
          <w:rFonts w:ascii="Times New Roman" w:cs="Times New Roman" w:eastAsia="Times New Roman" w:hAnsi="Times New Roman"/>
          <w:sz w:val="22"/>
          <w:szCs w:val="22"/>
          <w:color w:val="auto"/>
        </w:rPr>
      </w:pPr>
    </w:p>
    <w:p>
      <w:pPr>
        <w:jc w:val="both"/>
        <w:ind w:left="520" w:firstLine="645"/>
        <w:spacing w:after="0" w:line="253" w:lineRule="auto"/>
        <w:tabs>
          <w:tab w:leader="none" w:pos="1795"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least five (5) Business Days prior to the Closing, providing all documentation and other information about the Business and Transferred Assets as is reasonably requested by the Financing Sources at least seven (7) Business Days prior to the Closing Date with respect to applicable “know your customer” and anti-money laundering rules and regulations, including the Patriot Act and beneficial ownership regulations (including beneficial ownership certifications as under 31 C.F.R. § 1010.230);</w:t>
      </w:r>
    </w:p>
    <w:p>
      <w:pPr>
        <w:spacing w:after="0" w:line="178" w:lineRule="exact"/>
        <w:rPr>
          <w:rFonts w:ascii="Times New Roman" w:cs="Times New Roman" w:eastAsia="Times New Roman" w:hAnsi="Times New Roman"/>
          <w:sz w:val="22"/>
          <w:szCs w:val="22"/>
          <w:color w:val="auto"/>
        </w:rPr>
      </w:pPr>
    </w:p>
    <w:p>
      <w:pPr>
        <w:jc w:val="both"/>
        <w:ind w:left="520" w:firstLine="645"/>
        <w:spacing w:after="0" w:line="263" w:lineRule="auto"/>
        <w:tabs>
          <w:tab w:leader="none" w:pos="1915"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taking all reasonably requested formal corporate or similar actions, subject to the occurrence of the Closing, to permit the consummation of the Debt Financing and to permit the proceeds thereof to be made available on the Closing Date to fund the amounts required to be funded on the Closing Date pursuant to the terms hereof;</w:t>
      </w:r>
    </w:p>
    <w:p>
      <w:pPr>
        <w:spacing w:after="0" w:line="167" w:lineRule="exact"/>
        <w:rPr>
          <w:rFonts w:ascii="Times New Roman" w:cs="Times New Roman" w:eastAsia="Times New Roman" w:hAnsi="Times New Roman"/>
          <w:sz w:val="22"/>
          <w:szCs w:val="22"/>
          <w:color w:val="auto"/>
        </w:rPr>
      </w:pPr>
    </w:p>
    <w:p>
      <w:pPr>
        <w:ind w:left="520" w:firstLine="645"/>
        <w:spacing w:after="0" w:line="271" w:lineRule="auto"/>
        <w:tabs>
          <w:tab w:leader="none" w:pos="1858"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cooperating with Purchaser’s legal counsel in connection with any legal opinions that such legal counsel may be required to deliver in connection with the Financing; and</w:t>
      </w:r>
    </w:p>
    <w:p>
      <w:pPr>
        <w:spacing w:after="0" w:line="157" w:lineRule="exact"/>
        <w:rPr>
          <w:rFonts w:ascii="Times New Roman" w:cs="Times New Roman" w:eastAsia="Times New Roman" w:hAnsi="Times New Roman"/>
          <w:sz w:val="22"/>
          <w:szCs w:val="22"/>
          <w:color w:val="auto"/>
        </w:rPr>
      </w:pPr>
    </w:p>
    <w:p>
      <w:pPr>
        <w:jc w:val="both"/>
        <w:ind w:left="520" w:firstLine="645"/>
        <w:spacing w:after="0" w:line="264" w:lineRule="auto"/>
        <w:tabs>
          <w:tab w:leader="none" w:pos="1861" w:val="left"/>
        </w:tabs>
        <w:numPr>
          <w:ilvl w:val="1"/>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facilitating the closing of the asset-based revolving credit facility included in the Debt Financing as necessary and reasonably requested by Purchaser, including by (A) subject to the provisions of </w:t>
      </w:r>
      <w:r>
        <w:rPr>
          <w:rFonts w:ascii="Times New Roman" w:cs="Times New Roman" w:eastAsia="Times New Roman" w:hAnsi="Times New Roman"/>
          <w:sz w:val="21"/>
          <w:szCs w:val="21"/>
          <w:u w:val="single" w:color="auto"/>
          <w:color w:val="auto"/>
        </w:rPr>
        <w:t>Section 7.03</w:t>
      </w:r>
      <w:r>
        <w:rPr>
          <w:rFonts w:ascii="Times New Roman" w:cs="Times New Roman" w:eastAsia="Times New Roman" w:hAnsi="Times New Roman"/>
          <w:sz w:val="21"/>
          <w:szCs w:val="21"/>
          <w:color w:val="auto"/>
        </w:rPr>
        <w:t>, permitting the Financing Sources to examine, evaluate, assess and audit the Business and the Transferred Assets to permit a reasonably detailed calculation of the borrowing base set forth in the ABL Commitment Letter prior to the Closing Date,</w:t>
      </w:r>
    </w:p>
    <w:p>
      <w:pPr>
        <w:ind w:left="860" w:hanging="343"/>
        <w:spacing w:after="0"/>
        <w:tabs>
          <w:tab w:leader="none" w:pos="86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- 86 -</w:t>
      </w:r>
    </w:p>
    <w:p>
      <w:pPr>
        <w:sectPr>
          <w:pgSz w:w="11900" w:h="16838" w:orient="portrait"/>
          <w:cols w:equalWidth="0" w:num="1">
            <w:col w:w="11020"/>
          </w:cols>
          <w:pgMar w:left="540" w:top="1422" w:right="339" w:bottom="1440" w:gutter="0" w:footer="0" w:header="0"/>
        </w:sectPr>
      </w:pPr>
    </w:p>
    <w:bookmarkStart w:id="155" w:name="page156"/>
    <w:bookmarkEnd w:id="155"/>
    <w:p>
      <w:pPr>
        <w:jc w:val="both"/>
        <w:ind w:left="516"/>
        <w:spacing w:after="0" w:line="253" w:lineRule="auto"/>
        <w:rPr>
          <w:sz w:val="20"/>
          <w:szCs w:val="20"/>
          <w:color w:val="auto"/>
        </w:rPr>
      </w:pPr>
      <w:r>
        <w:rPr>
          <w:rFonts w:ascii="Times New Roman" w:cs="Times New Roman" w:eastAsia="Times New Roman" w:hAnsi="Times New Roman"/>
          <w:sz w:val="22"/>
          <w:szCs w:val="22"/>
          <w:color w:val="auto"/>
        </w:rPr>
        <w:t xml:space="preserve">the provisions of </w:t>
      </w:r>
      <w:r>
        <w:rPr>
          <w:rFonts w:ascii="Times New Roman" w:cs="Times New Roman" w:eastAsia="Times New Roman" w:hAnsi="Times New Roman"/>
          <w:sz w:val="22"/>
          <w:szCs w:val="22"/>
          <w:u w:val="single" w:color="auto"/>
          <w:color w:val="auto"/>
        </w:rPr>
        <w:t>Section 7.03</w:t>
      </w:r>
      <w:r>
        <w:rPr>
          <w:rFonts w:ascii="Times New Roman" w:cs="Times New Roman" w:eastAsia="Times New Roman" w:hAnsi="Times New Roman"/>
          <w:sz w:val="22"/>
          <w:szCs w:val="22"/>
          <w:color w:val="auto"/>
        </w:rPr>
        <w:t>, assisting with and providing information and access with respect to third-party appraisals and field examinations in respect of the Transferred Assets included in the borrowing base set forth in the ABL Commitment Letter and (C) reasonably assisting Purchaser in setting up accounts and systems related to accounts receivables included in the borrowing base set forth in the ABL Commitment Letter; provided, that such reasonable assistance shall not include setting up any required bank accounts;</w:t>
      </w:r>
    </w:p>
    <w:p>
      <w:pPr>
        <w:spacing w:after="0" w:line="179" w:lineRule="exact"/>
        <w:rPr>
          <w:sz w:val="20"/>
          <w:szCs w:val="20"/>
          <w:color w:val="auto"/>
        </w:rPr>
      </w:pPr>
    </w:p>
    <w:p>
      <w:pPr>
        <w:jc w:val="both"/>
        <w:ind w:left="436"/>
        <w:spacing w:after="0" w:line="247"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none of Seller or any of its Affiliates shall be required to (i) pay any commitment fee or other fee or incur any other Liability in connection with the Debt Financing except for (x) customary management representation and authorization letters and (y) any such payments or obligations for which Purchaser agrees to promptly reimburse or indemnify such Person, as the case may be, under this Agreement, or (ii) take any action that would be prohibited by any applicable Law or cause a default or material breach of any Material Business Contract. To the extent this Agreement is terminated and the Transactions contemplated hereby are not consummated, Purchaser shall promptly, upon written request by Seller, reimburse Seller for all reasonable and documented out-of-pocket costs and expenses (including reasonable and documented out-of-pocket expenses of a single outside counsel to the Seller and its Affiliates, taken as a whole) incurred by Seller or any of its Affiliates in connection with the cooperation of Seller and its Affiliates under this </w:t>
      </w:r>
      <w:r>
        <w:rPr>
          <w:rFonts w:ascii="Times New Roman" w:cs="Times New Roman" w:eastAsia="Times New Roman" w:hAnsi="Times New Roman"/>
          <w:sz w:val="22"/>
          <w:szCs w:val="22"/>
          <w:u w:val="single" w:color="auto"/>
          <w:color w:val="auto"/>
        </w:rPr>
        <w:t>Section 7.19(e)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Seller and its Affiliates (and not Purchaser) shall be responsible for (i) fees payable to the existing legal, financial or other advisors of Seller and its Affiliates with respect to services provided prior to the date hereof, (ii) any ordinary course amounts payable to existing employees of or consultants to Seller or any of its Affiliates with respect to services provided prior to the Closing and (iii) costs and expenses that would have been incurred by Seller or its Affiliates, as applicable, in connection with the transactions notwithstanding the obligations under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7.19(e)</w:t>
      </w:r>
      <w:r>
        <w:rPr>
          <w:rFonts w:ascii="Times New Roman" w:cs="Times New Roman" w:eastAsia="Times New Roman" w:hAnsi="Times New Roman"/>
          <w:sz w:val="22"/>
          <w:szCs w:val="22"/>
          <w:color w:val="auto"/>
        </w:rPr>
        <w:t xml:space="preserve">. Purchaser shall indemnify and hold harmless the Seller Indemnitees from and against any and all Losses, damages, claims, reasonable and documented out-of-pocket costs or expenses (including reasonable and documented out-of-pocket expenses of a single outside counsel to the Seller and its Affiliates, taken as a whole) suffered or incurred by any of them in connection with the cooperation provided by such Person under this </w:t>
      </w:r>
      <w:r>
        <w:rPr>
          <w:rFonts w:ascii="Times New Roman" w:cs="Times New Roman" w:eastAsia="Times New Roman" w:hAnsi="Times New Roman"/>
          <w:sz w:val="22"/>
          <w:szCs w:val="22"/>
          <w:u w:val="single" w:color="auto"/>
          <w:color w:val="auto"/>
        </w:rPr>
        <w:t>Section 7.19</w:t>
      </w:r>
      <w:r>
        <w:rPr>
          <w:rFonts w:ascii="Times New Roman" w:cs="Times New Roman" w:eastAsia="Times New Roman" w:hAnsi="Times New Roman"/>
          <w:sz w:val="22"/>
          <w:szCs w:val="22"/>
          <w:color w:val="auto"/>
        </w:rPr>
        <w:t>, except to the extent arising from (i) any inaccuracy of any information furnished by or on behalf of the Seller Indemnitees, including any financial statements or information, or (ii) the gross negligence, Fraud, bad faith or willful misconduct of, or breach of this Agreement by the Seller Indemnitees.</w:t>
      </w:r>
    </w:p>
    <w:p>
      <w:pPr>
        <w:spacing w:after="0" w:line="189" w:lineRule="exact"/>
        <w:rPr>
          <w:sz w:val="20"/>
          <w:szCs w:val="20"/>
          <w:color w:val="auto"/>
        </w:rPr>
      </w:pPr>
    </w:p>
    <w:p>
      <w:pPr>
        <w:jc w:val="both"/>
        <w:ind w:left="-224" w:firstLine="1304"/>
        <w:spacing w:after="0" w:line="252" w:lineRule="auto"/>
        <w:tabs>
          <w:tab w:leader="none" w:pos="1549"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and its Affiliates hereby consent to the fair and nominative use of their logos in connection with the Debt Financing, but only to the extent that such use (i) is not prohibited by applicable Law, and (ii) is reasonably necessary in connection therewith and such logos are used solely in a manner that is not intended to or reasonably likely to harm or disparage the Seller or its Affiliates or the reputation or goodwill of the Seller and its Affiliates.</w:t>
      </w:r>
    </w:p>
    <w:p>
      <w:pPr>
        <w:spacing w:after="0" w:line="192" w:lineRule="exact"/>
        <w:rPr>
          <w:rFonts w:ascii="Times New Roman" w:cs="Times New Roman" w:eastAsia="Times New Roman" w:hAnsi="Times New Roman"/>
          <w:sz w:val="22"/>
          <w:szCs w:val="22"/>
          <w:color w:val="auto"/>
        </w:rPr>
      </w:pPr>
    </w:p>
    <w:p>
      <w:pPr>
        <w:jc w:val="both"/>
        <w:ind w:left="-224" w:firstLine="1304"/>
        <w:spacing w:after="0" w:line="250" w:lineRule="auto"/>
        <w:tabs>
          <w:tab w:leader="none" w:pos="1648"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the avoidance of doubt and notwithstanding anything to the contrary in this </w:t>
      </w:r>
      <w:r>
        <w:rPr>
          <w:rFonts w:ascii="Times New Roman" w:cs="Times New Roman" w:eastAsia="Times New Roman" w:hAnsi="Times New Roman"/>
          <w:sz w:val="22"/>
          <w:szCs w:val="22"/>
          <w:u w:val="single" w:color="auto"/>
          <w:color w:val="auto"/>
        </w:rPr>
        <w:t>Section 7.19</w:t>
      </w:r>
      <w:r>
        <w:rPr>
          <w:rFonts w:ascii="Times New Roman" w:cs="Times New Roman" w:eastAsia="Times New Roman" w:hAnsi="Times New Roman"/>
          <w:sz w:val="22"/>
          <w:szCs w:val="22"/>
          <w:color w:val="auto"/>
        </w:rPr>
        <w:t xml:space="preserve">, Purchaser acknowledges and agrees that, subject to </w:t>
      </w:r>
      <w:r>
        <w:rPr>
          <w:rFonts w:ascii="Times New Roman" w:cs="Times New Roman" w:eastAsia="Times New Roman" w:hAnsi="Times New Roman"/>
          <w:sz w:val="22"/>
          <w:szCs w:val="22"/>
          <w:u w:val="single" w:color="auto"/>
          <w:color w:val="auto"/>
        </w:rPr>
        <w:t>Section 11.09(b)</w:t>
      </w:r>
      <w:r>
        <w:rPr>
          <w:rFonts w:ascii="Times New Roman" w:cs="Times New Roman" w:eastAsia="Times New Roman" w:hAnsi="Times New Roman"/>
          <w:sz w:val="22"/>
          <w:szCs w:val="22"/>
          <w:color w:val="auto"/>
        </w:rPr>
        <w:t xml:space="preserve">, its obligation to consummate the Transactions on the terms and subject to the conditions set forth herein are not conditioned upon the availability or consummation of the Financing or receipt of the proceeds therefrom and reaffirms its obligation to consummate the Transactions irrespective and independently of the availability of the Financing, subject to fulfillment or waiver of the conditions set forth in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0" w:lineRule="exact"/>
        <w:rPr>
          <w:rFonts w:ascii="Times New Roman" w:cs="Times New Roman" w:eastAsia="Times New Roman" w:hAnsi="Times New Roman"/>
          <w:sz w:val="22"/>
          <w:szCs w:val="22"/>
          <w:color w:val="auto"/>
        </w:rPr>
      </w:pPr>
    </w:p>
    <w:p>
      <w:pPr>
        <w:ind w:left="136" w:hanging="136"/>
        <w:spacing w:after="0"/>
        <w:tabs>
          <w:tab w:leader="none" w:pos="136"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87 -</w:t>
      </w:r>
    </w:p>
    <w:p>
      <w:pPr>
        <w:sectPr>
          <w:pgSz w:w="11900" w:h="16838" w:orient="portrait"/>
          <w:cols w:equalWidth="0" w:num="1">
            <w:col w:w="11016"/>
          </w:cols>
          <w:pgMar w:left="544" w:top="1422" w:right="339" w:bottom="1440" w:gutter="0" w:footer="0" w:header="0"/>
        </w:sectPr>
      </w:pPr>
    </w:p>
    <w:bookmarkStart w:id="156" w:name="page157"/>
    <w:bookmarkEnd w:id="156"/>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For purposes of this </w:t>
      </w:r>
      <w:r>
        <w:rPr>
          <w:rFonts w:ascii="Times New Roman" w:cs="Times New Roman" w:eastAsia="Times New Roman" w:hAnsi="Times New Roman"/>
          <w:sz w:val="22"/>
          <w:szCs w:val="22"/>
          <w:u w:val="single" w:color="auto"/>
          <w:color w:val="auto"/>
        </w:rPr>
        <w:t>Section 7.19</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u w:val="single" w:color="auto"/>
          <w:color w:val="auto"/>
        </w:rPr>
        <w:t>Financing</w:t>
      </w:r>
      <w:r>
        <w:rPr>
          <w:rFonts w:ascii="Times New Roman" w:cs="Times New Roman" w:eastAsia="Times New Roman" w:hAnsi="Times New Roman"/>
          <w:sz w:val="22"/>
          <w:szCs w:val="22"/>
          <w:color w:val="auto"/>
        </w:rPr>
        <w:t>” and the term “</w:t>
      </w:r>
      <w:r>
        <w:rPr>
          <w:rFonts w:ascii="Times New Roman" w:cs="Times New Roman" w:eastAsia="Times New Roman" w:hAnsi="Times New Roman"/>
          <w:sz w:val="22"/>
          <w:szCs w:val="22"/>
          <w:u w:val="single" w:color="auto"/>
          <w:color w:val="auto"/>
        </w:rPr>
        <w:t>Debt Financing</w:t>
      </w:r>
      <w:r>
        <w:rPr>
          <w:rFonts w:ascii="Times New Roman" w:cs="Times New Roman" w:eastAsia="Times New Roman" w:hAnsi="Times New Roman"/>
          <w:sz w:val="22"/>
          <w:szCs w:val="22"/>
          <w:color w:val="auto"/>
        </w:rPr>
        <w:t>” shall, in each case, also be deemed to include any Alternate Financing and the term “</w:t>
      </w:r>
      <w:r>
        <w:rPr>
          <w:rFonts w:ascii="Times New Roman" w:cs="Times New Roman" w:eastAsia="Times New Roman" w:hAnsi="Times New Roman"/>
          <w:sz w:val="22"/>
          <w:szCs w:val="22"/>
          <w:u w:val="single" w:color="auto"/>
          <w:color w:val="auto"/>
        </w:rPr>
        <w:t>Financing Commitment Letters</w:t>
      </w:r>
      <w:r>
        <w:rPr>
          <w:rFonts w:ascii="Times New Roman" w:cs="Times New Roman" w:eastAsia="Times New Roman" w:hAnsi="Times New Roman"/>
          <w:sz w:val="22"/>
          <w:szCs w:val="22"/>
          <w:color w:val="auto"/>
        </w:rPr>
        <w:t>” and the term “Debt Commitment Letter” or “Debt Commitment Letters” shall, in each case, also be deemed to include any commitment letter with respect to such Alternate Financing.</w:t>
      </w:r>
    </w:p>
    <w:p>
      <w:pPr>
        <w:spacing w:after="0" w:line="176" w:lineRule="exact"/>
        <w:rPr>
          <w:sz w:val="20"/>
          <w:szCs w:val="20"/>
          <w:color w:val="auto"/>
        </w:rPr>
      </w:pPr>
    </w:p>
    <w:p>
      <w:pPr>
        <w:ind w:left="1380"/>
        <w:spacing w:after="0"/>
        <w:tabs>
          <w:tab w:leader="none" w:pos="2660" w:val="left"/>
        </w:tabs>
        <w:rPr>
          <w:sz w:val="20"/>
          <w:szCs w:val="20"/>
          <w:color w:val="auto"/>
        </w:rPr>
      </w:pPr>
      <w:r>
        <w:rPr>
          <w:rFonts w:ascii="Times New Roman" w:cs="Times New Roman" w:eastAsia="Times New Roman" w:hAnsi="Times New Roman"/>
          <w:sz w:val="22"/>
          <w:szCs w:val="22"/>
          <w:color w:val="auto"/>
        </w:rPr>
        <w:t>Section 7.20</w:t>
      </w:r>
      <w:r>
        <w:rPr>
          <w:sz w:val="20"/>
          <w:szCs w:val="20"/>
          <w:color w:val="auto"/>
        </w:rPr>
        <w:tab/>
      </w:r>
      <w:r>
        <w:rPr>
          <w:rFonts w:ascii="Times New Roman" w:cs="Times New Roman" w:eastAsia="Times New Roman" w:hAnsi="Times New Roman"/>
          <w:sz w:val="21"/>
          <w:szCs w:val="21"/>
          <w:u w:val="single" w:color="auto"/>
          <w:color w:val="auto"/>
        </w:rPr>
        <w:t>Non-competition; Non-Solicitation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1" w:lineRule="auto"/>
        <w:tabs>
          <w:tab w:leader="none" w:pos="1846"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Seller understands that Purchaser shall be entitled to protect and preserve the going concern value of the Business to the extent permitted by Law and that Purchaser would not have entered into this Agreement absent the provisions of this </w:t>
      </w:r>
      <w:r>
        <w:rPr>
          <w:rFonts w:ascii="Times New Roman" w:cs="Times New Roman" w:eastAsia="Times New Roman" w:hAnsi="Times New Roman"/>
          <w:sz w:val="22"/>
          <w:szCs w:val="22"/>
          <w:u w:val="single" w:color="auto"/>
          <w:color w:val="auto"/>
        </w:rPr>
        <w:t>Section 7.20</w:t>
      </w:r>
      <w:r>
        <w:rPr>
          <w:rFonts w:ascii="Times New Roman" w:cs="Times New Roman" w:eastAsia="Times New Roman" w:hAnsi="Times New Roman"/>
          <w:sz w:val="22"/>
          <w:szCs w:val="22"/>
          <w:color w:val="auto"/>
        </w:rPr>
        <w:t xml:space="preserve">. Therefore, subject to the provisions of this </w:t>
      </w:r>
      <w:r>
        <w:rPr>
          <w:rFonts w:ascii="Times New Roman" w:cs="Times New Roman" w:eastAsia="Times New Roman" w:hAnsi="Times New Roman"/>
          <w:sz w:val="22"/>
          <w:szCs w:val="22"/>
          <w:u w:val="single" w:color="auto"/>
          <w:color w:val="auto"/>
        </w:rPr>
        <w:t>Section 7.20</w:t>
      </w:r>
      <w:r>
        <w:rPr>
          <w:rFonts w:ascii="Times New Roman" w:cs="Times New Roman" w:eastAsia="Times New Roman" w:hAnsi="Times New Roman"/>
          <w:sz w:val="22"/>
          <w:szCs w:val="22"/>
          <w:color w:val="auto"/>
        </w:rPr>
        <w:t>, for a period of five (5) years from the Closing Date, Seller shall not, and Seller shall cause its Affiliates not to, directly or indirectly engage in the Business (such engagement, a “</w:t>
      </w:r>
      <w:r>
        <w:rPr>
          <w:rFonts w:ascii="Times New Roman" w:cs="Times New Roman" w:eastAsia="Times New Roman" w:hAnsi="Times New Roman"/>
          <w:sz w:val="22"/>
          <w:szCs w:val="22"/>
          <w:u w:val="single" w:color="auto"/>
          <w:color w:val="auto"/>
        </w:rPr>
        <w:t>Competitive Activity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it shall not be deemed to be a violation of this </w:t>
      </w:r>
      <w:r>
        <w:rPr>
          <w:rFonts w:ascii="Times New Roman" w:cs="Times New Roman" w:eastAsia="Times New Roman" w:hAnsi="Times New Roman"/>
          <w:sz w:val="22"/>
          <w:szCs w:val="22"/>
          <w:u w:val="single" w:color="auto"/>
          <w:color w:val="auto"/>
        </w:rPr>
        <w:t>Section 7.20</w:t>
      </w:r>
      <w:r>
        <w:rPr>
          <w:rFonts w:ascii="Times New Roman" w:cs="Times New Roman" w:eastAsia="Times New Roman" w:hAnsi="Times New Roman"/>
          <w:sz w:val="22"/>
          <w:szCs w:val="22"/>
          <w:color w:val="auto"/>
        </w:rPr>
        <w:t xml:space="preserve"> for Seller or any of its Affiliates:</w:t>
      </w:r>
    </w:p>
    <w:p>
      <w:pPr>
        <w:spacing w:after="0" w:line="181" w:lineRule="exact"/>
        <w:rPr>
          <w:rFonts w:ascii="Times New Roman" w:cs="Times New Roman" w:eastAsia="Times New Roman" w:hAnsi="Times New Roman"/>
          <w:sz w:val="22"/>
          <w:szCs w:val="22"/>
          <w:color w:val="auto"/>
        </w:rPr>
      </w:pPr>
    </w:p>
    <w:p>
      <w:pPr>
        <w:jc w:val="both"/>
        <w:ind w:left="740" w:firstLine="645"/>
        <w:spacing w:after="0" w:line="251" w:lineRule="auto"/>
        <w:tabs>
          <w:tab w:leader="none" w:pos="1820" w:val="left"/>
        </w:tabs>
        <w:numPr>
          <w:ilvl w:val="2"/>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invest in any Person which invests in, manages or operates a Competitive Activity, so long as Seller’s and its Affiliate’s investment is less than five percent (5%) (in the aggregate) of the outstanding ownership interest in such Person or less than Ten Million Dollars ($10,000,000) in the aggregate and none of Seller or its Affiliate (A) have the right to appoint any member of the board of directors or similar governing body, (B) control, and is not a member of a group that controls, such Person or Competitive Activity and (C) have information rights with respect to the third party conducting the Competitive Activity that are not available to all holders;</w:t>
      </w:r>
    </w:p>
    <w:p>
      <w:pPr>
        <w:spacing w:after="0" w:line="181" w:lineRule="exact"/>
        <w:rPr>
          <w:rFonts w:ascii="Times New Roman" w:cs="Times New Roman" w:eastAsia="Times New Roman" w:hAnsi="Times New Roman"/>
          <w:sz w:val="22"/>
          <w:szCs w:val="22"/>
          <w:color w:val="auto"/>
        </w:rPr>
      </w:pPr>
    </w:p>
    <w:p>
      <w:pPr>
        <w:jc w:val="both"/>
        <w:ind w:left="740" w:firstLine="645"/>
        <w:spacing w:after="0" w:line="260" w:lineRule="auto"/>
        <w:tabs>
          <w:tab w:leader="none" w:pos="1919" w:val="left"/>
        </w:tabs>
        <w:numPr>
          <w:ilvl w:val="2"/>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acquire a Competitive Activity (or a third party engaging in such Competitive Activity) by merger or a purchase of equity or assets of a third party;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if (A) the earnings before interest, income Taxes and extraordinary items, all calculated and determined in accordance with GAAP (the “</w:t>
      </w:r>
      <w:r>
        <w:rPr>
          <w:rFonts w:ascii="Times New Roman" w:cs="Times New Roman" w:eastAsia="Times New Roman" w:hAnsi="Times New Roman"/>
          <w:sz w:val="21"/>
          <w:szCs w:val="21"/>
          <w:u w:val="single" w:color="auto"/>
          <w:color w:val="auto"/>
        </w:rPr>
        <w:t>Annual Operating Income</w:t>
      </w:r>
      <w:r>
        <w:rPr>
          <w:rFonts w:ascii="Times New Roman" w:cs="Times New Roman" w:eastAsia="Times New Roman" w:hAnsi="Times New Roman"/>
          <w:sz w:val="21"/>
          <w:szCs w:val="21"/>
          <w:color w:val="auto"/>
        </w:rPr>
        <w:t>”) of such third party attributable to such Competitive Activity for the most recently completed fiscal year of such third party preceding the acquisition exceeds 25% of the aggregate Annual Operating Income during such period for all of the businesses or operations acquired from such third party or (B) the aggregate Annual Operating Income related to the Competitive Activity during the most recently completed fiscal year of such third party preceding the acquisition exceeds $75,000,000 total aggregate dollar value, Seller shall, and shall cause its applicable Affiliates to, provide Purchaser with a customary right of first offer with respect to the business line, assets or entities engaged in the Competitive Activity (the “</w:t>
      </w:r>
      <w:r>
        <w:rPr>
          <w:rFonts w:ascii="Times New Roman" w:cs="Times New Roman" w:eastAsia="Times New Roman" w:hAnsi="Times New Roman"/>
          <w:sz w:val="21"/>
          <w:szCs w:val="21"/>
          <w:u w:val="single" w:color="auto"/>
          <w:color w:val="auto"/>
        </w:rPr>
        <w:t>Competing Division</w:t>
      </w:r>
      <w:r>
        <w:rPr>
          <w:rFonts w:ascii="Times New Roman" w:cs="Times New Roman" w:eastAsia="Times New Roman" w:hAnsi="Times New Roman"/>
          <w:sz w:val="21"/>
          <w:szCs w:val="21"/>
          <w:color w:val="auto"/>
        </w:rPr>
        <w:t>”). Seller shall provide Purchaser with written notice of its acquisition of the Competing Division within five (5) Business Days after the closing date of such acquisition. During the thirty (30) day period following the date of Seller’s written notice (the “</w:t>
      </w:r>
      <w:r>
        <w:rPr>
          <w:rFonts w:ascii="Times New Roman" w:cs="Times New Roman" w:eastAsia="Times New Roman" w:hAnsi="Times New Roman"/>
          <w:sz w:val="21"/>
          <w:szCs w:val="21"/>
          <w:u w:val="single" w:color="auto"/>
          <w:color w:val="auto"/>
        </w:rPr>
        <w:t>Diligence Period</w:t>
      </w:r>
      <w:r>
        <w:rPr>
          <w:rFonts w:ascii="Times New Roman" w:cs="Times New Roman" w:eastAsia="Times New Roman" w:hAnsi="Times New Roman"/>
          <w:sz w:val="21"/>
          <w:szCs w:val="21"/>
          <w:color w:val="auto"/>
        </w:rPr>
        <w:t>”), Purchaser may conduct commercially reasonable diligence, and Seller shall reasonably cooperate with Purchaser in connection therewith (including by providing Purchaser and its Representatives with reasonable access to personnel and diligence materials), regarding the Competing Division to determine whether Purchaser will make an offer to Seller to purchase the Competing Division. Purchaser’s right of first offer shall automatically and irrevocably terminate if Purchaser does not make a written offer to Seller to purchase the Competing Division prior to the expiration of the Diligence Period. Seller shall consider an offer submitted by Purchaser in accordance with the foregoing requirements in good faith, but shall not be obligated to accept Purchaser’s offer. If Purchaser does not make an offer in writing to purchase the Competing Division prior to the</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12" w:lineRule="exact"/>
        <w:rPr>
          <w:rFonts w:ascii="Times New Roman" w:cs="Times New Roman" w:eastAsia="Times New Roman" w:hAnsi="Times New Roman"/>
          <w:sz w:val="21"/>
          <w:szCs w:val="21"/>
          <w:color w:val="auto"/>
        </w:rPr>
      </w:pPr>
    </w:p>
    <w:p>
      <w:pPr>
        <w:ind w:left="360" w:hanging="136"/>
        <w:spacing w:after="0"/>
        <w:tabs>
          <w:tab w:leader="none" w:pos="36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88 -</w:t>
      </w:r>
    </w:p>
    <w:p>
      <w:pPr>
        <w:sectPr>
          <w:pgSz w:w="11900" w:h="16838" w:orient="portrait"/>
          <w:cols w:equalWidth="0" w:num="1">
            <w:col w:w="11240"/>
          </w:cols>
          <w:pgMar w:left="320" w:top="1422" w:right="339" w:bottom="1440" w:gutter="0" w:footer="0" w:header="0"/>
        </w:sectPr>
      </w:pPr>
    </w:p>
    <w:bookmarkStart w:id="157" w:name="page158"/>
    <w:bookmarkEnd w:id="157"/>
    <w:p>
      <w:pPr>
        <w:jc w:val="both"/>
        <w:ind w:left="516"/>
        <w:spacing w:after="0" w:line="249" w:lineRule="auto"/>
        <w:rPr>
          <w:sz w:val="20"/>
          <w:szCs w:val="20"/>
          <w:color w:val="auto"/>
        </w:rPr>
      </w:pPr>
      <w:r>
        <w:rPr>
          <w:rFonts w:ascii="Times New Roman" w:cs="Times New Roman" w:eastAsia="Times New Roman" w:hAnsi="Times New Roman"/>
          <w:sz w:val="22"/>
          <w:szCs w:val="22"/>
          <w:color w:val="auto"/>
        </w:rPr>
        <w:t>expiration of the Diligence Period or if Seller declines Purchaser’s offer, Seller shall, and shall cause its applicable Affiliates to, (1) use reasonable best efforts (including by engaging an investment banker in furtherance of a bona fide sale process) to enter into a definitive agreement to divest the Competing Division within twelve (12) months after the date on which Seller declines Purchaser’s offer or the Diligence Period expires without Purchaser having submitted a written offer for the Competing Division, and (2) thereafter use commercially reasonable efforts to complete such divestitures as soon as reasonably practicable. In the event that Seller or any of its Affiliates enters into definitive documentation with respect to any acquisition of a Competing Division, Seller shall, and shall cause its Affiliates to, provide Purchaser and its designated Representatives with such access to the provision(s) of the definitive documentation, but subject to confidentiality obligations that are reasonably acceptable to Seller, as is reasonably necessary for Purchaser to determine whether any of the above thresholds has been reached;</w:t>
      </w:r>
    </w:p>
    <w:p>
      <w:pPr>
        <w:spacing w:after="0" w:line="183" w:lineRule="exact"/>
        <w:rPr>
          <w:sz w:val="20"/>
          <w:szCs w:val="20"/>
          <w:color w:val="auto"/>
        </w:rPr>
      </w:pPr>
    </w:p>
    <w:p>
      <w:pPr>
        <w:ind w:left="1696" w:hanging="535"/>
        <w:spacing w:after="0"/>
        <w:tabs>
          <w:tab w:leader="none" w:pos="1696" w:val="left"/>
        </w:tabs>
        <w:numPr>
          <w:ilvl w:val="2"/>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own any securities through any employee benefit plan;</w:t>
      </w:r>
    </w:p>
    <w:p>
      <w:pPr>
        <w:spacing w:after="0" w:line="219" w:lineRule="exact"/>
        <w:rPr>
          <w:rFonts w:ascii="Times New Roman" w:cs="Times New Roman" w:eastAsia="Times New Roman" w:hAnsi="Times New Roman"/>
          <w:sz w:val="22"/>
          <w:szCs w:val="22"/>
          <w:color w:val="auto"/>
        </w:rPr>
      </w:pPr>
    </w:p>
    <w:p>
      <w:pPr>
        <w:jc w:val="both"/>
        <w:ind w:left="516" w:firstLine="645"/>
        <w:spacing w:after="0" w:line="257" w:lineRule="auto"/>
        <w:tabs>
          <w:tab w:leader="none" w:pos="1704" w:val="left"/>
        </w:tabs>
        <w:numPr>
          <w:ilvl w:val="2"/>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perform any Competitive Activity (A) for the benefit of Purchaser or any of its Affiliates (or any of their respective successors or permitted assigns), in each case, at Purchaser’s specific request, or (B) that is required by this Agreement or any Transaction Document;</w:t>
      </w:r>
    </w:p>
    <w:p>
      <w:pPr>
        <w:spacing w:after="0" w:line="186" w:lineRule="exact"/>
        <w:rPr>
          <w:rFonts w:ascii="Times New Roman" w:cs="Times New Roman" w:eastAsia="Times New Roman" w:hAnsi="Times New Roman"/>
          <w:sz w:val="22"/>
          <w:szCs w:val="22"/>
          <w:color w:val="auto"/>
        </w:rPr>
      </w:pPr>
    </w:p>
    <w:p>
      <w:pPr>
        <w:jc w:val="both"/>
        <w:ind w:left="516" w:firstLine="645"/>
        <w:spacing w:after="0" w:line="251" w:lineRule="auto"/>
        <w:tabs>
          <w:tab w:leader="none" w:pos="1759" w:val="left"/>
        </w:tabs>
        <w:numPr>
          <w:ilvl w:val="2"/>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to purchase and use any products of the Business from Purchaser or its Affiliates (or any of their respective successors or permitted assigns) pursuant to any Transaction Document, including the Supply Agreement, (B) to purchase from any third party other than Purchaser or its Affiliates any Polymer Chemicals, chemicals or products used in connection with the Retained Businesses or any other business acquired by Seller or any of its Affiliates after the date of this Agreement, and (C) to produce, manufacture, use, distribute and sell sustainable alternative materials to Polymer Chemicals; or</w:t>
      </w:r>
    </w:p>
    <w:p>
      <w:pPr>
        <w:spacing w:after="0" w:line="181" w:lineRule="exact"/>
        <w:rPr>
          <w:rFonts w:ascii="Times New Roman" w:cs="Times New Roman" w:eastAsia="Times New Roman" w:hAnsi="Times New Roman"/>
          <w:sz w:val="22"/>
          <w:szCs w:val="22"/>
          <w:color w:val="auto"/>
        </w:rPr>
      </w:pPr>
    </w:p>
    <w:p>
      <w:pPr>
        <w:jc w:val="both"/>
        <w:ind w:left="516" w:firstLine="645"/>
        <w:spacing w:after="0" w:line="252" w:lineRule="auto"/>
        <w:tabs>
          <w:tab w:leader="none" w:pos="1806" w:val="left"/>
        </w:tabs>
        <w:numPr>
          <w:ilvl w:val="2"/>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engage in research and development efforts after the Closing Date related to Polymer Chemicals or materials, in each case, solely in the conduct of the Retained Businesses; provided, that neither Seller nor any of its Affiliates shall directly or indirectly offer for sale, sell or distribute Polymer Chemicals for a period of five (5) years after the Closing Date, other than as used in connection with the Retained Businesses.</w:t>
      </w:r>
    </w:p>
    <w:p>
      <w:pPr>
        <w:spacing w:after="0" w:line="192" w:lineRule="exact"/>
        <w:rPr>
          <w:rFonts w:ascii="Times New Roman" w:cs="Times New Roman" w:eastAsia="Times New Roman" w:hAnsi="Times New Roman"/>
          <w:sz w:val="22"/>
          <w:szCs w:val="22"/>
          <w:color w:val="auto"/>
        </w:rPr>
      </w:pPr>
    </w:p>
    <w:p>
      <w:pPr>
        <w:jc w:val="both"/>
        <w:ind w:left="-224" w:firstLine="1304"/>
        <w:spacing w:after="0" w:line="249" w:lineRule="auto"/>
        <w:tabs>
          <w:tab w:leader="none" w:pos="1582"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herein to the contrary, the foregoing covenant shall not apply with respect to any Person or its Affiliates that acquires an interest in all or any portion of the stock or assets of Seller or any of its Affiliates and whether or not prior to such acquisition such Person or its Affiliates were already engaged in a Competitive Activity;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Seller and any of its Affiliates so acquired shall continue to be bound by </w:t>
      </w:r>
      <w:r>
        <w:rPr>
          <w:rFonts w:ascii="Times New Roman" w:cs="Times New Roman" w:eastAsia="Times New Roman" w:hAnsi="Times New Roman"/>
          <w:sz w:val="22"/>
          <w:szCs w:val="22"/>
          <w:u w:val="single" w:color="auto"/>
          <w:color w:val="auto"/>
        </w:rPr>
        <w:t>Section 7.20(a)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further that none of Seller or any of its Affiliates have, directly or indirectly (including through any of their respective Representatives), shared any confidential, proprietary or other competitively sensitive information (regardless of whether such information is a Transferred Asset hereunder) to the extent related to a Competitive Activity with any such Person or its other Affiliates (or any of their respective Representatives).</w:t>
      </w:r>
    </w:p>
    <w:p>
      <w:pPr>
        <w:spacing w:after="0" w:line="181" w:lineRule="exact"/>
        <w:rPr>
          <w:rFonts w:ascii="Times New Roman" w:cs="Times New Roman" w:eastAsia="Times New Roman" w:hAnsi="Times New Roman"/>
          <w:sz w:val="22"/>
          <w:szCs w:val="22"/>
          <w:color w:val="auto"/>
        </w:rPr>
      </w:pPr>
    </w:p>
    <w:p>
      <w:pPr>
        <w:jc w:val="both"/>
        <w:ind w:left="-224" w:firstLine="1304"/>
        <w:spacing w:after="0" w:line="257" w:lineRule="auto"/>
        <w:tabs>
          <w:tab w:leader="none" w:pos="1548"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 period of three (3) years following the Closing Date, Seller shall not, and it shall cause the other Seller Entities not to, without Purchaser’s prior written consent, directly or indirectly (including, without limitation, through any of their respective Representatives or Subsidiaries), solicit for</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2" w:lineRule="exact"/>
        <w:rPr>
          <w:rFonts w:ascii="Times New Roman" w:cs="Times New Roman" w:eastAsia="Times New Roman" w:hAnsi="Times New Roman"/>
          <w:sz w:val="22"/>
          <w:szCs w:val="22"/>
          <w:color w:val="auto"/>
        </w:rPr>
      </w:pPr>
    </w:p>
    <w:p>
      <w:pPr>
        <w:ind w:left="136" w:hanging="136"/>
        <w:spacing w:after="0"/>
        <w:tabs>
          <w:tab w:leader="none" w:pos="136"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89 -</w:t>
      </w:r>
    </w:p>
    <w:p>
      <w:pPr>
        <w:sectPr>
          <w:pgSz w:w="11900" w:h="16838" w:orient="portrait"/>
          <w:cols w:equalWidth="0" w:num="1">
            <w:col w:w="11016"/>
          </w:cols>
          <w:pgMar w:left="544" w:top="1422" w:right="339" w:bottom="1440" w:gutter="0" w:footer="0" w:header="0"/>
        </w:sectPr>
      </w:pPr>
    </w:p>
    <w:bookmarkStart w:id="158" w:name="page159"/>
    <w:bookmarkEnd w:id="158"/>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employment (whether as an officer, director, employee, consultant, temporary employee or otherwise) any Business Employee or hire (whether as an employee, consultant, temporary employee or otherwise) such persons (i) listed on </w:t>
      </w:r>
      <w:r>
        <w:rPr>
          <w:rFonts w:ascii="Times New Roman" w:cs="Times New Roman" w:eastAsia="Times New Roman" w:hAnsi="Times New Roman"/>
          <w:sz w:val="22"/>
          <w:szCs w:val="22"/>
          <w:u w:val="single" w:color="auto"/>
          <w:color w:val="auto"/>
        </w:rPr>
        <w:t>Section 7.20(c)</w:t>
      </w:r>
      <w:r>
        <w:rPr>
          <w:rFonts w:ascii="Times New Roman" w:cs="Times New Roman" w:eastAsia="Times New Roman" w:hAnsi="Times New Roman"/>
          <w:sz w:val="22"/>
          <w:szCs w:val="22"/>
          <w:color w:val="auto"/>
        </w:rPr>
        <w:t xml:space="preserve"> of the Disclosure Letter, (ii) with a base salary as of the date hereof equal to or in excess of $100,000 or (iii) with the job description or title (or substantially similar job description or title) set forth on </w:t>
      </w:r>
      <w:r>
        <w:rPr>
          <w:rFonts w:ascii="Times New Roman" w:cs="Times New Roman" w:eastAsia="Times New Roman" w:hAnsi="Times New Roman"/>
          <w:sz w:val="22"/>
          <w:szCs w:val="22"/>
          <w:u w:val="single" w:color="auto"/>
          <w:color w:val="auto"/>
        </w:rPr>
        <w:t>Section 7.20(c)</w:t>
      </w:r>
      <w:r>
        <w:rPr>
          <w:rFonts w:ascii="Times New Roman" w:cs="Times New Roman" w:eastAsia="Times New Roman" w:hAnsi="Times New Roman"/>
          <w:sz w:val="22"/>
          <w:szCs w:val="22"/>
          <w:color w:val="auto"/>
        </w:rPr>
        <w:t xml:space="preserve"> of the Disclosure Letter, except that this paragraph shall not preclude any Seller Entity or any other person from (i) making any public advertisement or general solicitation, in each case, that is not targeted at any of the foregoing or (ii) soliciting or hiring any person that has been terminated by Purchaser or its Affiliates at least six (6) months prior to commencement of discussions with the soliciting party.</w:t>
      </w:r>
    </w:p>
    <w:p>
      <w:pPr>
        <w:spacing w:after="0" w:line="180" w:lineRule="exact"/>
        <w:rPr>
          <w:sz w:val="20"/>
          <w:szCs w:val="20"/>
          <w:color w:val="auto"/>
        </w:rPr>
      </w:pPr>
    </w:p>
    <w:p>
      <w:pPr>
        <w:jc w:val="both"/>
        <w:ind w:firstLine="1304"/>
        <w:spacing w:after="0" w:line="250" w:lineRule="auto"/>
        <w:tabs>
          <w:tab w:leader="none" w:pos="1962"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a period of three (3) years following the Closing Date, Purchaser shall not, and shall cause its Subsidiaries not to, without Seller’s prior written consent, directly or indirectly (including, without limitation, through Purchaser’s or its Subsidiaries’ Representatives), solicit for employment (whether as an officer, director, employee, consultant, temporary employee or otherwise ) any officer, director or employee of the Seller Group listed on </w:t>
      </w:r>
      <w:r>
        <w:rPr>
          <w:rFonts w:ascii="Times New Roman" w:cs="Times New Roman" w:eastAsia="Times New Roman" w:hAnsi="Times New Roman"/>
          <w:sz w:val="22"/>
          <w:szCs w:val="22"/>
          <w:u w:val="single" w:color="auto"/>
          <w:color w:val="auto"/>
        </w:rPr>
        <w:t>Section 7.20(d)</w:t>
      </w:r>
      <w:r>
        <w:rPr>
          <w:rFonts w:ascii="Times New Roman" w:cs="Times New Roman" w:eastAsia="Times New Roman" w:hAnsi="Times New Roman"/>
          <w:sz w:val="22"/>
          <w:szCs w:val="22"/>
          <w:color w:val="auto"/>
        </w:rPr>
        <w:t xml:space="preserve"> of the Disclosure Letter, except that this paragraph shall not preclude Purchaser or any other person from (i) making any public advertisement or general solicitation, in each case that is not targeted at any of the foregoing or (ii) soliciting or hiring any person that has been terminated by any member of the Seller Group at least six (6) months prior to commencement of discussions with the soliciting party.</w:t>
      </w:r>
    </w:p>
    <w:p>
      <w:pPr>
        <w:spacing w:after="0" w:line="186" w:lineRule="exact"/>
        <w:rPr>
          <w:rFonts w:ascii="Times New Roman" w:cs="Times New Roman" w:eastAsia="Times New Roman" w:hAnsi="Times New Roman"/>
          <w:sz w:val="22"/>
          <w:szCs w:val="22"/>
          <w:color w:val="auto"/>
        </w:rPr>
      </w:pPr>
    </w:p>
    <w:p>
      <w:pPr>
        <w:jc w:val="both"/>
        <w:ind w:firstLine="1304"/>
        <w:spacing w:after="0" w:line="249" w:lineRule="auto"/>
        <w:tabs>
          <w:tab w:leader="none" w:pos="1779"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Seller Indebtedness Releases</w:t>
      </w:r>
      <w:r>
        <w:rPr>
          <w:rFonts w:ascii="Times New Roman" w:cs="Times New Roman" w:eastAsia="Times New Roman" w:hAnsi="Times New Roman"/>
          <w:sz w:val="22"/>
          <w:szCs w:val="22"/>
          <w:color w:val="auto"/>
        </w:rPr>
        <w:t>. Seller shall deliver, at least two (2) Business Days prior to the Closing Date, a customary release letter evidencing the release of the Transferred Assets from the Seller Indebtedness (the “</w:t>
      </w:r>
      <w:r>
        <w:rPr>
          <w:rFonts w:ascii="Times New Roman" w:cs="Times New Roman" w:eastAsia="Times New Roman" w:hAnsi="Times New Roman"/>
          <w:sz w:val="22"/>
          <w:szCs w:val="22"/>
          <w:u w:val="single" w:color="auto"/>
          <w:color w:val="auto"/>
        </w:rPr>
        <w:t>Seller Indebtedness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to Purchaser and the Financing Sources. The Seller Indebtedness Release shall provide that all Liens and all guarantees relating to the Transferred Assets shall be released and terminated upon the consummation of the transactions contemplated hereby (and an undertaking by the applicable agent thereunder to execute and file or permit Seller, Purchaser or their respective designees to file, Uniform Commercial Code termination statements and such other documents or endorsements reasonably necessary to release and terminate such Liens and guarantees). Seller shall bear all costs and expenses incurred by Seller or any of its Affiliates in connection with the Seller Indebtedness Release (including any penalty, payment or prepayment of principal or interest (including prepayment penalties) to the extent due and payable in accordance with the terms of the applicable Seller Indebtedness and in connection with any such Seller Indebtedness Release).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81" w:lineRule="exact"/>
        <w:rPr>
          <w:rFonts w:ascii="Times New Roman" w:cs="Times New Roman" w:eastAsia="Times New Roman" w:hAnsi="Times New Roman"/>
          <w:sz w:val="22"/>
          <w:szCs w:val="22"/>
          <w:color w:val="auto"/>
        </w:rPr>
      </w:pPr>
    </w:p>
    <w:p>
      <w:pPr>
        <w:ind w:left="360" w:hanging="136"/>
        <w:spacing w:after="0"/>
        <w:tabs>
          <w:tab w:leader="none" w:pos="36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90 -</w:t>
      </w:r>
    </w:p>
    <w:p>
      <w:pPr>
        <w:sectPr>
          <w:pgSz w:w="11900" w:h="16838" w:orient="portrait"/>
          <w:cols w:equalWidth="0" w:num="1">
            <w:col w:w="11240"/>
          </w:cols>
          <w:pgMar w:left="320" w:top="1422" w:right="339" w:bottom="1440" w:gutter="0" w:footer="0" w:header="0"/>
        </w:sectPr>
      </w:pPr>
    </w:p>
    <w:bookmarkStart w:id="159" w:name="page160"/>
    <w:bookmarkEnd w:id="159"/>
    <w:p>
      <w:pPr>
        <w:ind w:left="1156"/>
        <w:spacing w:after="0"/>
        <w:tabs>
          <w:tab w:leader="none" w:pos="2436" w:val="left"/>
        </w:tabs>
        <w:rPr>
          <w:sz w:val="20"/>
          <w:szCs w:val="20"/>
          <w:color w:val="auto"/>
        </w:rPr>
      </w:pPr>
      <w:r>
        <w:rPr>
          <w:rFonts w:ascii="Times New Roman" w:cs="Times New Roman" w:eastAsia="Times New Roman" w:hAnsi="Times New Roman"/>
          <w:sz w:val="22"/>
          <w:szCs w:val="22"/>
          <w:color w:val="auto"/>
        </w:rPr>
        <w:t>Section 7.21</w:t>
      </w:r>
      <w:r>
        <w:rPr>
          <w:sz w:val="20"/>
          <w:szCs w:val="20"/>
          <w:color w:val="auto"/>
        </w:rPr>
        <w:tab/>
      </w:r>
      <w:r>
        <w:rPr>
          <w:rFonts w:ascii="Times New Roman" w:cs="Times New Roman" w:eastAsia="Times New Roman" w:hAnsi="Times New Roman"/>
          <w:sz w:val="21"/>
          <w:szCs w:val="21"/>
          <w:u w:val="single" w:color="auto"/>
          <w:color w:val="auto"/>
        </w:rPr>
        <w:t>HR Standup</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224" w:firstLine="1304"/>
        <w:spacing w:after="0" w:line="260" w:lineRule="auto"/>
        <w:tabs>
          <w:tab w:leader="none" w:pos="1531" w:val="left"/>
        </w:tabs>
        <w:numPr>
          <w:ilvl w:val="1"/>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As promptly as reasonably practicable following the date hereof and in any event prior to the Closing, on the terms and subject to the conditions set forth herein, (i) Seller shall, and shall cause its Subsidiaries to, complete the items set forth on </w:t>
      </w:r>
      <w:r>
        <w:rPr>
          <w:rFonts w:ascii="Times New Roman" w:cs="Times New Roman" w:eastAsia="Times New Roman" w:hAnsi="Times New Roman"/>
          <w:sz w:val="21"/>
          <w:szCs w:val="21"/>
          <w:u w:val="single" w:color="auto"/>
          <w:color w:val="auto"/>
        </w:rPr>
        <w:t>Annex 7.21</w:t>
      </w:r>
      <w:r>
        <w:rPr>
          <w:rFonts w:ascii="Times New Roman" w:cs="Times New Roman" w:eastAsia="Times New Roman" w:hAnsi="Times New Roman"/>
          <w:sz w:val="21"/>
          <w:szCs w:val="21"/>
          <w:color w:val="auto"/>
        </w:rPr>
        <w:t xml:space="preserve"> attached hereto under the heading entitled “Seller Requirements”, and (ii) Purchaser shall complete the items set forth on </w:t>
      </w:r>
      <w:r>
        <w:rPr>
          <w:rFonts w:ascii="Times New Roman" w:cs="Times New Roman" w:eastAsia="Times New Roman" w:hAnsi="Times New Roman"/>
          <w:sz w:val="21"/>
          <w:szCs w:val="21"/>
          <w:u w:val="single" w:color="auto"/>
          <w:color w:val="auto"/>
        </w:rPr>
        <w:t>Annex 7.21</w:t>
      </w:r>
      <w:r>
        <w:rPr>
          <w:rFonts w:ascii="Times New Roman" w:cs="Times New Roman" w:eastAsia="Times New Roman" w:hAnsi="Times New Roman"/>
          <w:sz w:val="21"/>
          <w:szCs w:val="21"/>
          <w:color w:val="auto"/>
        </w:rPr>
        <w:t xml:space="preserve"> attached hereto under the heading entitled “Purchaser Requirements”, in each case of clause (i) and (ii), as and to the extent contemplated therein (in the case of clause (i), the “</w:t>
      </w:r>
      <w:r>
        <w:rPr>
          <w:rFonts w:ascii="Times New Roman" w:cs="Times New Roman" w:eastAsia="Times New Roman" w:hAnsi="Times New Roman"/>
          <w:sz w:val="21"/>
          <w:szCs w:val="21"/>
          <w:u w:val="single" w:color="auto"/>
          <w:color w:val="auto"/>
        </w:rPr>
        <w:t>HR Standup</w:t>
      </w:r>
      <w:r>
        <w:rPr>
          <w:rFonts w:ascii="Times New Roman" w:cs="Times New Roman" w:eastAsia="Times New Roman" w:hAnsi="Times New Roman"/>
          <w:sz w:val="21"/>
          <w:szCs w:val="21"/>
          <w:color w:val="auto"/>
        </w:rPr>
        <w:t xml:space="preserve">”). As contemplated in (and without duplication of) </w:t>
      </w:r>
      <w:r>
        <w:rPr>
          <w:rFonts w:ascii="Times New Roman" w:cs="Times New Roman" w:eastAsia="Times New Roman" w:hAnsi="Times New Roman"/>
          <w:sz w:val="21"/>
          <w:szCs w:val="21"/>
          <w:u w:val="single" w:color="auto"/>
          <w:color w:val="auto"/>
        </w:rPr>
        <w:t>Section 3.03(b)(i)</w:t>
      </w:r>
      <w:r>
        <w:rPr>
          <w:rFonts w:ascii="Times New Roman" w:cs="Times New Roman" w:eastAsia="Times New Roman" w:hAnsi="Times New Roman"/>
          <w:sz w:val="21"/>
          <w:szCs w:val="21"/>
          <w:color w:val="auto"/>
        </w:rPr>
        <w:t xml:space="preserve">, Purchaser will reimburse Seller at Closing for 100% of the reasonable, documented, out-of-pocket, third-party fees and expenses incurred by Seller in connection with the HR Standup up to, but in no event in excess of, the HR Standup Amount Cap (as defined in </w:t>
      </w:r>
      <w:r>
        <w:rPr>
          <w:rFonts w:ascii="Times New Roman" w:cs="Times New Roman" w:eastAsia="Times New Roman" w:hAnsi="Times New Roman"/>
          <w:sz w:val="21"/>
          <w:szCs w:val="21"/>
          <w:u w:val="single" w:color="auto"/>
          <w:color w:val="auto"/>
        </w:rPr>
        <w:t>Annex 7.21</w:t>
      </w:r>
      <w:r>
        <w:rPr>
          <w:rFonts w:ascii="Times New Roman" w:cs="Times New Roman" w:eastAsia="Times New Roman" w:hAnsi="Times New Roman"/>
          <w:sz w:val="21"/>
          <w:szCs w:val="21"/>
          <w:color w:val="auto"/>
        </w:rPr>
        <w:t>) (such reimbursable amount, the “</w:t>
      </w:r>
      <w:r>
        <w:rPr>
          <w:rFonts w:ascii="Times New Roman" w:cs="Times New Roman" w:eastAsia="Times New Roman" w:hAnsi="Times New Roman"/>
          <w:sz w:val="21"/>
          <w:szCs w:val="21"/>
          <w:u w:val="single" w:color="auto"/>
          <w:color w:val="auto"/>
        </w:rPr>
        <w:t>HR Standup Amount</w:t>
      </w:r>
      <w:r>
        <w:rPr>
          <w:rFonts w:ascii="Times New Roman" w:cs="Times New Roman" w:eastAsia="Times New Roman" w:hAnsi="Times New Roman"/>
          <w:sz w:val="21"/>
          <w:szCs w:val="21"/>
          <w:color w:val="auto"/>
        </w:rPr>
        <w:t>”). Purchaser shall, and shall cause its applicable Affiliates to, cooperate in good faith with Seller and its Representatives in connection with Seller’s performance of the HR Standup, the Required HR Items and the Seller Requirements, including by timely answering and responding to all reasonable questions and requests from Seller and its Representatives, providing all reasonable documents and information requested by Seller and its Representatives and making its key team members and signatories available during normal business hours in a timely manner with reasonable advance notice to ensure smooth execution of contracting and implementation.</w:t>
      </w:r>
    </w:p>
    <w:p>
      <w:pPr>
        <w:spacing w:after="0" w:line="190" w:lineRule="exact"/>
        <w:rPr>
          <w:rFonts w:ascii="Times New Roman" w:cs="Times New Roman" w:eastAsia="Times New Roman" w:hAnsi="Times New Roman"/>
          <w:sz w:val="21"/>
          <w:szCs w:val="21"/>
          <w:color w:val="auto"/>
        </w:rPr>
      </w:pPr>
    </w:p>
    <w:p>
      <w:pPr>
        <w:jc w:val="both"/>
        <w:ind w:left="-224" w:firstLine="1304"/>
        <w:spacing w:after="0" w:line="257" w:lineRule="auto"/>
        <w:tabs>
          <w:tab w:leader="none" w:pos="1528"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least ten (10) Business Days prior to the Closing Date, Seller shall deliver to Purchaser a written statement certifying the completion of each of the Required HR Items (as defined in </w:t>
      </w:r>
      <w:r>
        <w:rPr>
          <w:rFonts w:ascii="Times New Roman" w:cs="Times New Roman" w:eastAsia="Times New Roman" w:hAnsi="Times New Roman"/>
          <w:sz w:val="22"/>
          <w:szCs w:val="22"/>
          <w:u w:val="single" w:color="auto"/>
          <w:color w:val="auto"/>
        </w:rPr>
        <w:t>Annex 7.21</w:t>
      </w:r>
      <w:r>
        <w:rPr>
          <w:rFonts w:ascii="Times New Roman" w:cs="Times New Roman" w:eastAsia="Times New Roman" w:hAnsi="Times New Roman"/>
          <w:sz w:val="22"/>
          <w:szCs w:val="22"/>
          <w:color w:val="auto"/>
        </w:rPr>
        <w:t xml:space="preserve">) in accordance with and pursuant to this </w:t>
      </w:r>
      <w:r>
        <w:rPr>
          <w:rFonts w:ascii="Times New Roman" w:cs="Times New Roman" w:eastAsia="Times New Roman" w:hAnsi="Times New Roman"/>
          <w:sz w:val="22"/>
          <w:szCs w:val="22"/>
          <w:u w:val="single" w:color="auto"/>
          <w:color w:val="auto"/>
        </w:rPr>
        <w:t>Section 7.21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Annex 7.21</w:t>
      </w:r>
      <w:r>
        <w:rPr>
          <w:rFonts w:ascii="Times New Roman" w:cs="Times New Roman" w:eastAsia="Times New Roman" w:hAnsi="Times New Roman"/>
          <w:sz w:val="22"/>
          <w:szCs w:val="22"/>
          <w:color w:val="auto"/>
        </w:rPr>
        <w:t>, together with reasonable supporting evidence thereof (the “</w:t>
      </w:r>
      <w:r>
        <w:rPr>
          <w:rFonts w:ascii="Times New Roman" w:cs="Times New Roman" w:eastAsia="Times New Roman" w:hAnsi="Times New Roman"/>
          <w:sz w:val="22"/>
          <w:szCs w:val="22"/>
          <w:u w:val="single" w:color="auto"/>
          <w:color w:val="auto"/>
        </w:rPr>
        <w:t>HR Statement</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71" w:lineRule="exact"/>
        <w:rPr>
          <w:rFonts w:ascii="Times New Roman" w:cs="Times New Roman" w:eastAsia="Times New Roman" w:hAnsi="Times New Roman"/>
          <w:sz w:val="22"/>
          <w:szCs w:val="22"/>
          <w:color w:val="auto"/>
        </w:rPr>
      </w:pPr>
    </w:p>
    <w:p>
      <w:pPr>
        <w:ind w:left="136" w:hanging="136"/>
        <w:spacing w:after="0"/>
        <w:tabs>
          <w:tab w:leader="none" w:pos="136"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91 -</w:t>
      </w:r>
    </w:p>
    <w:p>
      <w:pPr>
        <w:sectPr>
          <w:pgSz w:w="11900" w:h="16838" w:orient="portrait"/>
          <w:cols w:equalWidth="0" w:num="1">
            <w:col w:w="11016"/>
          </w:cols>
          <w:pgMar w:left="544" w:top="1422" w:right="339" w:bottom="1440" w:gutter="0" w:footer="0" w:header="0"/>
        </w:sectPr>
      </w:pPr>
    </w:p>
    <w:bookmarkStart w:id="160" w:name="page161"/>
    <w:bookmarkEnd w:id="160"/>
    <w:p>
      <w:pPr>
        <w:ind w:left="72"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7.22 </w:t>
      </w:r>
      <w:r>
        <w:rPr>
          <w:rFonts w:ascii="Times New Roman" w:cs="Times New Roman" w:eastAsia="Times New Roman" w:hAnsi="Times New Roman"/>
          <w:sz w:val="22"/>
          <w:szCs w:val="22"/>
          <w:u w:val="single" w:color="auto"/>
          <w:color w:val="auto"/>
        </w:rPr>
        <w:t>Environmental Covenants</w:t>
      </w:r>
      <w:r>
        <w:rPr>
          <w:rFonts w:ascii="Times New Roman" w:cs="Times New Roman" w:eastAsia="Times New Roman" w:hAnsi="Times New Roman"/>
          <w:sz w:val="22"/>
          <w:szCs w:val="22"/>
          <w:color w:val="auto"/>
        </w:rPr>
        <w:t>. On or prior to the Closing Date, Seller shall record the duly executed environmental covenants running with the Beaumont Plant and Houston Plant, in the forms attached to Annex B hereto.</w:t>
      </w:r>
    </w:p>
    <w:p>
      <w:pPr>
        <w:spacing w:after="0" w:line="158" w:lineRule="exact"/>
        <w:rPr>
          <w:sz w:val="20"/>
          <w:szCs w:val="20"/>
          <w:color w:val="auto"/>
        </w:rPr>
      </w:pPr>
    </w:p>
    <w:p>
      <w:pPr>
        <w:ind w:left="1372"/>
        <w:spacing w:after="0"/>
        <w:tabs>
          <w:tab w:leader="none" w:pos="2652" w:val="left"/>
        </w:tabs>
        <w:rPr>
          <w:sz w:val="20"/>
          <w:szCs w:val="20"/>
          <w:color w:val="auto"/>
        </w:rPr>
      </w:pPr>
      <w:r>
        <w:rPr>
          <w:rFonts w:ascii="Times New Roman" w:cs="Times New Roman" w:eastAsia="Times New Roman" w:hAnsi="Times New Roman"/>
          <w:sz w:val="22"/>
          <w:szCs w:val="22"/>
          <w:color w:val="auto"/>
        </w:rPr>
        <w:t>Section 7.23</w:t>
      </w:r>
      <w:r>
        <w:rPr>
          <w:sz w:val="20"/>
          <w:szCs w:val="20"/>
          <w:color w:val="auto"/>
        </w:rPr>
        <w:tab/>
      </w:r>
      <w:r>
        <w:rPr>
          <w:rFonts w:ascii="Times New Roman" w:cs="Times New Roman" w:eastAsia="Times New Roman" w:hAnsi="Times New Roman"/>
          <w:sz w:val="21"/>
          <w:szCs w:val="21"/>
          <w:u w:val="single" w:color="auto"/>
          <w:color w:val="auto"/>
        </w:rPr>
        <w:t>Supply Agreement Pricing</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8" w:firstLine="1304"/>
        <w:spacing w:after="0" w:line="271" w:lineRule="auto"/>
        <w:tabs>
          <w:tab w:leader="none" w:pos="1798"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Capitalized terms used in this </w:t>
      </w:r>
      <w:r>
        <w:rPr>
          <w:rFonts w:ascii="Times New Roman" w:cs="Times New Roman" w:eastAsia="Times New Roman" w:hAnsi="Times New Roman"/>
          <w:sz w:val="22"/>
          <w:szCs w:val="22"/>
          <w:u w:val="single" w:color="auto"/>
          <w:color w:val="auto"/>
        </w:rPr>
        <w:t>Section 7.23,</w:t>
      </w:r>
      <w:r>
        <w:rPr>
          <w:rFonts w:ascii="Times New Roman" w:cs="Times New Roman" w:eastAsia="Times New Roman" w:hAnsi="Times New Roman"/>
          <w:sz w:val="22"/>
          <w:szCs w:val="22"/>
          <w:color w:val="auto"/>
        </w:rPr>
        <w:t xml:space="preserve"> but not defined in this Agreement, shall have the meanings set forth in the Supply Agreement.</w:t>
      </w:r>
    </w:p>
    <w:p>
      <w:pPr>
        <w:spacing w:after="0" w:line="157" w:lineRule="exact"/>
        <w:rPr>
          <w:rFonts w:ascii="Times New Roman" w:cs="Times New Roman" w:eastAsia="Times New Roman" w:hAnsi="Times New Roman"/>
          <w:sz w:val="22"/>
          <w:szCs w:val="22"/>
          <w:color w:val="auto"/>
        </w:rPr>
      </w:pPr>
    </w:p>
    <w:p>
      <w:pPr>
        <w:jc w:val="both"/>
        <w:ind w:left="-8" w:firstLine="1304"/>
        <w:spacing w:after="0" w:line="247" w:lineRule="auto"/>
        <w:tabs>
          <w:tab w:leader="none" w:pos="1772"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terms of this </w:t>
      </w:r>
      <w:r>
        <w:rPr>
          <w:rFonts w:ascii="Times New Roman" w:cs="Times New Roman" w:eastAsia="Times New Roman" w:hAnsi="Times New Roman"/>
          <w:sz w:val="22"/>
          <w:szCs w:val="22"/>
          <w:u w:val="single" w:color="auto"/>
          <w:color w:val="auto"/>
        </w:rPr>
        <w:t>Section 7.23</w:t>
      </w:r>
      <w:r>
        <w:rPr>
          <w:rFonts w:ascii="Times New Roman" w:cs="Times New Roman" w:eastAsia="Times New Roman" w:hAnsi="Times New Roman"/>
          <w:sz w:val="22"/>
          <w:szCs w:val="22"/>
          <w:color w:val="auto"/>
        </w:rPr>
        <w:t xml:space="preserve">, during the period from the date of this Agreement until the Closing Date (or such earlier date on which this Agreement is terminated pursuant to </w:t>
      </w:r>
      <w:r>
        <w:rPr>
          <w:rFonts w:ascii="Times New Roman" w:cs="Times New Roman" w:eastAsia="Times New Roman" w:hAnsi="Times New Roman"/>
          <w:sz w:val="22"/>
          <w:szCs w:val="22"/>
          <w:u w:val="single" w:color="auto"/>
          <w:color w:val="auto"/>
        </w:rPr>
        <w:t>Section 9.01</w:t>
      </w:r>
      <w:r>
        <w:rPr>
          <w:rFonts w:ascii="Times New Roman" w:cs="Times New Roman" w:eastAsia="Times New Roman" w:hAnsi="Times New Roman"/>
          <w:sz w:val="22"/>
          <w:szCs w:val="22"/>
          <w:color w:val="auto"/>
        </w:rPr>
        <w:t>), Purchaser and the Seller shall use their respective reasonable best efforts (unless, with respect to any action, another standard of performance is expressly provided for herein) to promptly take, or cause to be taken, all actions, and do, or cause to be done, and assist and cooperate, or cause to assist and cooperate, with the other parties and their respective Representatives in doing, all things necessary, proper or advisable to calculate the Product Price for each Product as of the Effective Date of the Supply Agreement and in accordance with the Supply Agreement. No later than seven (7) days following the date of this Agreement, Seller shall deliver to Purchaser a schedule of the initial Product Price by Product (the “</w:t>
      </w:r>
      <w:r>
        <w:rPr>
          <w:rFonts w:ascii="Times New Roman" w:cs="Times New Roman" w:eastAsia="Times New Roman" w:hAnsi="Times New Roman"/>
          <w:sz w:val="22"/>
          <w:szCs w:val="22"/>
          <w:u w:val="single" w:color="auto"/>
          <w:color w:val="auto"/>
        </w:rPr>
        <w:t>Price Schedule</w:t>
      </w:r>
      <w:r>
        <w:rPr>
          <w:rFonts w:ascii="Times New Roman" w:cs="Times New Roman" w:eastAsia="Times New Roman" w:hAnsi="Times New Roman"/>
          <w:sz w:val="22"/>
          <w:szCs w:val="22"/>
          <w:color w:val="auto"/>
        </w:rPr>
        <w:t xml:space="preserve">”) based on the true and accurate Fixed Costs and Variable Costs for production per pound of such Product at the relevant Initial Facility at which such Product is manufactured attributable to the volume of such products manufactured by Goodyear during the prior month or the last month such Product was manufactured, as applicable, and provide reasonable supporting details (including underlying data listed on </w:t>
      </w:r>
      <w:r>
        <w:rPr>
          <w:rFonts w:ascii="Times New Roman" w:cs="Times New Roman" w:eastAsia="Times New Roman" w:hAnsi="Times New Roman"/>
          <w:sz w:val="22"/>
          <w:szCs w:val="22"/>
          <w:u w:val="single" w:color="auto"/>
          <w:color w:val="auto"/>
        </w:rPr>
        <w:t>Annex 7.23(b)</w:t>
      </w:r>
      <w:r>
        <w:rPr>
          <w:rFonts w:ascii="Times New Roman" w:cs="Times New Roman" w:eastAsia="Times New Roman" w:hAnsi="Times New Roman"/>
          <w:sz w:val="22"/>
          <w:szCs w:val="22"/>
          <w:color w:val="auto"/>
        </w:rPr>
        <w:t>) on its calculation of each Product Price (together with the Price Schedule, the “</w:t>
      </w:r>
      <w:r>
        <w:rPr>
          <w:rFonts w:ascii="Times New Roman" w:cs="Times New Roman" w:eastAsia="Times New Roman" w:hAnsi="Times New Roman"/>
          <w:sz w:val="22"/>
          <w:szCs w:val="22"/>
          <w:u w:val="single" w:color="auto"/>
          <w:color w:val="auto"/>
        </w:rPr>
        <w:t>Pro Forma Price Calculation</w:t>
      </w:r>
      <w:r>
        <w:rPr>
          <w:rFonts w:ascii="Times New Roman" w:cs="Times New Roman" w:eastAsia="Times New Roman" w:hAnsi="Times New Roman"/>
          <w:sz w:val="22"/>
          <w:szCs w:val="22"/>
          <w:color w:val="auto"/>
        </w:rPr>
        <w:t>”). During the sixty (60) day period following delivery of the Pro Forma Price Calculation, upon Purchaser’s written request (email sufficient), Seller shall hold a workshop or workshops (in such number as Purchaser may reasonably request and at a mutually acceptable place and time) with Purchaser and its Representatives to discuss in good faith the Pro Forma Price Calculation, including the calculation of the amounts set forth on the Price Schedule.</w:t>
      </w:r>
    </w:p>
    <w:p>
      <w:pPr>
        <w:spacing w:after="0" w:line="194" w:lineRule="exact"/>
        <w:rPr>
          <w:rFonts w:ascii="Times New Roman" w:cs="Times New Roman" w:eastAsia="Times New Roman" w:hAnsi="Times New Roman"/>
          <w:sz w:val="22"/>
          <w:szCs w:val="22"/>
          <w:color w:val="auto"/>
        </w:rPr>
      </w:pPr>
    </w:p>
    <w:p>
      <w:pPr>
        <w:ind w:left="1792" w:hanging="496"/>
        <w:spacing w:after="0"/>
        <w:tabs>
          <w:tab w:leader="none" w:pos="1792" w:val="left"/>
        </w:tabs>
        <w:numPr>
          <w:ilvl w:val="1"/>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 period from the date of delivery of the Pro Forma Price Calculation through such date that is fourteen</w:t>
      </w:r>
    </w:p>
    <w:p>
      <w:pPr>
        <w:spacing w:after="0" w:line="39" w:lineRule="exact"/>
        <w:rPr>
          <w:rFonts w:ascii="Times New Roman" w:cs="Times New Roman" w:eastAsia="Times New Roman" w:hAnsi="Times New Roman"/>
          <w:sz w:val="21"/>
          <w:szCs w:val="21"/>
          <w:color w:val="auto"/>
        </w:rPr>
      </w:pPr>
    </w:p>
    <w:p>
      <w:pPr>
        <w:jc w:val="both"/>
        <w:ind w:left="-8" w:firstLine="8"/>
        <w:spacing w:after="0" w:line="245" w:lineRule="auto"/>
        <w:tabs>
          <w:tab w:leader="none" w:pos="426"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following the conclusion of such sixty (60) day period (the period from the date of delivery of the Pro Forma Price Calculation through the expiration of such fourteen (14)-day period, the “</w:t>
      </w:r>
      <w:r>
        <w:rPr>
          <w:rFonts w:ascii="Times New Roman" w:cs="Times New Roman" w:eastAsia="Times New Roman" w:hAnsi="Times New Roman"/>
          <w:sz w:val="22"/>
          <w:szCs w:val="22"/>
          <w:u w:val="single" w:color="auto"/>
          <w:color w:val="auto"/>
        </w:rPr>
        <w:t>Review Period</w:t>
      </w:r>
      <w:r>
        <w:rPr>
          <w:rFonts w:ascii="Times New Roman" w:cs="Times New Roman" w:eastAsia="Times New Roman" w:hAnsi="Times New Roman"/>
          <w:sz w:val="22"/>
          <w:szCs w:val="22"/>
          <w:color w:val="auto"/>
        </w:rPr>
        <w:t xml:space="preserve">”), Purchaser shall have the right to identify any instances in which Purchaser believes the Pro Forma Price Calculation is inconsistent with (i) the Supply Agreement, including: (x) how any proposed costs used to develop the Pro Forma Price Calculation are allocated as either Fixed Cost or Variable Cost; (y) the classification (or misclassification) of costs by category or type; or (z) the allocation of Variable Costs by volume to Products and related allocation of variances between standard and actual costs, or (ii) </w:t>
      </w:r>
      <w:r>
        <w:rPr>
          <w:rFonts w:ascii="Times New Roman" w:cs="Times New Roman" w:eastAsia="Times New Roman" w:hAnsi="Times New Roman"/>
          <w:sz w:val="22"/>
          <w:szCs w:val="22"/>
          <w:u w:val="single" w:color="auto"/>
          <w:color w:val="auto"/>
        </w:rPr>
        <w:t>Section 7.23(b)</w:t>
      </w:r>
      <w:r>
        <w:rPr>
          <w:rFonts w:ascii="Times New Roman" w:cs="Times New Roman" w:eastAsia="Times New Roman" w:hAnsi="Times New Roman"/>
          <w:sz w:val="22"/>
          <w:szCs w:val="22"/>
          <w:color w:val="auto"/>
        </w:rPr>
        <w:t>. During the Review Period, Seller shall, and shall cause its Affiliates and its and their respective Representatives to, promptly provide assistance to Purchaser and its Representatives reasonably necessary for Purchaser and its Representatives to review and otherwise evaluate the sufficiency, accuracy and completeness of the proposed Pro Forma Price Calculation and Seller’s development of the same, including, by way of illustration, by promptly providing and causing its Affiliates and its and their respective Representatives to promptly provide Purchaser and its Representative with access to (i) supporting information and documentation and (ii) relevant internal and external Representatives of Seller and its Affiliates, in each case, upon Purchaser’s written request (email sufficient).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22"/>
          <w:szCs w:val="22"/>
          <w:color w:val="auto"/>
        </w:rPr>
        <w:t>- 92 -</w:t>
      </w:r>
    </w:p>
    <w:p>
      <w:pPr>
        <w:sectPr>
          <w:pgSz w:w="11900" w:h="16838" w:orient="portrait"/>
          <w:cols w:equalWidth="0" w:num="1">
            <w:col w:w="11232"/>
          </w:cols>
          <w:pgMar w:left="328" w:top="1422" w:right="339" w:bottom="1440" w:gutter="0" w:footer="0" w:header="0"/>
        </w:sectPr>
      </w:pPr>
    </w:p>
    <w:bookmarkStart w:id="161" w:name="page162"/>
    <w:bookmarkEnd w:id="161"/>
    <w:p>
      <w:pPr>
        <w:jc w:val="both"/>
        <w:ind w:left="-8" w:firstLine="1304"/>
        <w:spacing w:after="0" w:line="261" w:lineRule="auto"/>
        <w:tabs>
          <w:tab w:leader="none" w:pos="1875" w:val="left"/>
        </w:tabs>
        <w:numPr>
          <w:ilvl w:val="2"/>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Seller’s Pro Forma Price Calculation shall become final and binding upon the expiration of the Review Period unless Purchaser delivers to Seller prior to the expiration of the Review Period written notice of disagreement (along with reasonable supporting information) (a “</w:t>
      </w:r>
      <w:r>
        <w:rPr>
          <w:rFonts w:ascii="Times New Roman" w:cs="Times New Roman" w:eastAsia="Times New Roman" w:hAnsi="Times New Roman"/>
          <w:sz w:val="21"/>
          <w:szCs w:val="21"/>
          <w:u w:val="single" w:color="auto"/>
          <w:color w:val="auto"/>
        </w:rPr>
        <w:t>Supply Notice of Disagreement</w:t>
      </w:r>
      <w:r>
        <w:rPr>
          <w:rFonts w:ascii="Times New Roman" w:cs="Times New Roman" w:eastAsia="Times New Roman" w:hAnsi="Times New Roman"/>
          <w:sz w:val="21"/>
          <w:szCs w:val="21"/>
          <w:color w:val="auto"/>
        </w:rPr>
        <w:t>”) with respect to the Pro Forma Price Calculation and its specific objections thereto. If a timely Supply Notice of Disagreement is delivered to Seller, then the Pro Forma Price Calculation (as revised in accordance with this sentence) shall become final and binding on the earlier of (i) the date on which Purchaser and Seller resolve in writing any differences they have with respect to the matters specified in the Supply Notice of Disagreement and</w:t>
      </w:r>
    </w:p>
    <w:p>
      <w:pPr>
        <w:jc w:val="both"/>
        <w:ind w:left="-8" w:firstLine="8"/>
        <w:spacing w:after="0" w:line="246" w:lineRule="auto"/>
        <w:tabs>
          <w:tab w:leader="none" w:pos="336"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date on which all such disputed matters are finally resolved in writing by the Independent Consultant pursuant to the procedures set forth in </w:t>
      </w:r>
      <w:r>
        <w:rPr>
          <w:rFonts w:ascii="Times New Roman" w:cs="Times New Roman" w:eastAsia="Times New Roman" w:hAnsi="Times New Roman"/>
          <w:sz w:val="22"/>
          <w:szCs w:val="22"/>
          <w:u w:val="single" w:color="auto"/>
          <w:color w:val="auto"/>
        </w:rPr>
        <w:t>Section 7.23(e)</w:t>
      </w:r>
      <w:r>
        <w:rPr>
          <w:rFonts w:ascii="Times New Roman" w:cs="Times New Roman" w:eastAsia="Times New Roman" w:hAnsi="Times New Roman"/>
          <w:sz w:val="22"/>
          <w:szCs w:val="22"/>
          <w:color w:val="auto"/>
        </w:rPr>
        <w:t xml:space="preserve"> below. The Pro Forma Price Calculation as finally determined pursuant to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7.23</w:t>
      </w:r>
      <w:r>
        <w:rPr>
          <w:rFonts w:ascii="Times New Roman" w:cs="Times New Roman" w:eastAsia="Times New Roman" w:hAnsi="Times New Roman"/>
          <w:sz w:val="22"/>
          <w:szCs w:val="22"/>
          <w:color w:val="auto"/>
        </w:rPr>
        <w:t xml:space="preserve"> is hereinafter referred to as the “</w:t>
      </w:r>
      <w:r>
        <w:rPr>
          <w:rFonts w:ascii="Times New Roman" w:cs="Times New Roman" w:eastAsia="Times New Roman" w:hAnsi="Times New Roman"/>
          <w:sz w:val="22"/>
          <w:szCs w:val="22"/>
          <w:u w:val="single" w:color="auto"/>
          <w:color w:val="auto"/>
        </w:rPr>
        <w:t>Final Pro Forma Price Calculation</w:t>
      </w:r>
      <w:r>
        <w:rPr>
          <w:rFonts w:ascii="Times New Roman" w:cs="Times New Roman" w:eastAsia="Times New Roman" w:hAnsi="Times New Roman"/>
          <w:sz w:val="22"/>
          <w:szCs w:val="22"/>
          <w:color w:val="auto"/>
        </w:rPr>
        <w:t>”. During the thirty (30) day period following the delivery of a Supply Notice of Disagreement, Purchaser and Seller shall work in good faith to resolve in writing any differences that they may have with respect to the matters specified in the Supply Notice of Disagreement, with all such communications, information and documentation being governed by Rule 408 of the Federal Rule of Evidence.</w:t>
      </w:r>
    </w:p>
    <w:p>
      <w:pPr>
        <w:spacing w:after="0" w:line="188" w:lineRule="exact"/>
        <w:rPr>
          <w:rFonts w:ascii="Times New Roman" w:cs="Times New Roman" w:eastAsia="Times New Roman" w:hAnsi="Times New Roman"/>
          <w:sz w:val="22"/>
          <w:szCs w:val="22"/>
          <w:color w:val="auto"/>
        </w:rPr>
      </w:pPr>
    </w:p>
    <w:p>
      <w:pPr>
        <w:jc w:val="both"/>
        <w:ind w:left="-8" w:firstLine="1304"/>
        <w:spacing w:after="0" w:line="247" w:lineRule="auto"/>
        <w:tabs>
          <w:tab w:leader="none" w:pos="1800" w:val="left"/>
        </w:tabs>
        <w:numPr>
          <w:ilvl w:val="2"/>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parties are unable to reach agreement on the matters specified in the Supply Notice of Disagreement within thirty (30) days after delivery of the Supply Notice of Disagreement, the matter shall promptly (and in any event within two Business Days thereafter) be submitted to Grant Thornton LLP (the “</w:t>
      </w:r>
      <w:r>
        <w:rPr>
          <w:rFonts w:ascii="Times New Roman" w:cs="Times New Roman" w:eastAsia="Times New Roman" w:hAnsi="Times New Roman"/>
          <w:sz w:val="22"/>
          <w:szCs w:val="22"/>
          <w:u w:val="single" w:color="auto"/>
          <w:color w:val="auto"/>
        </w:rPr>
        <w:t>Independent Consultant</w:t>
      </w:r>
      <w:r>
        <w:rPr>
          <w:rFonts w:ascii="Times New Roman" w:cs="Times New Roman" w:eastAsia="Times New Roman" w:hAnsi="Times New Roman"/>
          <w:sz w:val="22"/>
          <w:szCs w:val="22"/>
          <w:color w:val="auto"/>
        </w:rPr>
        <w:t xml:space="preserve">”), which shall provide its analysis of all matters contained in the Supply Notice of Disagreement that remain in dispute. The parties shall instruct the Independent Consultant to render its decision as to such disputed items and the effect of its decision on the Pro Forma Price Calculation not later than sixty (60) days (or such longer period as mutually agreed in writing (email sufficient) by the parties) after the date of such submission;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in no event shall the parties instruct the Independent Consultant to, and in no event will the Independent Consultant, render its decision as to such disputed items and the effect of its decision on the Pro Forma Price Calculation later than October 24, 2025 (the first to occur of such dates, the “</w:t>
      </w:r>
      <w:r>
        <w:rPr>
          <w:rFonts w:ascii="Times New Roman" w:cs="Times New Roman" w:eastAsia="Times New Roman" w:hAnsi="Times New Roman"/>
          <w:sz w:val="22"/>
          <w:szCs w:val="22"/>
          <w:u w:val="single" w:color="auto"/>
          <w:color w:val="auto"/>
        </w:rPr>
        <w:t>Resolution Deadline</w:t>
      </w:r>
      <w:r>
        <w:rPr>
          <w:rFonts w:ascii="Times New Roman" w:cs="Times New Roman" w:eastAsia="Times New Roman" w:hAnsi="Times New Roman"/>
          <w:sz w:val="22"/>
          <w:szCs w:val="22"/>
          <w:color w:val="auto"/>
        </w:rPr>
        <w:t xml:space="preserve">”). Each party shall furnish to the Independent Consultant such relevant documents and information relating to the disputed items, and shall provide interviews, answer questions and otherwise cooperate with the Independent Consultant as the Independent Consultant may reasonably request in connection with its determination of such disputed items (and such documents, information and all other communications shall be simultaneously made or delivered to the other party). In the event either party shall participate in teleconferences or meetings with, or make presentations to, the Independent Consultant, the other party shall be entitled to reasonable advance notice of, and to participate in, such teleconferences, meetings or presentations. Notwithstanding anything herein to the contrary, there shall be no </w:t>
      </w:r>
      <w:r>
        <w:rPr>
          <w:rFonts w:ascii="Times New Roman" w:cs="Times New Roman" w:eastAsia="Times New Roman" w:hAnsi="Times New Roman"/>
          <w:sz w:val="22"/>
          <w:szCs w:val="22"/>
          <w:i w:val="1"/>
          <w:iCs w:val="1"/>
          <w:color w:val="auto"/>
        </w:rPr>
        <w:t>ex parte</w:t>
      </w:r>
      <w:r>
        <w:rPr>
          <w:rFonts w:ascii="Times New Roman" w:cs="Times New Roman" w:eastAsia="Times New Roman" w:hAnsi="Times New Roman"/>
          <w:sz w:val="22"/>
          <w:szCs w:val="22"/>
          <w:color w:val="auto"/>
        </w:rPr>
        <w:t xml:space="preserve"> communications with the Independent Consultant without the other party’s prior written consent. The terms of appointment and engagement of the Independent Consultant shall be as contemplated herein and otherwise agreed upon between the parties in writing. In analyzing any such disputed item, the Independent Consultant (i) shall act in the capacity of an expert and not as an arbitrator, (ii) shall limit its review to matters specifically set forth in the Supply Notice of Disagreement as to a disputed item (other than matters thereafter resolved by mutual written agreement of the parties) and whether or not such disputed item has been determined in accordance with the Supply Agreement and </w:t>
      </w:r>
      <w:r>
        <w:rPr>
          <w:rFonts w:ascii="Times New Roman" w:cs="Times New Roman" w:eastAsia="Times New Roman" w:hAnsi="Times New Roman"/>
          <w:sz w:val="22"/>
          <w:szCs w:val="22"/>
          <w:u w:val="single" w:color="auto"/>
          <w:color w:val="auto"/>
        </w:rPr>
        <w:t>Section 7.23(b)</w:t>
      </w:r>
      <w:r>
        <w:rPr>
          <w:rFonts w:ascii="Times New Roman" w:cs="Times New Roman" w:eastAsia="Times New Roman" w:hAnsi="Times New Roman"/>
          <w:sz w:val="22"/>
          <w:szCs w:val="22"/>
          <w:color w:val="auto"/>
        </w:rPr>
        <w:t xml:space="preserve">, (iii) shall limit its review to what items should be included as components of the Fixed Costs and Variable Costs in accordance with the Supply Agreement and </w:t>
      </w:r>
      <w:r>
        <w:rPr>
          <w:rFonts w:ascii="Times New Roman" w:cs="Times New Roman" w:eastAsia="Times New Roman" w:hAnsi="Times New Roman"/>
          <w:sz w:val="22"/>
          <w:szCs w:val="22"/>
          <w:u w:val="single" w:color="auto"/>
          <w:color w:val="auto"/>
        </w:rPr>
        <w:t>Section 7.23(b)</w:t>
      </w:r>
      <w:r>
        <w:rPr>
          <w:rFonts w:ascii="Times New Roman" w:cs="Times New Roman" w:eastAsia="Times New Roman" w:hAnsi="Times New Roman"/>
          <w:sz w:val="22"/>
          <w:szCs w:val="22"/>
          <w:color w:val="auto"/>
        </w:rPr>
        <w:t xml:space="preserve"> and (iv) shall not assign a value to any disputed item greater than the greatest value for such item claimed by either party or less than the smallest value for such item claimed by either party in the Pro Forma Price Calculation or in</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6" w:lineRule="exact"/>
        <w:rPr>
          <w:rFonts w:ascii="Times New Roman" w:cs="Times New Roman" w:eastAsia="Times New Roman" w:hAnsi="Times New Roman"/>
          <w:sz w:val="22"/>
          <w:szCs w:val="22"/>
          <w:color w:val="auto"/>
        </w:rPr>
      </w:pPr>
    </w:p>
    <w:p>
      <w:pPr>
        <w:ind w:left="352" w:hanging="136"/>
        <w:spacing w:after="0"/>
        <w:tabs>
          <w:tab w:leader="none" w:pos="352"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93 -</w:t>
      </w:r>
    </w:p>
    <w:p>
      <w:pPr>
        <w:sectPr>
          <w:pgSz w:w="11900" w:h="16838" w:orient="portrait"/>
          <w:cols w:equalWidth="0" w:num="1">
            <w:col w:w="11232"/>
          </w:cols>
          <w:pgMar w:left="328" w:top="1422" w:right="339" w:bottom="1440" w:gutter="0" w:footer="0" w:header="0"/>
        </w:sectPr>
      </w:pPr>
    </w:p>
    <w:bookmarkStart w:id="162" w:name="page163"/>
    <w:bookmarkEnd w:id="162"/>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the Supply Notice of Disagreement, as applicable. The Independent Consultant is not authorized to, and shall not, make any other determination, including any determination with respect to any matter included in the Pro Forma Price Calculation or the Supply Notice of Disagreement that was not submitted for review to the Independent Consultant. No later than the Resolution Deadline, the Independent Consultant shall prepare and deliver to the parties a report of the disputed items submitted to it pursuant to this </w:t>
      </w:r>
      <w:r>
        <w:rPr>
          <w:rFonts w:ascii="Times New Roman" w:cs="Times New Roman" w:eastAsia="Times New Roman" w:hAnsi="Times New Roman"/>
          <w:sz w:val="22"/>
          <w:szCs w:val="22"/>
          <w:u w:val="single" w:color="auto"/>
          <w:color w:val="auto"/>
        </w:rPr>
        <w:t>Section 7.23(e)</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Report</w:t>
      </w:r>
      <w:r>
        <w:rPr>
          <w:rFonts w:ascii="Times New Roman" w:cs="Times New Roman" w:eastAsia="Times New Roman" w:hAnsi="Times New Roman"/>
          <w:sz w:val="22"/>
          <w:szCs w:val="22"/>
          <w:color w:val="auto"/>
        </w:rPr>
        <w:t xml:space="preserve">”), which shall (i) be in writing, (ii) include the Independent Consultant’s calculation of the Fixed Cost and Variable Cost for each applicable Product, (iii) include the Independent Consultant’s analysis and determination of each disputed item submitted to it pursuant to this </w:t>
      </w:r>
      <w:r>
        <w:rPr>
          <w:rFonts w:ascii="Times New Roman" w:cs="Times New Roman" w:eastAsia="Times New Roman" w:hAnsi="Times New Roman"/>
          <w:sz w:val="22"/>
          <w:szCs w:val="22"/>
          <w:u w:val="single" w:color="auto"/>
          <w:color w:val="auto"/>
        </w:rPr>
        <w:t>Section 7.23(e)</w:t>
      </w:r>
      <w:r>
        <w:rPr>
          <w:rFonts w:ascii="Times New Roman" w:cs="Times New Roman" w:eastAsia="Times New Roman" w:hAnsi="Times New Roman"/>
          <w:sz w:val="22"/>
          <w:szCs w:val="22"/>
          <w:color w:val="auto"/>
        </w:rPr>
        <w:t xml:space="preserve"> and (iv) include a reasonably detailed report of the Independent Consultant’s reasons for its analysis and determination regarding each such disputed item. The Report (including the Independent Consultant’s final determination of the disputed items contained therein) shall be final and binding on the parties (absent fraud or manifest error) and an order may be entered in respect thereof by a court having jurisdiction over the party against which such determination is to be enforced. All fees and expenses relating to the work, if any, performed by the Independent Consultant shall be borne by Seller and Purchaser fifty-fifty.</w:t>
      </w:r>
    </w:p>
    <w:p>
      <w:pPr>
        <w:spacing w:after="0" w:line="184" w:lineRule="exact"/>
        <w:rPr>
          <w:sz w:val="20"/>
          <w:szCs w:val="20"/>
          <w:color w:val="auto"/>
        </w:rPr>
      </w:pPr>
    </w:p>
    <w:p>
      <w:pPr>
        <w:jc w:val="both"/>
        <w:ind w:firstLine="1304"/>
        <w:spacing w:after="0" w:line="248" w:lineRule="auto"/>
        <w:tabs>
          <w:tab w:leader="none" w:pos="1761"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five (5) Business Days (but no less than two (2) Business Days) prior to the Closing Date, the Seller shall provide the Purchaser with the Price Schedule calculated pursuant to the Final Pro Forma Price Calculation based on the then current Fixed Costs and Variable Costs, and the parties shall update Schedules B-3 and B-4 of the Supply Agreement to reflect any applicable revisions to the Product Price Illustrative Calculation Methodology and Sample Product Price Calculation thereon, and Purchaser shall during the initial quarter of the term of the Supply Agreement invoice Products based on such Price Schedule starting on the Closing Date, and thereafter Purchaser shall update the Price Schedule in accordance with the Supply Agreement, provided, the Final Pro Forma Price Calculation, and any applicable revisions to Schedules B-3 and B-4, shall be purely illustrative in nature with respect to updating of Price Schedule after the Closing Date and is not intended to contradict or override the calculation of Product Price as outlined in Schedules B, B-1 and B-2 of the Supply Agreement, provided, further, and for clarity, nothing herein shall permit Supplier (as defined in the Supply Agreement) the right to revise the Fixed Cost codes listed on Schedule B-2 of the Supply Agreement inconsistent with the Supply Agreement.</w:t>
      </w:r>
    </w:p>
    <w:p>
      <w:pPr>
        <w:spacing w:after="0" w:line="189" w:lineRule="exact"/>
        <w:rPr>
          <w:sz w:val="20"/>
          <w:szCs w:val="20"/>
          <w:color w:val="auto"/>
        </w:rPr>
      </w:pPr>
    </w:p>
    <w:p>
      <w:pPr>
        <w:ind w:left="1380"/>
        <w:spacing w:after="0"/>
        <w:tabs>
          <w:tab w:leader="none" w:pos="2660" w:val="left"/>
        </w:tabs>
        <w:rPr>
          <w:sz w:val="20"/>
          <w:szCs w:val="20"/>
          <w:color w:val="auto"/>
        </w:rPr>
      </w:pPr>
      <w:r>
        <w:rPr>
          <w:rFonts w:ascii="Times New Roman" w:cs="Times New Roman" w:eastAsia="Times New Roman" w:hAnsi="Times New Roman"/>
          <w:sz w:val="22"/>
          <w:szCs w:val="22"/>
          <w:color w:val="auto"/>
        </w:rPr>
        <w:t>Section 7.24</w:t>
      </w:r>
      <w:r>
        <w:rPr>
          <w:sz w:val="20"/>
          <w:szCs w:val="20"/>
          <w:color w:val="auto"/>
        </w:rPr>
        <w:tab/>
      </w:r>
      <w:r>
        <w:rPr>
          <w:rFonts w:ascii="Times New Roman" w:cs="Times New Roman" w:eastAsia="Times New Roman" w:hAnsi="Times New Roman"/>
          <w:sz w:val="21"/>
          <w:szCs w:val="21"/>
          <w:u w:val="single" w:color="auto"/>
          <w:color w:val="auto"/>
        </w:rPr>
        <w:t>Third-Party Specifications and Safety Data Sheets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4"/>
        <w:spacing w:after="0" w:line="252" w:lineRule="auto"/>
        <w:tabs>
          <w:tab w:leader="none" w:pos="1846"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Third Party Specifications</w:t>
      </w:r>
      <w:r>
        <w:rPr>
          <w:rFonts w:ascii="Times New Roman" w:cs="Times New Roman" w:eastAsia="Times New Roman" w:hAnsi="Times New Roman"/>
          <w:sz w:val="22"/>
          <w:szCs w:val="22"/>
          <w:color w:val="auto"/>
        </w:rPr>
        <w:t>. Promptly following the date of this Agreement (but in any event prior to the Closing), Seller shall, and shall cause the other members of the Seller Group to, provide to Purchaser current version non-duplicative copies of all the Third Party Specifications related to, or used or held for use in, or necessary for, the conduct of the Business, on a “rolling basis.”</w:t>
      </w:r>
    </w:p>
    <w:p>
      <w:pPr>
        <w:spacing w:after="0" w:line="179" w:lineRule="exact"/>
        <w:rPr>
          <w:rFonts w:ascii="Times New Roman" w:cs="Times New Roman" w:eastAsia="Times New Roman" w:hAnsi="Times New Roman"/>
          <w:sz w:val="22"/>
          <w:szCs w:val="22"/>
          <w:color w:val="auto"/>
        </w:rPr>
      </w:pPr>
    </w:p>
    <w:p>
      <w:pPr>
        <w:ind w:right="20" w:firstLine="1304"/>
        <w:spacing w:after="0" w:line="271" w:lineRule="auto"/>
        <w:tabs>
          <w:tab w:leader="none" w:pos="1818"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Safety Data Sheets</w:t>
      </w:r>
      <w:r>
        <w:rPr>
          <w:rFonts w:ascii="Times New Roman" w:cs="Times New Roman" w:eastAsia="Times New Roman" w:hAnsi="Times New Roman"/>
          <w:sz w:val="22"/>
          <w:szCs w:val="22"/>
          <w:color w:val="auto"/>
        </w:rPr>
        <w:t>. Promptly following the date of this Agreement (but in any event prior to the Closing), Seller shall, and shall cause the other members of the Seller Group to, provide to Purchaser copies of the Safety Data Sheets.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6" w:lineRule="exact"/>
        <w:rPr>
          <w:rFonts w:ascii="Times New Roman" w:cs="Times New Roman" w:eastAsia="Times New Roman" w:hAnsi="Times New Roman"/>
          <w:sz w:val="22"/>
          <w:szCs w:val="22"/>
          <w:color w:val="auto"/>
        </w:rPr>
      </w:pPr>
    </w:p>
    <w:p>
      <w:pPr>
        <w:ind w:left="360" w:hanging="136"/>
        <w:spacing w:after="0"/>
        <w:tabs>
          <w:tab w:leader="none" w:pos="36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94 -</w:t>
      </w:r>
    </w:p>
    <w:p>
      <w:pPr>
        <w:sectPr>
          <w:pgSz w:w="11900" w:h="16838" w:orient="portrait"/>
          <w:cols w:equalWidth="0" w:num="1">
            <w:col w:w="11240"/>
          </w:cols>
          <w:pgMar w:left="320" w:top="1422" w:right="339" w:bottom="1440" w:gutter="0" w:footer="0" w:header="0"/>
        </w:sectPr>
      </w:pPr>
    </w:p>
    <w:bookmarkStart w:id="163" w:name="page164"/>
    <w:bookmarkEnd w:id="163"/>
    <w:p>
      <w:pPr>
        <w:jc w:val="center"/>
        <w:spacing w:after="0"/>
        <w:rPr>
          <w:sz w:val="20"/>
          <w:szCs w:val="20"/>
          <w:color w:val="auto"/>
        </w:rPr>
      </w:pPr>
      <w:r>
        <w:rPr>
          <w:rFonts w:ascii="Times New Roman" w:cs="Times New Roman" w:eastAsia="Times New Roman" w:hAnsi="Times New Roman"/>
          <w:sz w:val="22"/>
          <w:szCs w:val="22"/>
          <w:color w:val="auto"/>
        </w:rPr>
        <w:t>ARTICLE VIII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Conditions to Closing</w:t>
      </w:r>
    </w:p>
    <w:p>
      <w:pPr>
        <w:spacing w:after="0" w:line="220" w:lineRule="exact"/>
        <w:rPr>
          <w:sz w:val="20"/>
          <w:szCs w:val="20"/>
          <w:color w:val="auto"/>
        </w:rPr>
      </w:pPr>
    </w:p>
    <w:p>
      <w:pPr>
        <w:jc w:val="both"/>
        <w:ind w:left="80"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8.01 </w:t>
      </w:r>
      <w:r>
        <w:rPr>
          <w:rFonts w:ascii="Times New Roman" w:cs="Times New Roman" w:eastAsia="Times New Roman" w:hAnsi="Times New Roman"/>
          <w:sz w:val="22"/>
          <w:szCs w:val="22"/>
          <w:u w:val="single" w:color="auto"/>
          <w:color w:val="auto"/>
        </w:rPr>
        <w:t>Conditions to Each Party’s Obligations to Effect the Closing</w:t>
      </w:r>
      <w:r>
        <w:rPr>
          <w:rFonts w:ascii="Times New Roman" w:cs="Times New Roman" w:eastAsia="Times New Roman" w:hAnsi="Times New Roman"/>
          <w:sz w:val="22"/>
          <w:szCs w:val="22"/>
          <w:color w:val="auto"/>
        </w:rPr>
        <w:t>. The respective obligations of each party to effect the Closing are subject to the satisfaction or (to the extent permitted by applicable Law) waiver on or prior to the Closing of the following conditions:</w:t>
      </w:r>
    </w:p>
    <w:p>
      <w:pPr>
        <w:spacing w:after="0" w:line="167" w:lineRule="exact"/>
        <w:rPr>
          <w:sz w:val="20"/>
          <w:szCs w:val="20"/>
          <w:color w:val="auto"/>
        </w:rPr>
      </w:pPr>
    </w:p>
    <w:p>
      <w:pPr>
        <w:jc w:val="both"/>
        <w:ind w:firstLine="1304"/>
        <w:spacing w:after="0" w:line="253" w:lineRule="auto"/>
        <w:tabs>
          <w:tab w:leader="none" w:pos="1779"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Legal Prohibition</w:t>
      </w:r>
      <w:r>
        <w:rPr>
          <w:rFonts w:ascii="Times New Roman" w:cs="Times New Roman" w:eastAsia="Times New Roman" w:hAnsi="Times New Roman"/>
          <w:sz w:val="22"/>
          <w:szCs w:val="22"/>
          <w:color w:val="auto"/>
        </w:rPr>
        <w:t>. No Law shall have been adopted or promulgated, or shall be in effect, and no temporary, preliminary or permanent Judgment issued by a court or other Governmental Authority of competent jurisdiction (collectively, “</w:t>
      </w:r>
      <w:r>
        <w:rPr>
          <w:rFonts w:ascii="Times New Roman" w:cs="Times New Roman" w:eastAsia="Times New Roman" w:hAnsi="Times New Roman"/>
          <w:sz w:val="22"/>
          <w:szCs w:val="22"/>
          <w:u w:val="single" w:color="auto"/>
          <w:color w:val="auto"/>
        </w:rPr>
        <w:t>Restraints</w:t>
      </w:r>
      <w:r>
        <w:rPr>
          <w:rFonts w:ascii="Times New Roman" w:cs="Times New Roman" w:eastAsia="Times New Roman" w:hAnsi="Times New Roman"/>
          <w:sz w:val="22"/>
          <w:szCs w:val="22"/>
          <w:color w:val="auto"/>
        </w:rPr>
        <w:t>”) shall be in effect, in each case having the effect of making the Transactions illegal or otherwise prohibiting consummation of the Transactions, nor shall any Action commenced by any Governmental Authority seeking any such Restraint be pending.</w:t>
      </w:r>
    </w:p>
    <w:p>
      <w:pPr>
        <w:spacing w:after="0" w:line="178"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04"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Governmental Approvals</w:t>
      </w:r>
      <w:r>
        <w:rPr>
          <w:rFonts w:ascii="Times New Roman" w:cs="Times New Roman" w:eastAsia="Times New Roman" w:hAnsi="Times New Roman"/>
          <w:sz w:val="22"/>
          <w:szCs w:val="22"/>
          <w:color w:val="auto"/>
        </w:rPr>
        <w:t xml:space="preserve">. (i) The waiting period (and any extension thereof) applicable to the Transactions under the HSR Act shall have been terminated or shall have expired and (ii) the Consents of any other Governmental Authorities set forth in </w:t>
      </w:r>
      <w:r>
        <w:rPr>
          <w:rFonts w:ascii="Times New Roman" w:cs="Times New Roman" w:eastAsia="Times New Roman" w:hAnsi="Times New Roman"/>
          <w:sz w:val="22"/>
          <w:szCs w:val="22"/>
          <w:u w:val="single" w:color="auto"/>
          <w:color w:val="auto"/>
        </w:rPr>
        <w:t>Section 8.01(b)</w:t>
      </w:r>
      <w:r>
        <w:rPr>
          <w:rFonts w:ascii="Times New Roman" w:cs="Times New Roman" w:eastAsia="Times New Roman" w:hAnsi="Times New Roman"/>
          <w:sz w:val="22"/>
          <w:szCs w:val="22"/>
          <w:color w:val="auto"/>
        </w:rPr>
        <w:t xml:space="preserve"> of the Disclosure Letter shall have been received and shall be in full force and effect.</w:t>
      </w:r>
    </w:p>
    <w:p>
      <w:pPr>
        <w:spacing w:after="0" w:line="172" w:lineRule="exact"/>
        <w:rPr>
          <w:rFonts w:ascii="Times New Roman" w:cs="Times New Roman" w:eastAsia="Times New Roman" w:hAnsi="Times New Roman"/>
          <w:sz w:val="22"/>
          <w:szCs w:val="22"/>
          <w:color w:val="auto"/>
        </w:rPr>
      </w:pPr>
    </w:p>
    <w:p>
      <w:pPr>
        <w:ind w:left="1820" w:hanging="516"/>
        <w:spacing w:after="0"/>
        <w:tabs>
          <w:tab w:leader="none" w:pos="182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Supply Agreement Pricing</w:t>
      </w:r>
      <w:r>
        <w:rPr>
          <w:rFonts w:ascii="Times New Roman" w:cs="Times New Roman" w:eastAsia="Times New Roman" w:hAnsi="Times New Roman"/>
          <w:sz w:val="22"/>
          <w:szCs w:val="22"/>
          <w:color w:val="auto"/>
        </w:rPr>
        <w:t>. The Final Pro Forma Price Calculation has been finally determined pursuant to</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7.23</w:t>
      </w:r>
      <w:r>
        <w:rPr>
          <w:rFonts w:ascii="Times New Roman" w:cs="Times New Roman" w:eastAsia="Times New Roman" w:hAnsi="Times New Roman"/>
          <w:sz w:val="22"/>
          <w:szCs w:val="22"/>
          <w:color w:val="auto"/>
        </w:rPr>
        <w:t>.</w:t>
      </w:r>
    </w:p>
    <w:p>
      <w:pPr>
        <w:spacing w:after="0" w:line="207" w:lineRule="exact"/>
        <w:rPr>
          <w:sz w:val="20"/>
          <w:szCs w:val="20"/>
          <w:color w:val="auto"/>
        </w:rPr>
      </w:pPr>
    </w:p>
    <w:p>
      <w:pPr>
        <w:jc w:val="both"/>
        <w:ind w:left="80"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8.02 </w:t>
      </w:r>
      <w:r>
        <w:rPr>
          <w:rFonts w:ascii="Times New Roman" w:cs="Times New Roman" w:eastAsia="Times New Roman" w:hAnsi="Times New Roman"/>
          <w:sz w:val="22"/>
          <w:szCs w:val="22"/>
          <w:u w:val="single" w:color="auto"/>
          <w:color w:val="auto"/>
        </w:rPr>
        <w:t>Additional Conditions to Obligations of Purchaser</w:t>
      </w:r>
      <w:r>
        <w:rPr>
          <w:rFonts w:ascii="Times New Roman" w:cs="Times New Roman" w:eastAsia="Times New Roman" w:hAnsi="Times New Roman"/>
          <w:sz w:val="22"/>
          <w:szCs w:val="22"/>
          <w:color w:val="auto"/>
        </w:rPr>
        <w:t>. The obligations of Purchaser to effect the Closing are further subject to the satisfaction or (to the extent permitted by applicable Law) waiver by Purchaser on or prior to the Closing of the following conditions:</w:t>
      </w:r>
    </w:p>
    <w:p>
      <w:pPr>
        <w:spacing w:after="0" w:line="173" w:lineRule="exact"/>
        <w:rPr>
          <w:sz w:val="20"/>
          <w:szCs w:val="20"/>
          <w:color w:val="auto"/>
        </w:rPr>
      </w:pPr>
    </w:p>
    <w:p>
      <w:pPr>
        <w:jc w:val="both"/>
        <w:ind w:firstLine="1304"/>
        <w:spacing w:after="0" w:line="248" w:lineRule="auto"/>
        <w:tabs>
          <w:tab w:leader="none" w:pos="1833"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 of the Seller.</w:t>
      </w:r>
      <w:r>
        <w:rPr>
          <w:rFonts w:ascii="Times New Roman" w:cs="Times New Roman" w:eastAsia="Times New Roman" w:hAnsi="Times New Roman"/>
          <w:sz w:val="22"/>
          <w:szCs w:val="22"/>
          <w:color w:val="auto"/>
        </w:rPr>
        <w:t xml:space="preserve"> (i) Each of the Seller Fundamental Representations (without giving effect to any “materiality” or “Material Adverse Effect” or similar qualifications contained in such representations and warranties) shall be true and correct in all but </w:t>
      </w:r>
      <w:r>
        <w:rPr>
          <w:rFonts w:ascii="Times New Roman" w:cs="Times New Roman" w:eastAsia="Times New Roman" w:hAnsi="Times New Roman"/>
          <w:sz w:val="22"/>
          <w:szCs w:val="22"/>
          <w:i w:val="1"/>
          <w:iCs w:val="1"/>
          <w:color w:val="auto"/>
        </w:rPr>
        <w:t>de minimis</w:t>
      </w:r>
      <w:r>
        <w:rPr>
          <w:rFonts w:ascii="Times New Roman" w:cs="Times New Roman" w:eastAsia="Times New Roman" w:hAnsi="Times New Roman"/>
          <w:sz w:val="22"/>
          <w:szCs w:val="22"/>
          <w:color w:val="auto"/>
        </w:rPr>
        <w:t xml:space="preserve"> respects on and as of the date hereof and on and as of the Closing Date, as if made on and as of such date (other than representations and warranties made as of a specified date, which shall be true and correct as of the date specified), (ii) the representations and warranties set forth in </w:t>
      </w:r>
      <w:r>
        <w:rPr>
          <w:rFonts w:ascii="Times New Roman" w:cs="Times New Roman" w:eastAsia="Times New Roman" w:hAnsi="Times New Roman"/>
          <w:sz w:val="22"/>
          <w:szCs w:val="22"/>
          <w:u w:val="single" w:color="auto"/>
          <w:color w:val="auto"/>
        </w:rPr>
        <w:t>Section 4.05</w:t>
      </w:r>
      <w:r>
        <w:rPr>
          <w:rFonts w:ascii="Times New Roman" w:cs="Times New Roman" w:eastAsia="Times New Roman" w:hAnsi="Times New Roman"/>
          <w:sz w:val="22"/>
          <w:szCs w:val="22"/>
          <w:color w:val="auto"/>
        </w:rPr>
        <w:t xml:space="preserve"> (Sufficiency of Assets) (without giving effect to any “materiality” or “Material Adverse Effect” or similar qualifications contained in such representations and warranties) shall be true and correct in all material respects, on and as of the date hereof and on and as of the Closing Date, as if made on and as of such date, and (iii) all other representations and warranties of the Seller contained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shall be true and correct (without giving effect to any “materiality” or “Material Adverse Effect” or similar qualifications contained in such representations and warranties) on and as of the date hereof and on and as of the Closing Date, as if made on and as of such date (except to the extent expressly made as of an earlier date, in which case as of such date), except where the failure of such representations and warranties to be so true and correct would not have, individually or in the aggregate, a Material Adverse Effect.</w:t>
      </w:r>
    </w:p>
    <w:p>
      <w:pPr>
        <w:spacing w:after="0" w:line="192"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58"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of Obligations.</w:t>
      </w:r>
      <w:r>
        <w:rPr>
          <w:rFonts w:ascii="Times New Roman" w:cs="Times New Roman" w:eastAsia="Times New Roman" w:hAnsi="Times New Roman"/>
          <w:sz w:val="22"/>
          <w:szCs w:val="22"/>
          <w:color w:val="auto"/>
        </w:rPr>
        <w:t xml:space="preserve"> The Seller shall have performed in all material respects and complied in all material respects with all agreements and covenants required to be performed or complied with by Seller under this Agreement at or prior to the Closing.</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2" w:lineRule="exact"/>
        <w:rPr>
          <w:rFonts w:ascii="Times New Roman" w:cs="Times New Roman" w:eastAsia="Times New Roman" w:hAnsi="Times New Roman"/>
          <w:sz w:val="22"/>
          <w:szCs w:val="22"/>
          <w:color w:val="auto"/>
        </w:rPr>
      </w:pPr>
    </w:p>
    <w:p>
      <w:pPr>
        <w:ind w:left="360" w:hanging="136"/>
        <w:spacing w:after="0"/>
        <w:tabs>
          <w:tab w:leader="none" w:pos="36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95 -</w:t>
      </w:r>
    </w:p>
    <w:p>
      <w:pPr>
        <w:sectPr>
          <w:pgSz w:w="11900" w:h="16838" w:orient="portrait"/>
          <w:cols w:equalWidth="0" w:num="1">
            <w:col w:w="11240"/>
          </w:cols>
          <w:pgMar w:left="320" w:top="1422" w:right="339" w:bottom="1440" w:gutter="0" w:footer="0" w:header="0"/>
        </w:sectPr>
      </w:pPr>
    </w:p>
    <w:bookmarkStart w:id="164" w:name="page165"/>
    <w:bookmarkEnd w:id="164"/>
    <w:p>
      <w:pPr>
        <w:jc w:val="both"/>
        <w:ind w:left="-80" w:firstLine="1304"/>
        <w:spacing w:after="0" w:line="257" w:lineRule="auto"/>
        <w:tabs>
          <w:tab w:leader="none" w:pos="1672"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Certificate</w:t>
      </w:r>
      <w:r>
        <w:rPr>
          <w:rFonts w:ascii="Times New Roman" w:cs="Times New Roman" w:eastAsia="Times New Roman" w:hAnsi="Times New Roman"/>
          <w:sz w:val="22"/>
          <w:szCs w:val="22"/>
          <w:color w:val="auto"/>
        </w:rPr>
        <w:t xml:space="preserve">. Seller shall have delivered to Purchaser a certificate dated as of the Closing Date and executed by an authorized officer of Seller to the effect that each of the conditions specified in </w:t>
      </w:r>
      <w:r>
        <w:rPr>
          <w:rFonts w:ascii="Times New Roman" w:cs="Times New Roman" w:eastAsia="Times New Roman" w:hAnsi="Times New Roman"/>
          <w:sz w:val="22"/>
          <w:szCs w:val="22"/>
          <w:u w:val="single" w:color="auto"/>
          <w:color w:val="auto"/>
        </w:rPr>
        <w:t>Sections 8.02(a)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is satisfied in all respects.</w:t>
      </w:r>
    </w:p>
    <w:p>
      <w:pPr>
        <w:spacing w:after="0" w:line="186" w:lineRule="exact"/>
        <w:rPr>
          <w:rFonts w:ascii="Times New Roman" w:cs="Times New Roman" w:eastAsia="Times New Roman" w:hAnsi="Times New Roman"/>
          <w:sz w:val="22"/>
          <w:szCs w:val="22"/>
          <w:color w:val="auto"/>
        </w:rPr>
      </w:pPr>
    </w:p>
    <w:p>
      <w:pPr>
        <w:ind w:left="1700" w:hanging="476"/>
        <w:spacing w:after="0"/>
        <w:tabs>
          <w:tab w:leader="none" w:pos="170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Material Adverse Effect</w:t>
      </w:r>
      <w:r>
        <w:rPr>
          <w:rFonts w:ascii="Times New Roman" w:cs="Times New Roman" w:eastAsia="Times New Roman" w:hAnsi="Times New Roman"/>
          <w:sz w:val="22"/>
          <w:szCs w:val="22"/>
          <w:color w:val="auto"/>
        </w:rPr>
        <w:t>. Since the date of this Agreement, there has been no Material Adverse Effect.</w:t>
      </w:r>
    </w:p>
    <w:p>
      <w:pPr>
        <w:spacing w:after="0" w:line="219" w:lineRule="exact"/>
        <w:rPr>
          <w:rFonts w:ascii="Times New Roman" w:cs="Times New Roman" w:eastAsia="Times New Roman" w:hAnsi="Times New Roman"/>
          <w:sz w:val="22"/>
          <w:szCs w:val="22"/>
          <w:color w:val="auto"/>
        </w:rPr>
      </w:pPr>
    </w:p>
    <w:p>
      <w:pPr>
        <w:jc w:val="both"/>
        <w:ind w:left="-80" w:firstLine="1304"/>
        <w:spacing w:after="0" w:line="252" w:lineRule="auto"/>
        <w:tabs>
          <w:tab w:leader="none" w:pos="1861"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Closing Deliveries</w:t>
      </w:r>
      <w:r>
        <w:rPr>
          <w:rFonts w:ascii="Times New Roman" w:cs="Times New Roman" w:eastAsia="Times New Roman" w:hAnsi="Times New Roman"/>
          <w:sz w:val="22"/>
          <w:szCs w:val="22"/>
          <w:color w:val="auto"/>
        </w:rPr>
        <w:t xml:space="preserve">. Seller shall have delivered or caused to be delivered to Purchaser all documents (including counterpart signatures) required to be delivered pursuant to </w:t>
      </w:r>
      <w:r>
        <w:rPr>
          <w:rFonts w:ascii="Times New Roman" w:cs="Times New Roman" w:eastAsia="Times New Roman" w:hAnsi="Times New Roman"/>
          <w:sz w:val="22"/>
          <w:szCs w:val="22"/>
          <w:u w:val="single" w:color="auto"/>
          <w:color w:val="auto"/>
        </w:rPr>
        <w:t>Section 3.03(a)</w:t>
      </w:r>
      <w:r>
        <w:rPr>
          <w:rFonts w:ascii="Times New Roman" w:cs="Times New Roman" w:eastAsia="Times New Roman" w:hAnsi="Times New Roman"/>
          <w:sz w:val="22"/>
          <w:szCs w:val="22"/>
          <w:color w:val="auto"/>
        </w:rPr>
        <w:t xml:space="preserve">, provided, that the document set forth in clause (x) of </w:t>
      </w:r>
      <w:r>
        <w:rPr>
          <w:rFonts w:ascii="Times New Roman" w:cs="Times New Roman" w:eastAsia="Times New Roman" w:hAnsi="Times New Roman"/>
          <w:sz w:val="22"/>
          <w:szCs w:val="22"/>
          <w:u w:val="single" w:color="auto"/>
          <w:color w:val="auto"/>
        </w:rPr>
        <w:t>Section 3.03(a)</w:t>
      </w:r>
      <w:r>
        <w:rPr>
          <w:rFonts w:ascii="Times New Roman" w:cs="Times New Roman" w:eastAsia="Times New Roman" w:hAnsi="Times New Roman"/>
          <w:sz w:val="22"/>
          <w:szCs w:val="22"/>
          <w:color w:val="auto"/>
        </w:rPr>
        <w:t xml:space="preserve"> are expressly excluded from this </w:t>
      </w:r>
      <w:r>
        <w:rPr>
          <w:rFonts w:ascii="Times New Roman" w:cs="Times New Roman" w:eastAsia="Times New Roman" w:hAnsi="Times New Roman"/>
          <w:sz w:val="22"/>
          <w:szCs w:val="22"/>
          <w:u w:val="single" w:color="auto"/>
          <w:color w:val="auto"/>
        </w:rPr>
        <w:t>Section 8.02(e)</w:t>
      </w:r>
      <w:r>
        <w:rPr>
          <w:rFonts w:ascii="Times New Roman" w:cs="Times New Roman" w:eastAsia="Times New Roman" w:hAnsi="Times New Roman"/>
          <w:sz w:val="22"/>
          <w:szCs w:val="22"/>
          <w:color w:val="auto"/>
        </w:rPr>
        <w:t xml:space="preserve"> and is not a condition to Closing under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8.02(e)</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jc w:val="both"/>
        <w:ind w:right="20"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8.03 </w:t>
      </w:r>
      <w:r>
        <w:rPr>
          <w:rFonts w:ascii="Times New Roman" w:cs="Times New Roman" w:eastAsia="Times New Roman" w:hAnsi="Times New Roman"/>
          <w:sz w:val="22"/>
          <w:szCs w:val="22"/>
          <w:u w:val="single" w:color="auto"/>
          <w:color w:val="auto"/>
        </w:rPr>
        <w:t>Conditions to Obligations of the Seller</w:t>
      </w:r>
      <w:r>
        <w:rPr>
          <w:rFonts w:ascii="Times New Roman" w:cs="Times New Roman" w:eastAsia="Times New Roman" w:hAnsi="Times New Roman"/>
          <w:sz w:val="22"/>
          <w:szCs w:val="22"/>
          <w:color w:val="auto"/>
        </w:rPr>
        <w:t>. The obligations of the Seller to effect the Closing are further subject to the satisfaction or (to the extent permitted by applicable Law) waiver by the Seller on or prior to the Closing of the following conditions:</w:t>
      </w:r>
    </w:p>
    <w:p>
      <w:pPr>
        <w:spacing w:after="0" w:line="173" w:lineRule="exact"/>
        <w:rPr>
          <w:sz w:val="20"/>
          <w:szCs w:val="20"/>
          <w:color w:val="auto"/>
        </w:rPr>
      </w:pPr>
    </w:p>
    <w:p>
      <w:pPr>
        <w:jc w:val="both"/>
        <w:ind w:left="-80" w:firstLine="1304"/>
        <w:spacing w:after="0" w:line="249" w:lineRule="auto"/>
        <w:tabs>
          <w:tab w:leader="none" w:pos="1861"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 of Purchaser.</w:t>
      </w:r>
      <w:r>
        <w:rPr>
          <w:rFonts w:ascii="Times New Roman" w:cs="Times New Roman" w:eastAsia="Times New Roman" w:hAnsi="Times New Roman"/>
          <w:sz w:val="22"/>
          <w:szCs w:val="22"/>
          <w:color w:val="auto"/>
        </w:rPr>
        <w:t xml:space="preserve"> (i) Each of the Purchaser Fundamental Representations (without giving effect to any “materiality” or “Material Adverse Effect” or similar qualifications contained in such representations and warranties) shall be true and correct in all but </w:t>
      </w:r>
      <w:r>
        <w:rPr>
          <w:rFonts w:ascii="Times New Roman" w:cs="Times New Roman" w:eastAsia="Times New Roman" w:hAnsi="Times New Roman"/>
          <w:sz w:val="22"/>
          <w:szCs w:val="22"/>
          <w:i w:val="1"/>
          <w:iCs w:val="1"/>
          <w:color w:val="auto"/>
        </w:rPr>
        <w:t>de minimis</w:t>
      </w:r>
      <w:r>
        <w:rPr>
          <w:rFonts w:ascii="Times New Roman" w:cs="Times New Roman" w:eastAsia="Times New Roman" w:hAnsi="Times New Roman"/>
          <w:sz w:val="22"/>
          <w:szCs w:val="22"/>
          <w:color w:val="auto"/>
        </w:rPr>
        <w:t xml:space="preserve"> respects on and as of the date hereof and on and as of the Closing Date, as if made on and as of such date (other than representations and warranties made as of a specified date, which shall be true and correct as of the date specified), and (ii) each of the representations and warranties of Purchaser contained in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shall be true and correct (without giving effect to any materiality or “Purchaser Material Adverse Effect” or similar qualifications contained in such representations and warranties) on and as of the date hereof and on and as of the Closing Date, as if made on and as of such date (except to the extent expressly made as of an earlier date, in which case as of such date), except where the failure of such representations and warranties to be so true and correct would not have, individually or in the aggregate, a Purchaser Material Adverse Effect.</w:t>
      </w:r>
    </w:p>
    <w:p>
      <w:pPr>
        <w:spacing w:after="0" w:line="183" w:lineRule="exact"/>
        <w:rPr>
          <w:rFonts w:ascii="Times New Roman" w:cs="Times New Roman" w:eastAsia="Times New Roman" w:hAnsi="Times New Roman"/>
          <w:sz w:val="22"/>
          <w:szCs w:val="22"/>
          <w:color w:val="auto"/>
        </w:rPr>
      </w:pPr>
    </w:p>
    <w:p>
      <w:pPr>
        <w:jc w:val="both"/>
        <w:ind w:left="-80" w:firstLine="1304"/>
        <w:spacing w:after="0" w:line="257" w:lineRule="auto"/>
        <w:tabs>
          <w:tab w:leader="none" w:pos="1846"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of Obligations of Purchaser.</w:t>
      </w:r>
      <w:r>
        <w:rPr>
          <w:rFonts w:ascii="Times New Roman" w:cs="Times New Roman" w:eastAsia="Times New Roman" w:hAnsi="Times New Roman"/>
          <w:sz w:val="22"/>
          <w:szCs w:val="22"/>
          <w:color w:val="auto"/>
        </w:rPr>
        <w:t xml:space="preserve"> Purchaser shall have performed in all material respects and complied in all material respects with all agreements and covenants required to be performed or complied with by it under this Agreement at or prior to the Closing.</w:t>
      </w:r>
    </w:p>
    <w:p>
      <w:pPr>
        <w:spacing w:after="0" w:line="186" w:lineRule="exact"/>
        <w:rPr>
          <w:rFonts w:ascii="Times New Roman" w:cs="Times New Roman" w:eastAsia="Times New Roman" w:hAnsi="Times New Roman"/>
          <w:sz w:val="22"/>
          <w:szCs w:val="22"/>
          <w:color w:val="auto"/>
        </w:rPr>
      </w:pPr>
    </w:p>
    <w:p>
      <w:pPr>
        <w:jc w:val="both"/>
        <w:ind w:left="-80" w:firstLine="1304"/>
        <w:spacing w:after="0" w:line="257" w:lineRule="auto"/>
        <w:tabs>
          <w:tab w:leader="none" w:pos="1672"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Certificate</w:t>
      </w:r>
      <w:r>
        <w:rPr>
          <w:rFonts w:ascii="Times New Roman" w:cs="Times New Roman" w:eastAsia="Times New Roman" w:hAnsi="Times New Roman"/>
          <w:sz w:val="22"/>
          <w:szCs w:val="22"/>
          <w:color w:val="auto"/>
        </w:rPr>
        <w:t xml:space="preserve">. Purchaser shall have delivered to Seller a certificate dated as of the Closing Date and executed by an authorized officer of Purchaser to the effect that each of the conditions specified in </w:t>
      </w:r>
      <w:r>
        <w:rPr>
          <w:rFonts w:ascii="Times New Roman" w:cs="Times New Roman" w:eastAsia="Times New Roman" w:hAnsi="Times New Roman"/>
          <w:sz w:val="22"/>
          <w:szCs w:val="22"/>
          <w:u w:val="single" w:color="auto"/>
          <w:color w:val="auto"/>
        </w:rPr>
        <w:t>Sections 8.03(a)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xml:space="preserve"> is satisfied in all respects.</w:t>
      </w:r>
    </w:p>
    <w:p>
      <w:pPr>
        <w:spacing w:after="0" w:line="172" w:lineRule="exact"/>
        <w:rPr>
          <w:rFonts w:ascii="Times New Roman" w:cs="Times New Roman" w:eastAsia="Times New Roman" w:hAnsi="Times New Roman"/>
          <w:sz w:val="22"/>
          <w:szCs w:val="22"/>
          <w:color w:val="auto"/>
        </w:rPr>
      </w:pPr>
    </w:p>
    <w:p>
      <w:pPr>
        <w:ind w:left="-80" w:right="20" w:firstLine="1304"/>
        <w:spacing w:after="0" w:line="271" w:lineRule="auto"/>
        <w:tabs>
          <w:tab w:leader="none" w:pos="1873"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Closing Deliveries</w:t>
      </w:r>
      <w:r>
        <w:rPr>
          <w:rFonts w:ascii="Times New Roman" w:cs="Times New Roman" w:eastAsia="Times New Roman" w:hAnsi="Times New Roman"/>
          <w:sz w:val="22"/>
          <w:szCs w:val="22"/>
          <w:color w:val="auto"/>
        </w:rPr>
        <w:t xml:space="preserve">. Purchaser shall have delivered or caused to be delivered to Seller all documents (including counterpart signatures) required to be delivered pursuant to </w:t>
      </w:r>
      <w:r>
        <w:rPr>
          <w:rFonts w:ascii="Times New Roman" w:cs="Times New Roman" w:eastAsia="Times New Roman" w:hAnsi="Times New Roman"/>
          <w:sz w:val="22"/>
          <w:szCs w:val="22"/>
          <w:u w:val="single" w:color="auto"/>
          <w:color w:val="auto"/>
        </w:rPr>
        <w:t>Section 3.03(b)</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ind w:left="-80" w:firstLine="1304"/>
        <w:spacing w:after="0" w:line="284" w:lineRule="auto"/>
        <w:tabs>
          <w:tab w:leader="none" w:pos="1820"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Purchaser Material Adverse Effect</w:t>
      </w:r>
      <w:r>
        <w:rPr>
          <w:rFonts w:ascii="Times New Roman" w:cs="Times New Roman" w:eastAsia="Times New Roman" w:hAnsi="Times New Roman"/>
          <w:sz w:val="22"/>
          <w:szCs w:val="22"/>
          <w:color w:val="auto"/>
        </w:rPr>
        <w:t>. Since the date of this Agreement, there has been no Purchaser Material Adverse Effect.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2" w:lineRule="exact"/>
        <w:rPr>
          <w:rFonts w:ascii="Times New Roman" w:cs="Times New Roman" w:eastAsia="Times New Roman" w:hAnsi="Times New Roman"/>
          <w:sz w:val="22"/>
          <w:szCs w:val="22"/>
          <w:color w:val="auto"/>
        </w:rPr>
      </w:pPr>
    </w:p>
    <w:p>
      <w:pPr>
        <w:ind w:left="280" w:hanging="136"/>
        <w:spacing w:after="0"/>
        <w:tabs>
          <w:tab w:leader="none" w:pos="28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96 -</w:t>
      </w:r>
    </w:p>
    <w:p>
      <w:pPr>
        <w:sectPr>
          <w:pgSz w:w="11900" w:h="16838" w:orient="portrait"/>
          <w:cols w:equalWidth="0" w:num="1">
            <w:col w:w="11160"/>
          </w:cols>
          <w:pgMar w:left="400" w:top="1422" w:right="339" w:bottom="1440" w:gutter="0" w:footer="0" w:header="0"/>
        </w:sectPr>
      </w:pPr>
    </w:p>
    <w:bookmarkStart w:id="165" w:name="page166"/>
    <w:bookmarkEnd w:id="165"/>
    <w:p>
      <w:pPr>
        <w:jc w:val="both"/>
        <w:ind w:left="80"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8.04 </w:t>
      </w:r>
      <w:r>
        <w:rPr>
          <w:rFonts w:ascii="Times New Roman" w:cs="Times New Roman" w:eastAsia="Times New Roman" w:hAnsi="Times New Roman"/>
          <w:sz w:val="22"/>
          <w:szCs w:val="22"/>
          <w:u w:val="single" w:color="auto"/>
          <w:color w:val="auto"/>
        </w:rPr>
        <w:t>Frustration of Closing Conditions</w:t>
      </w:r>
      <w:r>
        <w:rPr>
          <w:rFonts w:ascii="Times New Roman" w:cs="Times New Roman" w:eastAsia="Times New Roman" w:hAnsi="Times New Roman"/>
          <w:sz w:val="22"/>
          <w:szCs w:val="22"/>
          <w:color w:val="auto"/>
        </w:rPr>
        <w:t xml:space="preserve">. Neither Purchaser, on the one hand, nor Seller, on the other hand, may rely on the failure of any condition set forth in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to be satisfied if such failure was caused by such Person’s failure to act in good faith or to use efforts to cause the Closing to occur to the extent set forth in this Agreement, including as required by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IX</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Termination</w:t>
      </w:r>
    </w:p>
    <w:p>
      <w:pPr>
        <w:spacing w:after="0" w:line="220" w:lineRule="exact"/>
        <w:rPr>
          <w:sz w:val="20"/>
          <w:szCs w:val="20"/>
          <w:color w:val="auto"/>
        </w:rPr>
      </w:pPr>
    </w:p>
    <w:p>
      <w:pPr>
        <w:jc w:val="center"/>
        <w:ind w:right="140"/>
        <w:spacing w:after="0"/>
        <w:tabs>
          <w:tab w:leader="none" w:pos="200" w:val="left"/>
        </w:tabs>
        <w:rPr>
          <w:sz w:val="20"/>
          <w:szCs w:val="20"/>
          <w:color w:val="auto"/>
        </w:rPr>
      </w:pPr>
      <w:r>
        <w:rPr>
          <w:rFonts w:ascii="Times New Roman" w:cs="Times New Roman" w:eastAsia="Times New Roman" w:hAnsi="Times New Roman"/>
          <w:sz w:val="22"/>
          <w:szCs w:val="22"/>
          <w:color w:val="auto"/>
        </w:rPr>
        <w:t>Section 9.01</w:t>
      </w:r>
      <w:r>
        <w:rPr>
          <w:sz w:val="20"/>
          <w:szCs w:val="20"/>
          <w:color w:val="auto"/>
        </w:rPr>
        <w:tab/>
      </w:r>
      <w:r>
        <w:rPr>
          <w:rFonts w:ascii="Times New Roman" w:cs="Times New Roman" w:eastAsia="Times New Roman" w:hAnsi="Times New Roman"/>
          <w:sz w:val="21"/>
          <w:szCs w:val="21"/>
          <w:u w:val="single" w:color="auto"/>
          <w:color w:val="auto"/>
        </w:rPr>
        <w:t>Termination</w:t>
      </w:r>
      <w:r>
        <w:rPr>
          <w:rFonts w:ascii="Times New Roman" w:cs="Times New Roman" w:eastAsia="Times New Roman" w:hAnsi="Times New Roman"/>
          <w:sz w:val="21"/>
          <w:szCs w:val="21"/>
          <w:color w:val="auto"/>
        </w:rPr>
        <w:t>. This Agreement may be terminated at any time prior to the Closing:</w:t>
      </w:r>
    </w:p>
    <w:p>
      <w:pPr>
        <w:spacing w:after="0" w:line="220" w:lineRule="exact"/>
        <w:rPr>
          <w:sz w:val="20"/>
          <w:szCs w:val="20"/>
          <w:color w:val="auto"/>
        </w:rPr>
      </w:pPr>
    </w:p>
    <w:p>
      <w:pPr>
        <w:ind w:left="1760" w:hanging="456"/>
        <w:spacing w:after="0"/>
        <w:tabs>
          <w:tab w:leader="none" w:pos="1760"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mutual written consent of the Seller and Purchaser;</w:t>
      </w:r>
    </w:p>
    <w:p>
      <w:pPr>
        <w:spacing w:after="0" w:line="233"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 Seller or Purchaser, by written notice to the other:</w:t>
      </w:r>
    </w:p>
    <w:p>
      <w:pPr>
        <w:spacing w:after="0" w:line="219" w:lineRule="exact"/>
        <w:rPr>
          <w:rFonts w:ascii="Times New Roman" w:cs="Times New Roman" w:eastAsia="Times New Roman" w:hAnsi="Times New Roman"/>
          <w:sz w:val="22"/>
          <w:szCs w:val="22"/>
          <w:color w:val="auto"/>
        </w:rPr>
      </w:pPr>
    </w:p>
    <w:p>
      <w:pPr>
        <w:ind w:left="1800" w:hanging="415"/>
        <w:spacing w:after="0"/>
        <w:tabs>
          <w:tab w:leader="none" w:pos="1800" w:val="left"/>
        </w:tabs>
        <w:numPr>
          <w:ilvl w:val="2"/>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Closing shall not have occurred on or before November 22, 2025 (the “</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or</w:t>
      </w:r>
    </w:p>
    <w:p>
      <w:pPr>
        <w:spacing w:after="0" w:line="219" w:lineRule="exact"/>
        <w:rPr>
          <w:rFonts w:ascii="Times New Roman" w:cs="Times New Roman" w:eastAsia="Times New Roman" w:hAnsi="Times New Roman"/>
          <w:sz w:val="22"/>
          <w:szCs w:val="22"/>
          <w:color w:val="auto"/>
        </w:rPr>
      </w:pPr>
    </w:p>
    <w:p>
      <w:pPr>
        <w:jc w:val="both"/>
        <w:ind w:left="740" w:firstLine="645"/>
        <w:spacing w:after="0" w:line="252" w:lineRule="auto"/>
        <w:tabs>
          <w:tab w:leader="none" w:pos="1973" w:val="left"/>
        </w:tabs>
        <w:numPr>
          <w:ilvl w:val="2"/>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Governmental Authority of competent jurisdiction has issued a Judgment permanently enjoining, restraining or otherwise preventing or making illegal the consummation of the Transactions and such Judgment shall have become final and nonappealable or if there is an applicable Law which makes the Transactions illegal or otherwise prohibited;</w:t>
      </w:r>
    </w:p>
    <w:p>
      <w:pPr>
        <w:spacing w:after="0" w:line="192" w:lineRule="exact"/>
        <w:rPr>
          <w:rFonts w:ascii="Times New Roman" w:cs="Times New Roman" w:eastAsia="Times New Roman" w:hAnsi="Times New Roman"/>
          <w:sz w:val="22"/>
          <w:szCs w:val="22"/>
          <w:color w:val="auto"/>
        </w:rPr>
      </w:pPr>
    </w:p>
    <w:p>
      <w:pPr>
        <w:jc w:val="both"/>
        <w:ind w:firstLine="1304"/>
        <w:spacing w:after="0" w:line="247" w:lineRule="auto"/>
        <w:tabs>
          <w:tab w:leader="none" w:pos="1813"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by Purchaser, if the Seller shall have breached any of its representations or warranties or failed to perform any of its covenants or agreements set forth in this Agreement, which breach or failure to perform (i) would give rise to the failure of a condition contained in </w:t>
      </w:r>
      <w:r>
        <w:rPr>
          <w:rFonts w:ascii="Times New Roman" w:cs="Times New Roman" w:eastAsia="Times New Roman" w:hAnsi="Times New Roman"/>
          <w:sz w:val="22"/>
          <w:szCs w:val="22"/>
          <w:u w:val="single" w:color="auto"/>
          <w:color w:val="auto"/>
        </w:rPr>
        <w:t>Section 8.02(a)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8.02(b)</w:t>
      </w:r>
      <w:r>
        <w:rPr>
          <w:rFonts w:ascii="Times New Roman" w:cs="Times New Roman" w:eastAsia="Times New Roman" w:hAnsi="Times New Roman"/>
          <w:sz w:val="22"/>
          <w:szCs w:val="22"/>
          <w:color w:val="auto"/>
        </w:rPr>
        <w:t xml:space="preserve"> and (ii) is incapable of being cured prior to the Termination Date, or if capable of being cured by the Termination Date, the Seller shall not have cured the breach or failure to perform by the earlier of such date that is (x) twenty (20) days following receipt by the Seller of written notice of such breach or failure to perform from Purchaser stating Purchaser’s intention to terminate this Agreement pursuant to this </w:t>
      </w:r>
      <w:r>
        <w:rPr>
          <w:rFonts w:ascii="Times New Roman" w:cs="Times New Roman" w:eastAsia="Times New Roman" w:hAnsi="Times New Roman"/>
          <w:sz w:val="22"/>
          <w:szCs w:val="22"/>
          <w:u w:val="single" w:color="auto"/>
          <w:color w:val="auto"/>
        </w:rPr>
        <w:t>Section 9.01(c)</w:t>
      </w:r>
      <w:r>
        <w:rPr>
          <w:rFonts w:ascii="Times New Roman" w:cs="Times New Roman" w:eastAsia="Times New Roman" w:hAnsi="Times New Roman"/>
          <w:sz w:val="22"/>
          <w:szCs w:val="22"/>
          <w:color w:val="auto"/>
        </w:rPr>
        <w:t xml:space="preserve"> and the basis for such termination and (y) two (2) Business Days prior to the Termination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Purchaser shall not have the right to terminate this Agreement pursuant to this </w:t>
      </w:r>
      <w:r>
        <w:rPr>
          <w:rFonts w:ascii="Times New Roman" w:cs="Times New Roman" w:eastAsia="Times New Roman" w:hAnsi="Times New Roman"/>
          <w:sz w:val="22"/>
          <w:szCs w:val="22"/>
          <w:u w:val="single" w:color="auto"/>
          <w:color w:val="auto"/>
        </w:rPr>
        <w:t>Section 9.01(c)</w:t>
      </w:r>
      <w:r>
        <w:rPr>
          <w:rFonts w:ascii="Times New Roman" w:cs="Times New Roman" w:eastAsia="Times New Roman" w:hAnsi="Times New Roman"/>
          <w:sz w:val="22"/>
          <w:szCs w:val="22"/>
          <w:color w:val="auto"/>
        </w:rPr>
        <w:t xml:space="preserve"> if Purchaser is then in breach of any of its representations, warranties, covenants or agreements hereunder so as to prevent the conditions to Closing set forth in either </w:t>
      </w:r>
      <w:r>
        <w:rPr>
          <w:rFonts w:ascii="Times New Roman" w:cs="Times New Roman" w:eastAsia="Times New Roman" w:hAnsi="Times New Roman"/>
          <w:sz w:val="22"/>
          <w:szCs w:val="22"/>
          <w:u w:val="single" w:color="auto"/>
          <w:color w:val="auto"/>
        </w:rPr>
        <w:t>Section 8.03(a)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8.03(b)</w:t>
      </w:r>
      <w:r>
        <w:rPr>
          <w:rFonts w:ascii="Times New Roman" w:cs="Times New Roman" w:eastAsia="Times New Roman" w:hAnsi="Times New Roman"/>
          <w:sz w:val="22"/>
          <w:szCs w:val="22"/>
          <w:color w:val="auto"/>
        </w:rPr>
        <w:t xml:space="preserve"> from being satisfied;</w:t>
      </w:r>
    </w:p>
    <w:p>
      <w:pPr>
        <w:spacing w:after="0" w:line="204" w:lineRule="exact"/>
        <w:rPr>
          <w:rFonts w:ascii="Times New Roman" w:cs="Times New Roman" w:eastAsia="Times New Roman" w:hAnsi="Times New Roman"/>
          <w:sz w:val="22"/>
          <w:szCs w:val="22"/>
          <w:color w:val="auto"/>
        </w:rPr>
      </w:pPr>
    </w:p>
    <w:p>
      <w:pPr>
        <w:jc w:val="both"/>
        <w:ind w:firstLine="1304"/>
        <w:spacing w:after="0" w:line="249" w:lineRule="auto"/>
        <w:tabs>
          <w:tab w:leader="none" w:pos="1826"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by the Seller, if Purchaser shall have breached any of its representations or warranties or failed to perform any of its covenants or agreements set forth in this Agreement, which breach or failure to perform (i) would give rise to the failure of a condition contained in </w:t>
      </w:r>
      <w:r>
        <w:rPr>
          <w:rFonts w:ascii="Times New Roman" w:cs="Times New Roman" w:eastAsia="Times New Roman" w:hAnsi="Times New Roman"/>
          <w:sz w:val="22"/>
          <w:szCs w:val="22"/>
          <w:u w:val="single" w:color="auto"/>
          <w:color w:val="auto"/>
        </w:rPr>
        <w:t>Section 8.03(a)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8.03(b)</w:t>
      </w:r>
      <w:r>
        <w:rPr>
          <w:rFonts w:ascii="Times New Roman" w:cs="Times New Roman" w:eastAsia="Times New Roman" w:hAnsi="Times New Roman"/>
          <w:sz w:val="22"/>
          <w:szCs w:val="22"/>
          <w:color w:val="auto"/>
        </w:rPr>
        <w:t xml:space="preserve"> and (ii) is incapable of being cured prior to the Termination Date, or if capable of being cured by the Termination Date, Purchaser shall not have cured the breach or failure to perform by the earlier of such date that is (x) twenty (20) days following receipt by Purchaser of written notice of such breach or failure to perform from the Seller stating the Seller’s intention to terminate this Agreement pursuant to this </w:t>
      </w:r>
      <w:r>
        <w:rPr>
          <w:rFonts w:ascii="Times New Roman" w:cs="Times New Roman" w:eastAsia="Times New Roman" w:hAnsi="Times New Roman"/>
          <w:sz w:val="22"/>
          <w:szCs w:val="22"/>
          <w:u w:val="single" w:color="auto"/>
          <w:color w:val="auto"/>
        </w:rPr>
        <w:t>Section 9.01(d)</w:t>
      </w:r>
      <w:r>
        <w:rPr>
          <w:rFonts w:ascii="Times New Roman" w:cs="Times New Roman" w:eastAsia="Times New Roman" w:hAnsi="Times New Roman"/>
          <w:sz w:val="22"/>
          <w:szCs w:val="22"/>
          <w:color w:val="auto"/>
        </w:rPr>
        <w:t xml:space="preserve"> and the basis for such termination and (y) two (2) Business Days prior to the Termination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Seller shall not have the right to terminate this Agreement pursuant to this </w:t>
      </w:r>
      <w:r>
        <w:rPr>
          <w:rFonts w:ascii="Times New Roman" w:cs="Times New Roman" w:eastAsia="Times New Roman" w:hAnsi="Times New Roman"/>
          <w:sz w:val="22"/>
          <w:szCs w:val="22"/>
          <w:u w:val="single" w:color="auto"/>
          <w:color w:val="auto"/>
        </w:rPr>
        <w:t>Section 9.01(d)</w:t>
      </w:r>
      <w:r>
        <w:rPr>
          <w:rFonts w:ascii="Times New Roman" w:cs="Times New Roman" w:eastAsia="Times New Roman" w:hAnsi="Times New Roman"/>
          <w:sz w:val="22"/>
          <w:szCs w:val="22"/>
          <w:color w:val="auto"/>
        </w:rPr>
        <w:t xml:space="preserve"> if the Seller is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1" w:lineRule="exact"/>
        <w:rPr>
          <w:rFonts w:ascii="Times New Roman" w:cs="Times New Roman" w:eastAsia="Times New Roman" w:hAnsi="Times New Roman"/>
          <w:sz w:val="22"/>
          <w:szCs w:val="22"/>
          <w:color w:val="auto"/>
        </w:rPr>
      </w:pPr>
    </w:p>
    <w:p>
      <w:pPr>
        <w:ind w:left="360" w:hanging="136"/>
        <w:spacing w:after="0"/>
        <w:tabs>
          <w:tab w:leader="none" w:pos="36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97 -</w:t>
      </w:r>
    </w:p>
    <w:p>
      <w:pPr>
        <w:sectPr>
          <w:pgSz w:w="11900" w:h="16838" w:orient="portrait"/>
          <w:cols w:equalWidth="0" w:num="1">
            <w:col w:w="11240"/>
          </w:cols>
          <w:pgMar w:left="320" w:top="1422" w:right="339" w:bottom="1440" w:gutter="0" w:footer="0" w:header="0"/>
        </w:sectPr>
      </w:pPr>
    </w:p>
    <w:bookmarkStart w:id="166" w:name="page167"/>
    <w:bookmarkEnd w:id="166"/>
    <w:p>
      <w:pPr>
        <w:spacing w:after="0" w:line="271" w:lineRule="auto"/>
        <w:rPr>
          <w:sz w:val="20"/>
          <w:szCs w:val="20"/>
          <w:color w:val="auto"/>
        </w:rPr>
      </w:pPr>
      <w:r>
        <w:rPr>
          <w:rFonts w:ascii="Times New Roman" w:cs="Times New Roman" w:eastAsia="Times New Roman" w:hAnsi="Times New Roman"/>
          <w:sz w:val="22"/>
          <w:szCs w:val="22"/>
          <w:color w:val="auto"/>
        </w:rPr>
        <w:t xml:space="preserve">then in breach of any of its representations, warranties, covenants or agreements hereunder so as to prevent the conditions to Closing set forth in either </w:t>
      </w:r>
      <w:r>
        <w:rPr>
          <w:rFonts w:ascii="Times New Roman" w:cs="Times New Roman" w:eastAsia="Times New Roman" w:hAnsi="Times New Roman"/>
          <w:sz w:val="22"/>
          <w:szCs w:val="22"/>
          <w:u w:val="single" w:color="auto"/>
          <w:color w:val="auto"/>
        </w:rPr>
        <w:t>Section 8.02(a)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8.02(b)</w:t>
      </w:r>
      <w:r>
        <w:rPr>
          <w:rFonts w:ascii="Times New Roman" w:cs="Times New Roman" w:eastAsia="Times New Roman" w:hAnsi="Times New Roman"/>
          <w:sz w:val="22"/>
          <w:szCs w:val="22"/>
          <w:color w:val="auto"/>
        </w:rPr>
        <w:t xml:space="preserve"> from being satisfied; or</w:t>
      </w:r>
    </w:p>
    <w:p>
      <w:pPr>
        <w:spacing w:after="0" w:line="158" w:lineRule="exact"/>
        <w:rPr>
          <w:sz w:val="20"/>
          <w:szCs w:val="20"/>
          <w:color w:val="auto"/>
        </w:rPr>
      </w:pPr>
    </w:p>
    <w:p>
      <w:pPr>
        <w:jc w:val="both"/>
        <w:ind w:firstLine="1304"/>
        <w:spacing w:after="0" w:line="248" w:lineRule="auto"/>
        <w:tabs>
          <w:tab w:leader="none" w:pos="184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by the Seller, if (i) the conditions set forth in </w:t>
      </w:r>
      <w:r>
        <w:rPr>
          <w:rFonts w:ascii="Times New Roman" w:cs="Times New Roman" w:eastAsia="Times New Roman" w:hAnsi="Times New Roman"/>
          <w:sz w:val="22"/>
          <w:szCs w:val="22"/>
          <w:u w:val="single" w:color="auto"/>
          <w:color w:val="auto"/>
        </w:rPr>
        <w:t>Sections 8.01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8.02</w:t>
      </w:r>
      <w:r>
        <w:rPr>
          <w:rFonts w:ascii="Times New Roman" w:cs="Times New Roman" w:eastAsia="Times New Roman" w:hAnsi="Times New Roman"/>
          <w:sz w:val="22"/>
          <w:szCs w:val="22"/>
          <w:color w:val="auto"/>
        </w:rPr>
        <w:t xml:space="preserve"> have been (and remain) satisfied or waived (other than those conditions that by their terms are to be satisfied at the Closing, but which conditions would have been satisfied if the Closing Date were the date of such termination), (ii) Purchaser shall have failed to consummate the Closing on the date the Closing should have occurred pursuant to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(iii) the Seller has irrevocably confirmed to Purchaser in writing that (A) all conditions set forth in </w:t>
      </w:r>
      <w:r>
        <w:rPr>
          <w:rFonts w:ascii="Times New Roman" w:cs="Times New Roman" w:eastAsia="Times New Roman" w:hAnsi="Times New Roman"/>
          <w:sz w:val="22"/>
          <w:szCs w:val="22"/>
          <w:u w:val="single" w:color="auto"/>
          <w:color w:val="auto"/>
        </w:rPr>
        <w:t>Sections 8.01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8.03</w:t>
      </w:r>
      <w:r>
        <w:rPr>
          <w:rFonts w:ascii="Times New Roman" w:cs="Times New Roman" w:eastAsia="Times New Roman" w:hAnsi="Times New Roman"/>
          <w:sz w:val="22"/>
          <w:szCs w:val="22"/>
          <w:color w:val="auto"/>
        </w:rPr>
        <w:t xml:space="preserve"> have been satisfied (or in the case of conditions that by their nature are to be satisfied at the Closing, shall be capable of being satisfied on the Closing Date) and that it is willing to waive any and all unsatisfied conditions in </w:t>
      </w:r>
      <w:r>
        <w:rPr>
          <w:rFonts w:ascii="Times New Roman" w:cs="Times New Roman" w:eastAsia="Times New Roman" w:hAnsi="Times New Roman"/>
          <w:sz w:val="22"/>
          <w:szCs w:val="22"/>
          <w:u w:val="single" w:color="auto"/>
          <w:color w:val="auto"/>
        </w:rPr>
        <w:t>Sections 8.01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8.03</w:t>
      </w:r>
      <w:r>
        <w:rPr>
          <w:rFonts w:ascii="Times New Roman" w:cs="Times New Roman" w:eastAsia="Times New Roman" w:hAnsi="Times New Roman"/>
          <w:sz w:val="22"/>
          <w:szCs w:val="22"/>
          <w:color w:val="auto"/>
        </w:rPr>
        <w:t xml:space="preserve"> (if any), and (B) it desires to proceed to Closing and is ready, willing and able to consummate the Transactions, and (iv) the Closing shall not have been consummated on the third (3rd) Business Day following the delivery of such notice;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anything in </w:t>
      </w:r>
      <w:r>
        <w:rPr>
          <w:rFonts w:ascii="Times New Roman" w:cs="Times New Roman" w:eastAsia="Times New Roman" w:hAnsi="Times New Roman"/>
          <w:sz w:val="22"/>
          <w:szCs w:val="22"/>
          <w:u w:val="single" w:color="auto"/>
          <w:color w:val="auto"/>
        </w:rPr>
        <w:t>Section 9.01(b)(i)</w:t>
      </w:r>
      <w:r>
        <w:rPr>
          <w:rFonts w:ascii="Times New Roman" w:cs="Times New Roman" w:eastAsia="Times New Roman" w:hAnsi="Times New Roman"/>
          <w:sz w:val="22"/>
          <w:szCs w:val="22"/>
          <w:color w:val="auto"/>
        </w:rPr>
        <w:t xml:space="preserve"> to the contrary, no party shall be permitted to terminate this Agreement pursuant to </w:t>
      </w:r>
      <w:r>
        <w:rPr>
          <w:rFonts w:ascii="Times New Roman" w:cs="Times New Roman" w:eastAsia="Times New Roman" w:hAnsi="Times New Roman"/>
          <w:sz w:val="22"/>
          <w:szCs w:val="22"/>
          <w:u w:val="single" w:color="auto"/>
          <w:color w:val="auto"/>
        </w:rPr>
        <w:t>Section 9.01(b)(i)</w:t>
      </w:r>
      <w:r>
        <w:rPr>
          <w:rFonts w:ascii="Times New Roman" w:cs="Times New Roman" w:eastAsia="Times New Roman" w:hAnsi="Times New Roman"/>
          <w:sz w:val="22"/>
          <w:szCs w:val="22"/>
          <w:color w:val="auto"/>
        </w:rPr>
        <w:t xml:space="preserve"> during the three (3) Business Day period following the delivery of the notice referred to in clause (iii) of this </w:t>
      </w:r>
      <w:r>
        <w:rPr>
          <w:rFonts w:ascii="Times New Roman" w:cs="Times New Roman" w:eastAsia="Times New Roman" w:hAnsi="Times New Roman"/>
          <w:sz w:val="22"/>
          <w:szCs w:val="22"/>
          <w:u w:val="single" w:color="auto"/>
          <w:color w:val="auto"/>
        </w:rPr>
        <w:t>Section 9.01(e)</w:t>
      </w:r>
      <w:r>
        <w:rPr>
          <w:rFonts w:ascii="Times New Roman" w:cs="Times New Roman" w:eastAsia="Times New Roman" w:hAnsi="Times New Roman"/>
          <w:sz w:val="22"/>
          <w:szCs w:val="22"/>
          <w:color w:val="auto"/>
        </w:rPr>
        <w:t>.</w:t>
      </w:r>
    </w:p>
    <w:p>
      <w:pPr>
        <w:spacing w:after="0" w:line="18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 xml:space="preserve">The party seeking to terminate this Agreement pursuant to this </w:t>
      </w:r>
      <w:r>
        <w:rPr>
          <w:rFonts w:ascii="Times New Roman" w:cs="Times New Roman" w:eastAsia="Times New Roman" w:hAnsi="Times New Roman"/>
          <w:sz w:val="22"/>
          <w:szCs w:val="22"/>
          <w:u w:val="single" w:color="auto"/>
          <w:color w:val="auto"/>
        </w:rPr>
        <w:t>Section 9.01</w:t>
      </w:r>
      <w:r>
        <w:rPr>
          <w:rFonts w:ascii="Times New Roman" w:cs="Times New Roman" w:eastAsia="Times New Roman" w:hAnsi="Times New Roman"/>
          <w:sz w:val="22"/>
          <w:szCs w:val="22"/>
          <w:color w:val="auto"/>
        </w:rPr>
        <w:t xml:space="preserve"> shall give written notice of such termination to the other party in accordance with </w:t>
      </w:r>
      <w:r>
        <w:rPr>
          <w:rFonts w:ascii="Times New Roman" w:cs="Times New Roman" w:eastAsia="Times New Roman" w:hAnsi="Times New Roman"/>
          <w:sz w:val="22"/>
          <w:szCs w:val="22"/>
          <w:u w:val="single" w:color="auto"/>
          <w:color w:val="auto"/>
        </w:rPr>
        <w:t>Section 11.01</w:t>
      </w:r>
      <w:r>
        <w:rPr>
          <w:rFonts w:ascii="Times New Roman" w:cs="Times New Roman" w:eastAsia="Times New Roman" w:hAnsi="Times New Roman"/>
          <w:sz w:val="22"/>
          <w:szCs w:val="22"/>
          <w:color w:val="auto"/>
        </w:rPr>
        <w:t>, specifying the provision of this Agreement pursuant to which such termination is effected and the basis for such termination, described in reasonable detail.</w:t>
      </w:r>
    </w:p>
    <w:p>
      <w:pPr>
        <w:spacing w:after="0" w:line="167" w:lineRule="exact"/>
        <w:rPr>
          <w:sz w:val="20"/>
          <w:szCs w:val="20"/>
          <w:color w:val="auto"/>
        </w:rPr>
      </w:pPr>
    </w:p>
    <w:p>
      <w:pPr>
        <w:ind w:left="1380"/>
        <w:spacing w:after="0"/>
        <w:tabs>
          <w:tab w:leader="none" w:pos="2660" w:val="left"/>
        </w:tabs>
        <w:rPr>
          <w:sz w:val="20"/>
          <w:szCs w:val="20"/>
          <w:color w:val="auto"/>
        </w:rPr>
      </w:pPr>
      <w:r>
        <w:rPr>
          <w:rFonts w:ascii="Times New Roman" w:cs="Times New Roman" w:eastAsia="Times New Roman" w:hAnsi="Times New Roman"/>
          <w:sz w:val="22"/>
          <w:szCs w:val="22"/>
          <w:color w:val="auto"/>
        </w:rPr>
        <w:t>Section 9.02</w:t>
      </w:r>
      <w:r>
        <w:rPr>
          <w:sz w:val="20"/>
          <w:szCs w:val="20"/>
          <w:color w:val="auto"/>
        </w:rPr>
        <w:tab/>
      </w:r>
      <w:r>
        <w:rPr>
          <w:rFonts w:ascii="Times New Roman" w:cs="Times New Roman" w:eastAsia="Times New Roman" w:hAnsi="Times New Roman"/>
          <w:sz w:val="21"/>
          <w:szCs w:val="21"/>
          <w:u w:val="single" w:color="auto"/>
          <w:color w:val="auto"/>
        </w:rPr>
        <w:t>Effect of Termination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9" w:lineRule="auto"/>
        <w:tabs>
          <w:tab w:leader="none" w:pos="1808"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of termination of this Agreement by either the Seller or Purchaser as provided in </w:t>
      </w:r>
      <w:r>
        <w:rPr>
          <w:rFonts w:ascii="Times New Roman" w:cs="Times New Roman" w:eastAsia="Times New Roman" w:hAnsi="Times New Roman"/>
          <w:sz w:val="22"/>
          <w:szCs w:val="22"/>
          <w:u w:val="single" w:color="auto"/>
          <w:color w:val="auto"/>
        </w:rPr>
        <w:t>Section 9.01</w:t>
      </w:r>
      <w:r>
        <w:rPr>
          <w:rFonts w:ascii="Times New Roman" w:cs="Times New Roman" w:eastAsia="Times New Roman" w:hAnsi="Times New Roman"/>
          <w:sz w:val="22"/>
          <w:szCs w:val="22"/>
          <w:color w:val="auto"/>
        </w:rPr>
        <w:t xml:space="preserve"> then, subject to </w:t>
      </w:r>
      <w:r>
        <w:rPr>
          <w:rFonts w:ascii="Times New Roman" w:cs="Times New Roman" w:eastAsia="Times New Roman" w:hAnsi="Times New Roman"/>
          <w:sz w:val="22"/>
          <w:szCs w:val="22"/>
          <w:u w:val="single" w:color="auto"/>
          <w:color w:val="auto"/>
        </w:rPr>
        <w:t>Section 9.02(b)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9.02(c)</w:t>
      </w:r>
      <w:r>
        <w:rPr>
          <w:rFonts w:ascii="Times New Roman" w:cs="Times New Roman" w:eastAsia="Times New Roman" w:hAnsi="Times New Roman"/>
          <w:sz w:val="22"/>
          <w:szCs w:val="22"/>
          <w:color w:val="auto"/>
        </w:rPr>
        <w:t xml:space="preserve">, this Agreement shall forthwith become void and have no effect, without any Liability or obligation on the part of any party or their respective Affiliates or its or their respective Representatives, other than </w:t>
      </w:r>
      <w:r>
        <w:rPr>
          <w:rFonts w:ascii="Times New Roman" w:cs="Times New Roman" w:eastAsia="Times New Roman" w:hAnsi="Times New Roman"/>
          <w:sz w:val="22"/>
          <w:szCs w:val="22"/>
          <w:u w:val="single" w:color="auto"/>
          <w:color w:val="auto"/>
        </w:rPr>
        <w:t>Section 7.02</w:t>
      </w:r>
      <w:r>
        <w:rPr>
          <w:rFonts w:ascii="Times New Roman" w:cs="Times New Roman" w:eastAsia="Times New Roman" w:hAnsi="Times New Roman"/>
          <w:sz w:val="22"/>
          <w:szCs w:val="22"/>
          <w:color w:val="auto"/>
        </w:rPr>
        <w:t xml:space="preserve">, the first sentence of </w:t>
      </w:r>
      <w:r>
        <w:rPr>
          <w:rFonts w:ascii="Times New Roman" w:cs="Times New Roman" w:eastAsia="Times New Roman" w:hAnsi="Times New Roman"/>
          <w:sz w:val="22"/>
          <w:szCs w:val="22"/>
          <w:u w:val="single" w:color="auto"/>
          <w:color w:val="auto"/>
        </w:rPr>
        <w:t>Section 7.03(b)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7.08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7.19(e)</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Section 9.02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(other than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11.14</w:t>
      </w:r>
      <w:r>
        <w:rPr>
          <w:rFonts w:ascii="Times New Roman" w:cs="Times New Roman" w:eastAsia="Times New Roman" w:hAnsi="Times New Roman"/>
          <w:sz w:val="22"/>
          <w:szCs w:val="22"/>
          <w:color w:val="auto"/>
        </w:rPr>
        <w:t xml:space="preserve">) and the Confidentiality Agreement, all of which shall survive such termination;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termination shall not relieve the Seller or its Affiliates or its or their respective Representatives from any Liability or obligation to Purchaser to the extent that such termination results from (A) a Willful Breach of any covenant, representation and warranty or agreement set forth in this Agreement by the Seller or (B) Fraud by or on behalf of the Seller. Nothing in this </w:t>
      </w:r>
      <w:r>
        <w:rPr>
          <w:rFonts w:ascii="Times New Roman" w:cs="Times New Roman" w:eastAsia="Times New Roman" w:hAnsi="Times New Roman"/>
          <w:sz w:val="22"/>
          <w:szCs w:val="22"/>
          <w:u w:val="single" w:color="auto"/>
          <w:color w:val="auto"/>
        </w:rPr>
        <w:t>Section 9.02</w:t>
      </w:r>
      <w:r>
        <w:rPr>
          <w:rFonts w:ascii="Times New Roman" w:cs="Times New Roman" w:eastAsia="Times New Roman" w:hAnsi="Times New Roman"/>
          <w:sz w:val="22"/>
          <w:szCs w:val="22"/>
          <w:color w:val="auto"/>
        </w:rPr>
        <w:t xml:space="preserve"> shall be deemed to impair the right of any party to compel specific performance by any other party of its obligations under this Agreement prior to such termination.</w:t>
      </w:r>
    </w:p>
    <w:p>
      <w:pPr>
        <w:spacing w:after="0" w:line="183" w:lineRule="exact"/>
        <w:rPr>
          <w:rFonts w:ascii="Times New Roman" w:cs="Times New Roman" w:eastAsia="Times New Roman" w:hAnsi="Times New Roman"/>
          <w:sz w:val="22"/>
          <w:szCs w:val="22"/>
          <w:color w:val="auto"/>
        </w:rPr>
      </w:pPr>
    </w:p>
    <w:p>
      <w:pPr>
        <w:jc w:val="both"/>
        <w:ind w:firstLine="1304"/>
        <w:spacing w:after="0" w:line="265" w:lineRule="auto"/>
        <w:tabs>
          <w:tab w:leader="none" w:pos="1785" w:val="left"/>
        </w:tabs>
        <w:numPr>
          <w:ilvl w:val="1"/>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of the termination of this Agreement by the Seller pursuant to </w:t>
      </w:r>
      <w:r>
        <w:rPr>
          <w:rFonts w:ascii="Times New Roman" w:cs="Times New Roman" w:eastAsia="Times New Roman" w:hAnsi="Times New Roman"/>
          <w:sz w:val="21"/>
          <w:szCs w:val="21"/>
          <w:u w:val="single" w:color="auto"/>
          <w:color w:val="auto"/>
        </w:rPr>
        <w:t>Sections 9.01(d)</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9.01(e)</w:t>
      </w:r>
      <w:r>
        <w:rPr>
          <w:rFonts w:ascii="Times New Roman" w:cs="Times New Roman" w:eastAsia="Times New Roman" w:hAnsi="Times New Roman"/>
          <w:sz w:val="21"/>
          <w:szCs w:val="21"/>
          <w:color w:val="auto"/>
        </w:rPr>
        <w:t xml:space="preserve">, or by Purchaser pursuant to </w:t>
      </w:r>
      <w:r>
        <w:rPr>
          <w:rFonts w:ascii="Times New Roman" w:cs="Times New Roman" w:eastAsia="Times New Roman" w:hAnsi="Times New Roman"/>
          <w:sz w:val="21"/>
          <w:szCs w:val="21"/>
          <w:u w:val="single" w:color="auto"/>
          <w:color w:val="auto"/>
        </w:rPr>
        <w:t>Section 9.01(b)(i)</w:t>
      </w:r>
      <w:r>
        <w:rPr>
          <w:rFonts w:ascii="Times New Roman" w:cs="Times New Roman" w:eastAsia="Times New Roman" w:hAnsi="Times New Roman"/>
          <w:sz w:val="21"/>
          <w:szCs w:val="21"/>
          <w:color w:val="auto"/>
        </w:rPr>
        <w:t xml:space="preserve"> at such time as the Seller could have terminated this Agreement pursuant to </w:t>
      </w:r>
      <w:r>
        <w:rPr>
          <w:rFonts w:ascii="Times New Roman" w:cs="Times New Roman" w:eastAsia="Times New Roman" w:hAnsi="Times New Roman"/>
          <w:sz w:val="21"/>
          <w:szCs w:val="21"/>
          <w:u w:val="single" w:color="auto"/>
          <w:color w:val="auto"/>
        </w:rPr>
        <w:t>Sections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9.01(d)</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9.01(e)</w:t>
      </w:r>
      <w:r>
        <w:rPr>
          <w:rFonts w:ascii="Times New Roman" w:cs="Times New Roman" w:eastAsia="Times New Roman" w:hAnsi="Times New Roman"/>
          <w:sz w:val="21"/>
          <w:szCs w:val="21"/>
          <w:color w:val="auto"/>
        </w:rPr>
        <w:t>, then Purchaser shall promptly, but in no event later than ten (10) Business Days after the date of such termination, pay to the Seller a fee in an amount equal six percent (6%) of the Purchase Price (the “</w:t>
      </w:r>
      <w:r>
        <w:rPr>
          <w:rFonts w:ascii="Times New Roman" w:cs="Times New Roman" w:eastAsia="Times New Roman" w:hAnsi="Times New Roman"/>
          <w:sz w:val="21"/>
          <w:szCs w:val="21"/>
          <w:u w:val="single" w:color="auto"/>
          <w:color w:val="auto"/>
        </w:rPr>
        <w:t>Financing Termination Fee</w:t>
      </w:r>
      <w:r>
        <w:rPr>
          <w:rFonts w:ascii="Times New Roman" w:cs="Times New Roman" w:eastAsia="Times New Roman" w:hAnsi="Times New Roman"/>
          <w:sz w:val="21"/>
          <w:szCs w:val="21"/>
          <w:color w:val="auto"/>
        </w:rPr>
        <w:t>”), without offset or reduction of any kind, by wire transfer of immediately available funds to the bank account designated in writing by the Seller. In no event shall Purchaser be required to pay the Financing Termination Fee on more than one occasion.</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8" w:lineRule="exact"/>
        <w:rPr>
          <w:rFonts w:ascii="Times New Roman" w:cs="Times New Roman" w:eastAsia="Times New Roman" w:hAnsi="Times New Roman"/>
          <w:sz w:val="21"/>
          <w:szCs w:val="21"/>
          <w:color w:val="auto"/>
        </w:rPr>
      </w:pPr>
    </w:p>
    <w:p>
      <w:pPr>
        <w:ind w:left="360" w:hanging="136"/>
        <w:spacing w:after="0"/>
        <w:tabs>
          <w:tab w:leader="none" w:pos="36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98 -</w:t>
      </w:r>
    </w:p>
    <w:p>
      <w:pPr>
        <w:sectPr>
          <w:pgSz w:w="11900" w:h="16838" w:orient="portrait"/>
          <w:cols w:equalWidth="0" w:num="1">
            <w:col w:w="11240"/>
          </w:cols>
          <w:pgMar w:left="320" w:top="1422" w:right="339" w:bottom="1440" w:gutter="0" w:footer="0" w:header="0"/>
        </w:sectPr>
      </w:pPr>
    </w:p>
    <w:bookmarkStart w:id="167" w:name="page168"/>
    <w:bookmarkEnd w:id="167"/>
    <w:p>
      <w:pPr>
        <w:jc w:val="both"/>
        <w:ind w:left="-224" w:firstLine="1304"/>
        <w:spacing w:after="0" w:line="258" w:lineRule="auto"/>
        <w:tabs>
          <w:tab w:leader="none" w:pos="1665" w:val="left"/>
        </w:tabs>
        <w:numPr>
          <w:ilvl w:val="1"/>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party acknowledges that the agreements contained in this </w:t>
      </w:r>
      <w:r>
        <w:rPr>
          <w:rFonts w:ascii="Times New Roman" w:cs="Times New Roman" w:eastAsia="Times New Roman" w:hAnsi="Times New Roman"/>
          <w:sz w:val="21"/>
          <w:szCs w:val="21"/>
          <w:u w:val="single" w:color="auto"/>
          <w:color w:val="auto"/>
        </w:rPr>
        <w:t>Section 9.02</w:t>
      </w:r>
      <w:r>
        <w:rPr>
          <w:rFonts w:ascii="Times New Roman" w:cs="Times New Roman" w:eastAsia="Times New Roman" w:hAnsi="Times New Roman"/>
          <w:sz w:val="21"/>
          <w:szCs w:val="21"/>
          <w:color w:val="auto"/>
        </w:rPr>
        <w:t xml:space="preserve"> are an integral part of the Transactions, and that, without these agreements, no party would have entered into this Agreement. Accordingly, if Purchaser fails to pay the Financing Termination Fee when due pursuant to </w:t>
      </w:r>
      <w:r>
        <w:rPr>
          <w:rFonts w:ascii="Times New Roman" w:cs="Times New Roman" w:eastAsia="Times New Roman" w:hAnsi="Times New Roman"/>
          <w:sz w:val="21"/>
          <w:szCs w:val="21"/>
          <w:u w:val="single" w:color="auto"/>
          <w:color w:val="auto"/>
        </w:rPr>
        <w:t>Section 9.02(b)</w:t>
      </w:r>
      <w:r>
        <w:rPr>
          <w:rFonts w:ascii="Times New Roman" w:cs="Times New Roman" w:eastAsia="Times New Roman" w:hAnsi="Times New Roman"/>
          <w:sz w:val="21"/>
          <w:szCs w:val="21"/>
          <w:color w:val="auto"/>
        </w:rPr>
        <w:t xml:space="preserve"> and, in order to obtain the Financing Termination Fee, the Seller commences an Action which results in a final, non-appealable Judgment against Purchaser for the Financing Termination Fee, Purchaser shall promptly pay to the Seller without offset or reduction of any kind, by wire transfer of immediately available funds to the bank account designated in writing by the Seller, an amount equal to the sum of (i) the reasonable and documented out-of-pocket costs and expenses (including attorneys’ fees) incurred by any member of the Seller Group in connection with such Action in an amount not to exceed $2,500,000 (the “</w:t>
      </w:r>
      <w:r>
        <w:rPr>
          <w:rFonts w:ascii="Times New Roman" w:cs="Times New Roman" w:eastAsia="Times New Roman" w:hAnsi="Times New Roman"/>
          <w:sz w:val="21"/>
          <w:szCs w:val="21"/>
          <w:u w:val="single" w:color="auto"/>
          <w:color w:val="auto"/>
        </w:rPr>
        <w:t>Enforcement Expenses</w:t>
      </w:r>
      <w:r>
        <w:rPr>
          <w:rFonts w:ascii="Times New Roman" w:cs="Times New Roman" w:eastAsia="Times New Roman" w:hAnsi="Times New Roman"/>
          <w:sz w:val="21"/>
          <w:szCs w:val="21"/>
          <w:color w:val="auto"/>
        </w:rPr>
        <w:t xml:space="preserve">”) and (ii) without duplication, the Financing Termination Fee. Notwithstanding anything to the contrary set forth in this Agreement or otherwise, each party further acknowledges that (i) the Financing Termination Fee (which shall be payable solely in the circumstances described in </w:t>
      </w:r>
      <w:r>
        <w:rPr>
          <w:rFonts w:ascii="Times New Roman" w:cs="Times New Roman" w:eastAsia="Times New Roman" w:hAnsi="Times New Roman"/>
          <w:sz w:val="21"/>
          <w:szCs w:val="21"/>
          <w:u w:val="single" w:color="auto"/>
          <w:color w:val="auto"/>
        </w:rPr>
        <w:t>Section 9.02(b)</w:t>
      </w:r>
      <w:r>
        <w:rPr>
          <w:rFonts w:ascii="Times New Roman" w:cs="Times New Roman" w:eastAsia="Times New Roman" w:hAnsi="Times New Roman"/>
          <w:sz w:val="21"/>
          <w:szCs w:val="21"/>
          <w:color w:val="auto"/>
        </w:rPr>
        <w:t xml:space="preserve">) and the Enforcement Expenses (which shall be payable solely in the circumstances described in this </w:t>
      </w:r>
      <w:r>
        <w:rPr>
          <w:rFonts w:ascii="Times New Roman" w:cs="Times New Roman" w:eastAsia="Times New Roman" w:hAnsi="Times New Roman"/>
          <w:sz w:val="21"/>
          <w:szCs w:val="21"/>
          <w:u w:val="single" w:color="auto"/>
          <w:color w:val="auto"/>
        </w:rPr>
        <w:t>Section 9.02(c)</w:t>
      </w:r>
      <w:r>
        <w:rPr>
          <w:rFonts w:ascii="Times New Roman" w:cs="Times New Roman" w:eastAsia="Times New Roman" w:hAnsi="Times New Roman"/>
          <w:sz w:val="21"/>
          <w:szCs w:val="21"/>
          <w:color w:val="auto"/>
        </w:rPr>
        <w:t>) are the sole and exclusive remedy of the Seller against Purchaser, the Guarantors under the Limited Guaranty, the parties to the Financing Commitment Letters and any of their respective direct or indirect general or limited partners, members, managers, officers, directors or employees, agents, other equityholders, or representatives or any of their respective Affiliates or Representatives (the “</w:t>
      </w:r>
      <w:r>
        <w:rPr>
          <w:rFonts w:ascii="Times New Roman" w:cs="Times New Roman" w:eastAsia="Times New Roman" w:hAnsi="Times New Roman"/>
          <w:sz w:val="21"/>
          <w:szCs w:val="21"/>
          <w:u w:val="single" w:color="auto"/>
          <w:color w:val="auto"/>
        </w:rPr>
        <w:t>Purchaser Related Parties</w:t>
      </w:r>
      <w:r>
        <w:rPr>
          <w:rFonts w:ascii="Times New Roman" w:cs="Times New Roman" w:eastAsia="Times New Roman" w:hAnsi="Times New Roman"/>
          <w:sz w:val="21"/>
          <w:szCs w:val="21"/>
          <w:color w:val="auto"/>
        </w:rPr>
        <w:t xml:space="preserve">”) for any and all Losses suffered or incurred as a result of, relating to or arising out of this Agreement (including the termination of this Agreement), such Limited Guaranty, the Financing Commitment Letters, the other Transaction Documents and the Transactions, including any breach of this Agreement by Purchaser or the failure to consummate the Transactions, and (ii) except for payment by Purchaser of the Financing Termination Fee and the Enforcement Expenses (in each case, if and when payable as contemplated by the foregoing clause (i)), none of Purchaser or the other Purchaser Related Parties shall have any Liability to Seller or any of its Affiliates as a result of, relating to or arising out of this Agreement, such Limited Guaranty, the Financing Commitment Letters, the other Transaction Documents, or the Transactions, or any claims or actions arising out of any breach of this Agreement, the termination of this Agreement or the failure to consummate the Transactions. For the avoidance of doubt, while the Seller may pursue both a grant of specific performance in accordance with </w:t>
      </w:r>
      <w:r>
        <w:rPr>
          <w:rFonts w:ascii="Times New Roman" w:cs="Times New Roman" w:eastAsia="Times New Roman" w:hAnsi="Times New Roman"/>
          <w:sz w:val="21"/>
          <w:szCs w:val="21"/>
          <w:u w:val="single" w:color="auto"/>
          <w:color w:val="auto"/>
        </w:rPr>
        <w:t>Section 11.09</w:t>
      </w:r>
      <w:r>
        <w:rPr>
          <w:rFonts w:ascii="Times New Roman" w:cs="Times New Roman" w:eastAsia="Times New Roman" w:hAnsi="Times New Roman"/>
          <w:sz w:val="21"/>
          <w:szCs w:val="21"/>
          <w:color w:val="auto"/>
        </w:rPr>
        <w:t xml:space="preserve"> and the payment of the Financing Termination Fee under </w:t>
      </w:r>
      <w:r>
        <w:rPr>
          <w:rFonts w:ascii="Times New Roman" w:cs="Times New Roman" w:eastAsia="Times New Roman" w:hAnsi="Times New Roman"/>
          <w:sz w:val="21"/>
          <w:szCs w:val="21"/>
          <w:u w:val="single" w:color="auto"/>
          <w:color w:val="auto"/>
        </w:rPr>
        <w:t>Section 9.02(b)</w:t>
      </w:r>
      <w:r>
        <w:rPr>
          <w:rFonts w:ascii="Times New Roman" w:cs="Times New Roman" w:eastAsia="Times New Roman" w:hAnsi="Times New Roman"/>
          <w:sz w:val="21"/>
          <w:szCs w:val="21"/>
          <w:color w:val="auto"/>
        </w:rPr>
        <w:t xml:space="preserve"> and Enforcement Expenses (if applicable), under no circumstances shall the Seller be permitted or entitled to receive both such grant of specific performance and the Financing Termination Fee. Seller further agrees that the maximum aggregate liability of Purchaser and all other Purchaser Related Parties, taken as a whole, for money damages shall be limited to an amount equal to the amount of the Financing Termination Fee plus any Enforcement Expenses (which, in each case, shall be payable solely in the circumstances described in </w:t>
      </w:r>
      <w:r>
        <w:rPr>
          <w:rFonts w:ascii="Times New Roman" w:cs="Times New Roman" w:eastAsia="Times New Roman" w:hAnsi="Times New Roman"/>
          <w:sz w:val="21"/>
          <w:szCs w:val="21"/>
          <w:u w:val="single" w:color="auto"/>
          <w:color w:val="auto"/>
        </w:rPr>
        <w:t>Section 9.02(b)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9.02(c)</w:t>
      </w:r>
      <w:r>
        <w:rPr>
          <w:rFonts w:ascii="Times New Roman" w:cs="Times New Roman" w:eastAsia="Times New Roman" w:hAnsi="Times New Roman"/>
          <w:sz w:val="21"/>
          <w:szCs w:val="21"/>
          <w:color w:val="auto"/>
        </w:rPr>
        <w:t xml:space="preserve">, as applicable), and in no event shall Seller seek to recover, or be entitled to recover, and hereby irrevocably waives on behalf of itself and its Affiliates any ability to recover, any money damages in excess of such amount. Nothing in this </w:t>
      </w:r>
      <w:r>
        <w:rPr>
          <w:rFonts w:ascii="Times New Roman" w:cs="Times New Roman" w:eastAsia="Times New Roman" w:hAnsi="Times New Roman"/>
          <w:sz w:val="21"/>
          <w:szCs w:val="21"/>
          <w:u w:val="single" w:color="auto"/>
          <w:color w:val="auto"/>
        </w:rPr>
        <w:t>Section 9.02(c)</w:t>
      </w:r>
      <w:r>
        <w:rPr>
          <w:rFonts w:ascii="Times New Roman" w:cs="Times New Roman" w:eastAsia="Times New Roman" w:hAnsi="Times New Roman"/>
          <w:sz w:val="21"/>
          <w:szCs w:val="21"/>
          <w:color w:val="auto"/>
        </w:rPr>
        <w:t xml:space="preserve"> or otherwise in this Agreement shall limit the rights and remedies of Purchaser, or the obligations of the Financing Sources, under the Debt Commitment Letters or any Definitive Agreement.</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37" w:lineRule="exact"/>
        <w:rPr>
          <w:rFonts w:ascii="Times New Roman" w:cs="Times New Roman" w:eastAsia="Times New Roman" w:hAnsi="Times New Roman"/>
          <w:sz w:val="21"/>
          <w:szCs w:val="21"/>
          <w:color w:val="auto"/>
        </w:rPr>
      </w:pPr>
    </w:p>
    <w:p>
      <w:pPr>
        <w:ind w:left="136" w:hanging="136"/>
        <w:spacing w:after="0"/>
        <w:tabs>
          <w:tab w:leader="none" w:pos="136"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99 -</w:t>
      </w:r>
    </w:p>
    <w:p>
      <w:pPr>
        <w:sectPr>
          <w:pgSz w:w="11900" w:h="16838" w:orient="portrait"/>
          <w:cols w:equalWidth="0" w:num="1">
            <w:col w:w="11016"/>
          </w:cols>
          <w:pgMar w:left="544" w:top="1422" w:right="339" w:bottom="1440" w:gutter="0" w:footer="0" w:header="0"/>
        </w:sectPr>
      </w:pPr>
    </w:p>
    <w:bookmarkStart w:id="168" w:name="page169"/>
    <w:bookmarkEnd w:id="168"/>
    <w:p>
      <w:pPr>
        <w:jc w:val="center"/>
        <w:spacing w:after="0"/>
        <w:rPr>
          <w:sz w:val="20"/>
          <w:szCs w:val="20"/>
          <w:color w:val="auto"/>
        </w:rPr>
      </w:pPr>
      <w:r>
        <w:rPr>
          <w:rFonts w:ascii="Times New Roman" w:cs="Times New Roman" w:eastAsia="Times New Roman" w:hAnsi="Times New Roman"/>
          <w:sz w:val="22"/>
          <w:szCs w:val="22"/>
          <w:color w:val="auto"/>
        </w:rPr>
        <w:t>ARTICLE X</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Indemnification</w:t>
      </w:r>
    </w:p>
    <w:p>
      <w:pPr>
        <w:spacing w:after="0" w:line="220" w:lineRule="exact"/>
        <w:rPr>
          <w:sz w:val="20"/>
          <w:szCs w:val="20"/>
          <w:color w:val="auto"/>
        </w:rPr>
      </w:pPr>
    </w:p>
    <w:p>
      <w:pPr>
        <w:jc w:val="both"/>
        <w:ind w:left="80"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10.01 </w:t>
      </w:r>
      <w:r>
        <w:rPr>
          <w:rFonts w:ascii="Times New Roman" w:cs="Times New Roman" w:eastAsia="Times New Roman" w:hAnsi="Times New Roman"/>
          <w:sz w:val="22"/>
          <w:szCs w:val="22"/>
          <w:u w:val="single" w:color="auto"/>
          <w:color w:val="auto"/>
        </w:rPr>
        <w:t>No Survival</w:t>
      </w:r>
      <w:r>
        <w:rPr>
          <w:rFonts w:ascii="Times New Roman" w:cs="Times New Roman" w:eastAsia="Times New Roman" w:hAnsi="Times New Roman"/>
          <w:sz w:val="22"/>
          <w:szCs w:val="22"/>
          <w:color w:val="auto"/>
        </w:rPr>
        <w:t>. The parties hereto, intending to modify any applicable statute of limitations, agree that (a) representations and warranties in this Agreement shall terminate effective as of the Closing and shall not survive the Closing for any purpose, and thereafter there shall be no Liability on the part of, nor shall any claim be made by, any party or any of its Affiliates in respect thereof, including any breach thereof, and (b) after the Closing, there shall be no Liability on the part of, nor shall any claim be made by, any party or any of its Affiliates in respect of any covenant or agreement to be performed at or prior to the Closing, in each case, other than, and solely in the case of, Fraud. All covenants and agreements contained in this Agreement that by their terms contemplate performance thereof following the Closing (including indemnification obligations) or otherwise expressly by their terms survive the Closing will survive the Closing in accordance with their terms. After the Closing, no party may bring any Action seeking to rescind the Transactions or this Agreement, whether based on knowing or intentional misconduct, gross negligence, negligence, breach of contract, breach of statute, tort or otherwise, but without limiting any party’s rights in the case of Fraud.</w:t>
      </w:r>
    </w:p>
    <w:p>
      <w:pPr>
        <w:spacing w:after="0" w:line="189" w:lineRule="exact"/>
        <w:rPr>
          <w:sz w:val="20"/>
          <w:szCs w:val="20"/>
          <w:color w:val="auto"/>
        </w:rPr>
      </w:pPr>
    </w:p>
    <w:p>
      <w:pPr>
        <w:jc w:val="both"/>
        <w:ind w:left="80" w:firstLine="1296"/>
        <w:spacing w:after="0" w:line="281" w:lineRule="auto"/>
        <w:rPr>
          <w:sz w:val="20"/>
          <w:szCs w:val="20"/>
          <w:color w:val="auto"/>
        </w:rPr>
      </w:pPr>
      <w:r>
        <w:rPr>
          <w:rFonts w:ascii="Times New Roman" w:cs="Times New Roman" w:eastAsia="Times New Roman" w:hAnsi="Times New Roman"/>
          <w:sz w:val="21"/>
          <w:szCs w:val="21"/>
          <w:color w:val="auto"/>
        </w:rPr>
        <w:t xml:space="preserve">Section 10.02 </w:t>
      </w:r>
      <w:r>
        <w:rPr>
          <w:rFonts w:ascii="Times New Roman" w:cs="Times New Roman" w:eastAsia="Times New Roman" w:hAnsi="Times New Roman"/>
          <w:sz w:val="21"/>
          <w:szCs w:val="21"/>
          <w:u w:val="single" w:color="auto"/>
          <w:color w:val="auto"/>
        </w:rPr>
        <w:t>Indemnification by the Seller</w:t>
      </w:r>
      <w:r>
        <w:rPr>
          <w:rFonts w:ascii="Times New Roman" w:cs="Times New Roman" w:eastAsia="Times New Roman" w:hAnsi="Times New Roman"/>
          <w:sz w:val="21"/>
          <w:szCs w:val="21"/>
          <w:color w:val="auto"/>
        </w:rPr>
        <w:t>. From and after the Closing Date, the Seller shall indemnify, defend and hold harmless Purchaser and each of its Affiliates and its and their respective Representatives (collectively, the “</w:t>
      </w:r>
      <w:r>
        <w:rPr>
          <w:rFonts w:ascii="Times New Roman" w:cs="Times New Roman" w:eastAsia="Times New Roman" w:hAnsi="Times New Roman"/>
          <w:sz w:val="21"/>
          <w:szCs w:val="21"/>
          <w:u w:val="single" w:color="auto"/>
          <w:color w:val="auto"/>
        </w:rPr>
        <w:t>Purchaser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Indemnitees</w:t>
      </w:r>
      <w:r>
        <w:rPr>
          <w:rFonts w:ascii="Times New Roman" w:cs="Times New Roman" w:eastAsia="Times New Roman" w:hAnsi="Times New Roman"/>
          <w:sz w:val="21"/>
          <w:szCs w:val="21"/>
          <w:color w:val="auto"/>
        </w:rPr>
        <w:t>”) from and against any and all Losses, to the extent arising, or resulting from, or relating to, any of the following:</w:t>
      </w:r>
    </w:p>
    <w:p>
      <w:pPr>
        <w:spacing w:after="0" w:line="151" w:lineRule="exact"/>
        <w:rPr>
          <w:sz w:val="20"/>
          <w:szCs w:val="20"/>
          <w:color w:val="auto"/>
        </w:rPr>
      </w:pPr>
    </w:p>
    <w:p>
      <w:pPr>
        <w:ind w:left="1740" w:hanging="436"/>
        <w:spacing w:after="0"/>
        <w:tabs>
          <w:tab w:leader="none" w:pos="174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Excluded Assets or Retained Liabilities; and</w:t>
      </w:r>
    </w:p>
    <w:p>
      <w:pPr>
        <w:spacing w:after="0" w:line="219" w:lineRule="exact"/>
        <w:rPr>
          <w:rFonts w:ascii="Times New Roman" w:cs="Times New Roman" w:eastAsia="Times New Roman" w:hAnsi="Times New Roman"/>
          <w:sz w:val="22"/>
          <w:szCs w:val="22"/>
          <w:color w:val="auto"/>
        </w:rPr>
      </w:pPr>
    </w:p>
    <w:p>
      <w:pPr>
        <w:jc w:val="both"/>
        <w:ind w:firstLine="1304"/>
        <w:spacing w:after="0" w:line="253" w:lineRule="auto"/>
        <w:tabs>
          <w:tab w:leader="none" w:pos="1791"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breach of, or failure to perform, any covenant or agreement of the Seller hereunder (in each case during the period such covenant or agreement survives, unless a claim for indemnification with respect thereto has previously been made in accordance with this Agreement, in which case any such claim shall survive until the final resolution thereof) that by its terms contemplates performance thereof following the Closing (including indemnification obligations) or otherwise expressly by its terms survive the Closing.</w:t>
      </w:r>
    </w:p>
    <w:p>
      <w:pPr>
        <w:spacing w:after="0" w:line="179" w:lineRule="exact"/>
        <w:rPr>
          <w:sz w:val="20"/>
          <w:szCs w:val="20"/>
          <w:color w:val="auto"/>
        </w:rPr>
      </w:pPr>
    </w:p>
    <w:p>
      <w:pPr>
        <w:jc w:val="both"/>
        <w:ind w:left="80"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10.03 </w:t>
      </w:r>
      <w:r>
        <w:rPr>
          <w:rFonts w:ascii="Times New Roman" w:cs="Times New Roman" w:eastAsia="Times New Roman" w:hAnsi="Times New Roman"/>
          <w:sz w:val="22"/>
          <w:szCs w:val="22"/>
          <w:u w:val="single" w:color="auto"/>
          <w:color w:val="auto"/>
        </w:rPr>
        <w:t>Indemnification by Purchaser</w:t>
      </w:r>
      <w:r>
        <w:rPr>
          <w:rFonts w:ascii="Times New Roman" w:cs="Times New Roman" w:eastAsia="Times New Roman" w:hAnsi="Times New Roman"/>
          <w:sz w:val="22"/>
          <w:szCs w:val="22"/>
          <w:color w:val="auto"/>
        </w:rPr>
        <w:t>. From and after the Closing Date, Purchaser shall indemnify, defend and hold harmless the Seller and each of its Affiliates and its and their respective Representatives (collectively, the “</w:t>
      </w:r>
      <w:r>
        <w:rPr>
          <w:rFonts w:ascii="Times New Roman" w:cs="Times New Roman" w:eastAsia="Times New Roman" w:hAnsi="Times New Roman"/>
          <w:sz w:val="22"/>
          <w:szCs w:val="22"/>
          <w:u w:val="single" w:color="auto"/>
          <w:color w:val="auto"/>
        </w:rPr>
        <w:t>Seller Indemnitees</w:t>
      </w:r>
      <w:r>
        <w:rPr>
          <w:rFonts w:ascii="Times New Roman" w:cs="Times New Roman" w:eastAsia="Times New Roman" w:hAnsi="Times New Roman"/>
          <w:sz w:val="22"/>
          <w:szCs w:val="22"/>
          <w:color w:val="auto"/>
        </w:rPr>
        <w:t>”) from and against any and all Losses, to the extent arising, or resulting from, or relating to, any of the following:</w:t>
      </w:r>
    </w:p>
    <w:p>
      <w:pPr>
        <w:spacing w:after="0" w:line="176" w:lineRule="exact"/>
        <w:rPr>
          <w:sz w:val="20"/>
          <w:szCs w:val="20"/>
          <w:color w:val="auto"/>
        </w:rPr>
      </w:pPr>
    </w:p>
    <w:p>
      <w:pPr>
        <w:ind w:left="1760" w:hanging="456"/>
        <w:spacing w:after="0"/>
        <w:tabs>
          <w:tab w:leader="none" w:pos="1760"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Transferred Assets or Assumed Liabilities; and</w:t>
      </w:r>
    </w:p>
    <w:p>
      <w:pPr>
        <w:spacing w:after="0" w:line="219" w:lineRule="exact"/>
        <w:rPr>
          <w:rFonts w:ascii="Times New Roman" w:cs="Times New Roman" w:eastAsia="Times New Roman" w:hAnsi="Times New Roman"/>
          <w:sz w:val="22"/>
          <w:szCs w:val="22"/>
          <w:color w:val="auto"/>
        </w:rPr>
      </w:pPr>
    </w:p>
    <w:p>
      <w:pPr>
        <w:jc w:val="both"/>
        <w:ind w:firstLine="1304"/>
        <w:spacing w:after="0" w:line="253" w:lineRule="auto"/>
        <w:tabs>
          <w:tab w:leader="none" w:pos="1787"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breach of, or failure to perform, any covenant or agreement of Purchaser hereunder (in each case during the period such covenant or agreement survives, unless a claim for indemnification with respect thereto has previously been made in accordance with this Agreement, in which case any such claim shall survive until the final resolution thereof) that by its terms contemplates performance thereof following the Closing (including indemnification obligations) or otherwise expressly by its terms survive the Closing.</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8" w:lineRule="exact"/>
        <w:rPr>
          <w:rFonts w:ascii="Times New Roman" w:cs="Times New Roman" w:eastAsia="Times New Roman" w:hAnsi="Times New Roman"/>
          <w:sz w:val="22"/>
          <w:szCs w:val="22"/>
          <w:color w:val="auto"/>
        </w:rPr>
      </w:pPr>
    </w:p>
    <w:p>
      <w:pPr>
        <w:ind w:left="360" w:hanging="136"/>
        <w:spacing w:after="0"/>
        <w:tabs>
          <w:tab w:leader="none" w:pos="36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100 -</w:t>
      </w:r>
    </w:p>
    <w:p>
      <w:pPr>
        <w:sectPr>
          <w:pgSz w:w="11900" w:h="16838" w:orient="portrait"/>
          <w:cols w:equalWidth="0" w:num="1">
            <w:col w:w="11240"/>
          </w:cols>
          <w:pgMar w:left="320" w:top="1422" w:right="339" w:bottom="1440" w:gutter="0" w:footer="0" w:header="0"/>
        </w:sectPr>
      </w:pPr>
    </w:p>
    <w:bookmarkStart w:id="169" w:name="page170"/>
    <w:bookmarkEnd w:id="169"/>
    <w:p>
      <w:pPr>
        <w:ind w:left="1156"/>
        <w:spacing w:after="0"/>
        <w:tabs>
          <w:tab w:leader="none" w:pos="2536" w:val="left"/>
        </w:tabs>
        <w:rPr>
          <w:sz w:val="20"/>
          <w:szCs w:val="20"/>
          <w:color w:val="auto"/>
        </w:rPr>
      </w:pPr>
      <w:r>
        <w:rPr>
          <w:rFonts w:ascii="Times New Roman" w:cs="Times New Roman" w:eastAsia="Times New Roman" w:hAnsi="Times New Roman"/>
          <w:sz w:val="22"/>
          <w:szCs w:val="22"/>
          <w:color w:val="auto"/>
        </w:rPr>
        <w:t>Section 10.04</w:t>
      </w:r>
      <w:r>
        <w:rPr>
          <w:sz w:val="20"/>
          <w:szCs w:val="20"/>
          <w:color w:val="auto"/>
        </w:rPr>
        <w:tab/>
      </w:r>
      <w:r>
        <w:rPr>
          <w:rFonts w:ascii="Times New Roman" w:cs="Times New Roman" w:eastAsia="Times New Roman" w:hAnsi="Times New Roman"/>
          <w:sz w:val="21"/>
          <w:szCs w:val="21"/>
          <w:u w:val="single" w:color="auto"/>
          <w:color w:val="auto"/>
        </w:rPr>
        <w:t>Indemnification Procedures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536" w:hanging="456"/>
        <w:spacing w:after="0"/>
        <w:tabs>
          <w:tab w:leader="none" w:pos="1536" w:val="left"/>
        </w:tabs>
        <w:numPr>
          <w:ilvl w:val="1"/>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Procedures Relating to Indemnification of Third Party Claims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516" w:firstLine="645"/>
        <w:spacing w:after="0" w:line="248" w:lineRule="auto"/>
        <w:tabs>
          <w:tab w:leader="none" w:pos="1602" w:val="left"/>
        </w:tabs>
        <w:numPr>
          <w:ilvl w:val="2"/>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party hereto (the “</w:t>
      </w:r>
      <w:r>
        <w:rPr>
          <w:rFonts w:ascii="Times New Roman" w:cs="Times New Roman" w:eastAsia="Times New Roman" w:hAnsi="Times New Roman"/>
          <w:sz w:val="22"/>
          <w:szCs w:val="22"/>
          <w:u w:val="single" w:color="auto"/>
          <w:color w:val="auto"/>
        </w:rPr>
        <w:t>Indemnified Party</w:t>
      </w:r>
      <w:r>
        <w:rPr>
          <w:rFonts w:ascii="Times New Roman" w:cs="Times New Roman" w:eastAsia="Times New Roman" w:hAnsi="Times New Roman"/>
          <w:sz w:val="22"/>
          <w:szCs w:val="22"/>
          <w:color w:val="auto"/>
        </w:rPr>
        <w:t xml:space="preserve">”) receives written notice of the commencement of any Action or the assertion of any claim by a third party or the imposition of any penalty or assessment for which indemnity may be sought under </w:t>
      </w:r>
      <w:r>
        <w:rPr>
          <w:rFonts w:ascii="Times New Roman" w:cs="Times New Roman" w:eastAsia="Times New Roman" w:hAnsi="Times New Roman"/>
          <w:sz w:val="22"/>
          <w:szCs w:val="22"/>
          <w:u w:val="single" w:color="auto"/>
          <w:color w:val="auto"/>
        </w:rPr>
        <w:t>Section 10.02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10.03</w:t>
      </w:r>
      <w:r>
        <w:rPr>
          <w:rFonts w:ascii="Times New Roman" w:cs="Times New Roman" w:eastAsia="Times New Roman" w:hAnsi="Times New Roman"/>
          <w:sz w:val="22"/>
          <w:szCs w:val="22"/>
          <w:color w:val="auto"/>
        </w:rPr>
        <w:t>, as applicable (a “</w:t>
      </w:r>
      <w:r>
        <w:rPr>
          <w:rFonts w:ascii="Times New Roman" w:cs="Times New Roman" w:eastAsia="Times New Roman" w:hAnsi="Times New Roman"/>
          <w:sz w:val="22"/>
          <w:szCs w:val="22"/>
          <w:u w:val="single" w:color="auto"/>
          <w:color w:val="auto"/>
        </w:rPr>
        <w:t>Third Party Claim</w:t>
      </w:r>
      <w:r>
        <w:rPr>
          <w:rFonts w:ascii="Times New Roman" w:cs="Times New Roman" w:eastAsia="Times New Roman" w:hAnsi="Times New Roman"/>
          <w:sz w:val="22"/>
          <w:szCs w:val="22"/>
          <w:color w:val="auto"/>
        </w:rPr>
        <w:t xml:space="preserve">”), and such Indemnified Party intends to seek indemnification pursuant to this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the Indemnified Party shall promptly provide the other party (the “</w:t>
      </w:r>
      <w:r>
        <w:rPr>
          <w:rFonts w:ascii="Times New Roman" w:cs="Times New Roman" w:eastAsia="Times New Roman" w:hAnsi="Times New Roman"/>
          <w:sz w:val="22"/>
          <w:szCs w:val="22"/>
          <w:u w:val="single" w:color="auto"/>
          <w:color w:val="auto"/>
        </w:rPr>
        <w:t>Indemnifying Party</w:t>
      </w:r>
      <w:r>
        <w:rPr>
          <w:rFonts w:ascii="Times New Roman" w:cs="Times New Roman" w:eastAsia="Times New Roman" w:hAnsi="Times New Roman"/>
          <w:sz w:val="22"/>
          <w:szCs w:val="22"/>
          <w:color w:val="auto"/>
        </w:rPr>
        <w:t>”) with written notice of such Third Party Claim, stating the nature, basis and the amount thereof, in each case, to the extent then known, along with copies of the relevant documents evidencing such Third Party Claim and the basis for indemnification sought. Failure of the Indemnified Party to give such notice will not relieve the Indemnifying Party from Liability in respect of its indemnification obligation, except if and only to the extent that the Indemnifying Party is materially prejudiced thereby. The Indemnifying Party shall have the right, by giving written notice irrevocably acknowledging and agreeing that the Indemnifying Party will be fully responsible for any and all Losses arising out of such Third Party Claim delivered to the Indemnified Party within twenty (20) Business Days of the receipt of notice of such Third Party Claim, to assume the defense of the Indemnified Party against the Third Party Claim with counsel reasonably selected by the Indemnifying Party.</w:t>
      </w:r>
    </w:p>
    <w:p>
      <w:pPr>
        <w:spacing w:after="0" w:line="192" w:lineRule="exact"/>
        <w:rPr>
          <w:rFonts w:ascii="Times New Roman" w:cs="Times New Roman" w:eastAsia="Times New Roman" w:hAnsi="Times New Roman"/>
          <w:sz w:val="22"/>
          <w:szCs w:val="22"/>
          <w:color w:val="auto"/>
        </w:rPr>
      </w:pPr>
    </w:p>
    <w:p>
      <w:pPr>
        <w:jc w:val="both"/>
        <w:ind w:left="516" w:firstLine="645"/>
        <w:spacing w:after="0" w:line="247" w:lineRule="auto"/>
        <w:tabs>
          <w:tab w:leader="none" w:pos="1806" w:val="left"/>
        </w:tabs>
        <w:numPr>
          <w:ilvl w:val="2"/>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the Indemnifying Party has assumed the defense of the Third Party Claim in accordance herewith, (A) the Indemnifying Party shall actively pursue such defense in good faith, (B) the Indemnified Party may retain separate co-counsel at its sole cost and expense (except as contemplated by the following sentence) and participate in, and be consulted on, the defense of the Third Party Claim (subject to the Indemnifying Party’s right to control such defense), (C) the Indemnified Party shall not file any papers or consent to the entry of any Judgment or enter into any settlement with respect to the Third Party Claim without the prior written consent of the Indemnifying Party (which consent shall not be unreasonably withheld, conditioned or delayed), and (D) the Indemnifying Party shall not compromise or otherwise enter into any Judgment or settlement of any Third Party Claim without the prior written consent of the Indemnified Party (which consent shall not be unreasonably withheld, conditioned or delayed), other than a compromise, Judgment or settlement that (1) is on exclusively monetary terms with such monetary amounts paid by the Indemnifying Party in full concurrently with the effectiveness of the compromise, Judgment or settlement (and, for the avoidance of doubt, does not include any non-monetary remedy or obligation), (2) does not involve any finding or admission of violation of Law or rights of any Person or admission of wrongdoing by the Indemnified Party and (3) provides in customary form, an unconditional release of, or dismissal with prejudice of, all claims against any Indemnified Party potentially affected by such Third Party Claim. In the event that the Indemnified Party determines in good faith that a conflict of interest exists in respect of a Third Party Claim, then the Indemnified Party shall have the right to retain separate counsel selected by the Indemnified Party and reasonably satisfactory to the Indemnifying Party to represent the Indemnified Party in the defense of the Third Party Claim, and the reasonable legal fees and expenses of the Indemnified Party shall be paid by the Indemnifying Party. Subject to the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2" w:lineRule="exact"/>
        <w:rPr>
          <w:rFonts w:ascii="Times New Roman" w:cs="Times New Roman" w:eastAsia="Times New Roman" w:hAnsi="Times New Roman"/>
          <w:sz w:val="22"/>
          <w:szCs w:val="22"/>
          <w:color w:val="auto"/>
        </w:rPr>
      </w:pPr>
    </w:p>
    <w:p>
      <w:pPr>
        <w:ind w:left="136" w:hanging="136"/>
        <w:spacing w:after="0"/>
        <w:tabs>
          <w:tab w:leader="none" w:pos="136"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101 -</w:t>
      </w:r>
    </w:p>
    <w:p>
      <w:pPr>
        <w:sectPr>
          <w:pgSz w:w="11900" w:h="16838" w:orient="portrait"/>
          <w:cols w:equalWidth="0" w:num="1">
            <w:col w:w="11016"/>
          </w:cols>
          <w:pgMar w:left="544" w:top="1422" w:right="339" w:bottom="1440" w:gutter="0" w:footer="0" w:header="0"/>
        </w:sectPr>
      </w:pPr>
    </w:p>
    <w:bookmarkStart w:id="170" w:name="page171"/>
    <w:bookmarkEnd w:id="170"/>
    <w:p>
      <w:pPr>
        <w:ind w:left="516" w:right="20"/>
        <w:spacing w:after="0" w:line="271" w:lineRule="auto"/>
        <w:rPr>
          <w:sz w:val="20"/>
          <w:szCs w:val="20"/>
          <w:color w:val="auto"/>
        </w:rPr>
      </w:pPr>
      <w:r>
        <w:rPr>
          <w:rFonts w:ascii="Times New Roman" w:cs="Times New Roman" w:eastAsia="Times New Roman" w:hAnsi="Times New Roman"/>
          <w:sz w:val="22"/>
          <w:szCs w:val="22"/>
          <w:color w:val="auto"/>
        </w:rPr>
        <w:t>foregoing, the Indemnified Party shall have the right to employ separate legal counsel and to participate in but not control the defense of such Third Party Claim at its own cost and expense.</w:t>
      </w:r>
    </w:p>
    <w:p>
      <w:pPr>
        <w:spacing w:after="0" w:line="158" w:lineRule="exact"/>
        <w:rPr>
          <w:sz w:val="20"/>
          <w:szCs w:val="20"/>
          <w:color w:val="auto"/>
        </w:rPr>
      </w:pPr>
    </w:p>
    <w:p>
      <w:pPr>
        <w:jc w:val="both"/>
        <w:ind w:left="516" w:firstLine="645"/>
        <w:spacing w:after="0" w:line="264" w:lineRule="auto"/>
        <w:tabs>
          <w:tab w:leader="none" w:pos="1812" w:val="left"/>
        </w:tabs>
        <w:numPr>
          <w:ilvl w:val="3"/>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the foregoing in this </w:t>
      </w:r>
      <w:r>
        <w:rPr>
          <w:rFonts w:ascii="Times New Roman" w:cs="Times New Roman" w:eastAsia="Times New Roman" w:hAnsi="Times New Roman"/>
          <w:sz w:val="21"/>
          <w:szCs w:val="21"/>
          <w:u w:val="single" w:color="auto"/>
          <w:color w:val="auto"/>
        </w:rPr>
        <w:t>Section 10.04(a)</w:t>
      </w:r>
      <w:r>
        <w:rPr>
          <w:rFonts w:ascii="Times New Roman" w:cs="Times New Roman" w:eastAsia="Times New Roman" w:hAnsi="Times New Roman"/>
          <w:sz w:val="21"/>
          <w:szCs w:val="21"/>
          <w:color w:val="auto"/>
        </w:rPr>
        <w:t>, the Indemnifying Party shall not be entitled to assume the defense of any Third Party Claim if the Third Party Claim (A) seeks an order, injunction or other equitable relief or relief other than monetary damages against the Indemnified Party that the Indemnified Party reasonably determines, after conferring with its outside counsel, cannot be separated from any related claim for monetary damages,</w:t>
      </w:r>
    </w:p>
    <w:p>
      <w:pPr>
        <w:jc w:val="both"/>
        <w:ind w:left="516" w:hanging="3"/>
        <w:spacing w:after="0" w:line="246" w:lineRule="auto"/>
        <w:tabs>
          <w:tab w:leader="none" w:pos="858"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involves alleged criminal conduct by an Indemnified Party or otherwise seeks a finding or admission of a violation of Law (including any Third Party Claim seeking to impose criminal fines, penalties or sanctions) or any Judgment of a Governmental Authority against the Indemnified Party, (C) if a Seller Indemnitee is entitled to indemnification, such claim primarily relates to the Retained Businesses, (D) involves a Governmental Authority or if a Purchaser Indemnitee is entitled to indemnification, such claim involves a material business relation of the Business, or (E) in the event that the Indemnified Party determines in good faith that a conflict of interest exists between the Indemnifying Party and the Indemnified Party in connection with the defense of such Third Party Claim. If the Indemnifying Party does not assume the control and defense of a Third Party Claim, the Indemnified Party shall be entitled to assume and control such defense, but the Indemnifying Party shall nevertheless be entitled to participate in the defense of such claim at its own cost and expense.</w:t>
      </w:r>
    </w:p>
    <w:p>
      <w:pPr>
        <w:spacing w:after="0" w:line="190" w:lineRule="exact"/>
        <w:rPr>
          <w:rFonts w:ascii="Times New Roman" w:cs="Times New Roman" w:eastAsia="Times New Roman" w:hAnsi="Times New Roman"/>
          <w:sz w:val="22"/>
          <w:szCs w:val="22"/>
          <w:color w:val="auto"/>
        </w:rPr>
      </w:pPr>
    </w:p>
    <w:p>
      <w:pPr>
        <w:jc w:val="both"/>
        <w:ind w:left="516" w:firstLine="645"/>
        <w:spacing w:after="0" w:line="261" w:lineRule="auto"/>
        <w:tabs>
          <w:tab w:leader="none" w:pos="1777" w:val="left"/>
        </w:tabs>
        <w:numPr>
          <w:ilvl w:val="3"/>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shall use commercially reasonable efforts to mitigate Losses from Third Party Claims to the extent required by applicable law and shall act in good faith in responding to, defending against, settling or otherwise dealing with such claims. The parties hereto shall also cooperate in any such defense and give each other reasonable access to all information relevant thereto, including those employees reasonably necessary to assist in the investigation, defense and resolution of the Third Party Claim, subject, where deemed reasonably necessary by the disclosing party, to the entry into customary joint defense agreements and similar arrangements to protect information subject to attorney work product protection, attorney client privilege or other established legal privilege. Whether or not the Indemnifying Party has assumed the defense, such Indemnifying Party shall not be obligated to indemnify the Indemnified Party hereunder for any settlement entered into or any Judgment that was consented to by the Indemnified Party without the Indemnifying Party’s prior written consent (which, if the Indemnifying Party has not assumed the defense of such Third Party Claim in accordance herewith, shall not be unreasonably withheld, conditioned or delayed).</w:t>
      </w:r>
    </w:p>
    <w:p>
      <w:pPr>
        <w:spacing w:after="0" w:line="175" w:lineRule="exact"/>
        <w:rPr>
          <w:rFonts w:ascii="Times New Roman" w:cs="Times New Roman" w:eastAsia="Times New Roman" w:hAnsi="Times New Roman"/>
          <w:sz w:val="21"/>
          <w:szCs w:val="21"/>
          <w:color w:val="auto"/>
        </w:rPr>
      </w:pPr>
    </w:p>
    <w:p>
      <w:pPr>
        <w:jc w:val="both"/>
        <w:ind w:left="-224" w:firstLine="1304"/>
        <w:spacing w:after="0" w:line="251" w:lineRule="auto"/>
        <w:tabs>
          <w:tab w:leader="none" w:pos="1688" w:val="left"/>
        </w:tabs>
        <w:numPr>
          <w:ilvl w:val="2"/>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Procedures for Non-Third Party Claims.</w:t>
      </w:r>
      <w:r>
        <w:rPr>
          <w:rFonts w:ascii="Times New Roman" w:cs="Times New Roman" w:eastAsia="Times New Roman" w:hAnsi="Times New Roman"/>
          <w:sz w:val="22"/>
          <w:szCs w:val="22"/>
          <w:color w:val="auto"/>
        </w:rPr>
        <w:t xml:space="preserve"> The Indemnified Party shall notify the Indemnifying Party in writing promptly of its discovery of any matter that does not involve a Third Party Claim giving rise to the claim of indemnification pursuant hereto. The failure so to notify the Indemnifying Party shall not relieve the Indemnifying Party from Liability in respect of its indemnification obligation, except if and only to the extent that the Indemnifying Party is materially prejudiced thereby. Each party shall use commercially reasonable efforts to the extent required by applicable law to mitigate Losses from such claims.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0" w:lineRule="exact"/>
        <w:rPr>
          <w:rFonts w:ascii="Times New Roman" w:cs="Times New Roman" w:eastAsia="Times New Roman" w:hAnsi="Times New Roman"/>
          <w:sz w:val="22"/>
          <w:szCs w:val="22"/>
          <w:color w:val="auto"/>
        </w:rPr>
      </w:pPr>
    </w:p>
    <w:p>
      <w:pPr>
        <w:ind w:left="136" w:hanging="136"/>
        <w:spacing w:after="0"/>
        <w:tabs>
          <w:tab w:leader="none" w:pos="136"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102 -</w:t>
      </w:r>
    </w:p>
    <w:p>
      <w:pPr>
        <w:sectPr>
          <w:pgSz w:w="11900" w:h="16838" w:orient="portrait"/>
          <w:cols w:equalWidth="0" w:num="1">
            <w:col w:w="11016"/>
          </w:cols>
          <w:pgMar w:left="544" w:top="1422" w:right="339" w:bottom="1440" w:gutter="0" w:footer="0" w:header="0"/>
        </w:sectPr>
      </w:pPr>
    </w:p>
    <w:bookmarkStart w:id="171" w:name="page172"/>
    <w:bookmarkEnd w:id="171"/>
    <w:p>
      <w:pPr>
        <w:ind w:left="1156"/>
        <w:spacing w:after="0"/>
        <w:tabs>
          <w:tab w:leader="none" w:pos="2536" w:val="left"/>
        </w:tabs>
        <w:rPr>
          <w:sz w:val="20"/>
          <w:szCs w:val="20"/>
          <w:color w:val="auto"/>
        </w:rPr>
      </w:pPr>
      <w:r>
        <w:rPr>
          <w:rFonts w:ascii="Times New Roman" w:cs="Times New Roman" w:eastAsia="Times New Roman" w:hAnsi="Times New Roman"/>
          <w:sz w:val="22"/>
          <w:szCs w:val="22"/>
          <w:color w:val="auto"/>
        </w:rPr>
        <w:t>Section 10.05</w:t>
      </w:r>
      <w:r>
        <w:rPr>
          <w:sz w:val="20"/>
          <w:szCs w:val="20"/>
          <w:color w:val="auto"/>
        </w:rPr>
        <w:tab/>
      </w:r>
      <w:r>
        <w:rPr>
          <w:rFonts w:ascii="Times New Roman" w:cs="Times New Roman" w:eastAsia="Times New Roman" w:hAnsi="Times New Roman"/>
          <w:sz w:val="21"/>
          <w:szCs w:val="21"/>
          <w:u w:val="single" w:color="auto"/>
          <w:color w:val="auto"/>
        </w:rPr>
        <w:t>Indemnification of Retained Legacy Environmental Release Liabilities.</w:t>
      </w:r>
    </w:p>
    <w:p>
      <w:pPr>
        <w:spacing w:after="0" w:line="220" w:lineRule="exact"/>
        <w:rPr>
          <w:sz w:val="20"/>
          <w:szCs w:val="20"/>
          <w:color w:val="auto"/>
        </w:rPr>
      </w:pPr>
    </w:p>
    <w:p>
      <w:pPr>
        <w:ind w:left="-224" w:firstLine="1304"/>
        <w:spacing w:after="0" w:line="271" w:lineRule="auto"/>
        <w:tabs>
          <w:tab w:leader="none" w:pos="1567" w:val="left"/>
        </w:tabs>
        <w:numPr>
          <w:ilvl w:val="2"/>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or its designee shall direct and control the manner and method of the work performed with respect to Legacy Environmental Release Liabilities (the “</w:t>
      </w:r>
      <w:r>
        <w:rPr>
          <w:rFonts w:ascii="Times New Roman" w:cs="Times New Roman" w:eastAsia="Times New Roman" w:hAnsi="Times New Roman"/>
          <w:sz w:val="22"/>
          <w:szCs w:val="22"/>
          <w:u w:val="single" w:color="auto"/>
          <w:color w:val="auto"/>
        </w:rPr>
        <w:t>LERL Efforts</w:t>
      </w:r>
      <w:r>
        <w:rPr>
          <w:rFonts w:ascii="Times New Roman" w:cs="Times New Roman" w:eastAsia="Times New Roman" w:hAnsi="Times New Roman"/>
          <w:sz w:val="22"/>
          <w:szCs w:val="22"/>
          <w:color w:val="auto"/>
        </w:rPr>
        <w:t xml:space="preserve">”), subject to the terms of this </w:t>
      </w:r>
      <w:r>
        <w:rPr>
          <w:rFonts w:ascii="Times New Roman" w:cs="Times New Roman" w:eastAsia="Times New Roman" w:hAnsi="Times New Roman"/>
          <w:sz w:val="22"/>
          <w:szCs w:val="22"/>
          <w:u w:val="single" w:color="auto"/>
          <w:color w:val="auto"/>
        </w:rPr>
        <w:t>Section 10.05</w:t>
      </w:r>
      <w:r>
        <w:rPr>
          <w:rFonts w:ascii="Times New Roman" w:cs="Times New Roman" w:eastAsia="Times New Roman" w:hAnsi="Times New Roman"/>
          <w:sz w:val="22"/>
          <w:szCs w:val="22"/>
          <w:color w:val="auto"/>
        </w:rPr>
        <w:t>.</w:t>
      </w:r>
    </w:p>
    <w:p>
      <w:pPr>
        <w:spacing w:after="0" w:line="171" w:lineRule="exact"/>
        <w:rPr>
          <w:rFonts w:ascii="Times New Roman" w:cs="Times New Roman" w:eastAsia="Times New Roman" w:hAnsi="Times New Roman"/>
          <w:sz w:val="22"/>
          <w:szCs w:val="22"/>
          <w:color w:val="auto"/>
        </w:rPr>
      </w:pPr>
    </w:p>
    <w:p>
      <w:pPr>
        <w:jc w:val="both"/>
        <w:ind w:left="-224" w:firstLine="1304"/>
        <w:spacing w:after="0" w:line="251" w:lineRule="auto"/>
        <w:tabs>
          <w:tab w:leader="none" w:pos="1540" w:val="left"/>
        </w:tabs>
        <w:numPr>
          <w:ilvl w:val="2"/>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shall, and shall cause its designees to, use a commercially reasonable, cost-effective approach designed to minimize the overall expense of the work, which may include to the extent authorized or allowed under Environmental Law or by a Governmental Authority risk-based standards consistent with continued industrial use and the imposition of engineering controls, institutional controls and/or deed restrictions that are consistent with continued industrial use and do not materially or unreasonably adversely affect Purchaser’s (or any successor thereto) operation of the Business or the use of the Transferred Real Property.</w:t>
      </w:r>
    </w:p>
    <w:p>
      <w:pPr>
        <w:spacing w:after="0" w:line="181" w:lineRule="exact"/>
        <w:rPr>
          <w:rFonts w:ascii="Times New Roman" w:cs="Times New Roman" w:eastAsia="Times New Roman" w:hAnsi="Times New Roman"/>
          <w:sz w:val="22"/>
          <w:szCs w:val="22"/>
          <w:color w:val="auto"/>
        </w:rPr>
      </w:pPr>
    </w:p>
    <w:p>
      <w:pPr>
        <w:jc w:val="both"/>
        <w:ind w:left="-224" w:firstLine="1304"/>
        <w:spacing w:after="0" w:line="247" w:lineRule="auto"/>
        <w:tabs>
          <w:tab w:leader="none" w:pos="1717" w:val="left"/>
        </w:tabs>
        <w:numPr>
          <w:ilvl w:val="2"/>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shall afford Purchaser (or any successor thereto) reasonable advance written notice of, and an opportunity to participate in, any LERL Efforts. Seller and Purchaser (or any successor thereto) agree to fully cooperate in the conduct of any LERL Efforts, such cooperation shall include: (i) the provision of reasonable access to property and utility services; (ii) Seller shall have the right to engage with any Governmental Authority, but shall provide Purchaser (or any successor thereto) with a reasonable opportunity to participate, including advance comment on any material written communications, filings, reports, correspondence or other documents to be submitted, which shall be considered in good faith; and (iii) each party (and any successor thereto) shall promptly provide the other party (and any successor thereto) all information and documentation necessary to undertake the LERL Efforts, including drafts of reports and proposals prior to finalization for the opportunity to provide comments and copies of all final reports, proposals, written communications, filings, correspondences and other documents related to the LERL Efforts.</w:t>
      </w:r>
    </w:p>
    <w:p>
      <w:pPr>
        <w:spacing w:after="0" w:line="204" w:lineRule="exact"/>
        <w:rPr>
          <w:rFonts w:ascii="Times New Roman" w:cs="Times New Roman" w:eastAsia="Times New Roman" w:hAnsi="Times New Roman"/>
          <w:sz w:val="22"/>
          <w:szCs w:val="22"/>
          <w:color w:val="auto"/>
        </w:rPr>
      </w:pPr>
    </w:p>
    <w:p>
      <w:pPr>
        <w:jc w:val="both"/>
        <w:ind w:left="-224" w:firstLine="1304"/>
        <w:spacing w:after="0" w:line="251" w:lineRule="auto"/>
        <w:tabs>
          <w:tab w:leader="none" w:pos="1632" w:val="left"/>
        </w:tabs>
        <w:numPr>
          <w:ilvl w:val="2"/>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herein to the contrary, Seller shall have no liability for, and Seller shall not be required to indemnify, defend or hold harmless any Purchaser Indemnitee (or successor thereto) for Legacy Environmental Release Liabilities unless and until the aggregate amount of all Losses incurred by the Purchaser Indemnitees (or any successor thereto) in respect of Legacy Environmental Release Liabilities exceeds two-hundred and fifty thousand dollars ($250,000) in the aggregate, in which event the Purchaser Indemnitees (or any successor thereto) shall be entitled to recover all Losses from the first dollar.</w:t>
      </w:r>
    </w:p>
    <w:p>
      <w:pPr>
        <w:spacing w:after="0" w:line="181" w:lineRule="exact"/>
        <w:rPr>
          <w:rFonts w:ascii="Times New Roman" w:cs="Times New Roman" w:eastAsia="Times New Roman" w:hAnsi="Times New Roman"/>
          <w:sz w:val="22"/>
          <w:szCs w:val="22"/>
          <w:color w:val="auto"/>
        </w:rPr>
      </w:pPr>
    </w:p>
    <w:p>
      <w:pPr>
        <w:jc w:val="both"/>
        <w:ind w:left="-224" w:firstLine="1304"/>
        <w:spacing w:after="0" w:line="250" w:lineRule="auto"/>
        <w:tabs>
          <w:tab w:leader="none" w:pos="1622" w:val="left"/>
        </w:tabs>
        <w:numPr>
          <w:ilvl w:val="2"/>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herein to the contrary, Seller shall have no liability for, and Seller shall not be required to indemnify, defend or hold harmless any Purchaser Indemnitee (or successor thereto) (i) from any indirect, consequential or special damages, including related to business interruption or lost profits arising from any Legacy Environmental Release Liabilities, or (ii) with respect to any Legacy Environmental Release Liability to the extent the Loss event, circumstance or condition that gave rise to such Legacy Environmental Release Liability:</w:t>
      </w:r>
    </w:p>
    <w:p>
      <w:pPr>
        <w:spacing w:after="0" w:line="194" w:lineRule="exact"/>
        <w:rPr>
          <w:rFonts w:ascii="Times New Roman" w:cs="Times New Roman" w:eastAsia="Times New Roman" w:hAnsi="Times New Roman"/>
          <w:sz w:val="22"/>
          <w:szCs w:val="22"/>
          <w:color w:val="auto"/>
        </w:rPr>
      </w:pPr>
    </w:p>
    <w:p>
      <w:pPr>
        <w:jc w:val="both"/>
        <w:ind w:left="436" w:hanging="4"/>
        <w:spacing w:after="0" w:line="252" w:lineRule="auto"/>
        <w:tabs>
          <w:tab w:leader="none" w:pos="1029" w:val="left"/>
        </w:tabs>
        <w:numPr>
          <w:ilvl w:val="1"/>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discovered through invasive or intrusive investigation of subsurface conditions (including soil, groundwater, sediment, or soil gas sampling, testing or investigation) by or on behalf of any Purchaser Indemnitee, any successor thereto, or any third party that owns or operates the Business, the Houston Plant, or the Beaumont Plant after the Closing (including any agent,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8" w:lineRule="exact"/>
        <w:rPr>
          <w:rFonts w:ascii="Times New Roman" w:cs="Times New Roman" w:eastAsia="Times New Roman" w:hAnsi="Times New Roman"/>
          <w:sz w:val="22"/>
          <w:szCs w:val="22"/>
          <w:color w:val="auto"/>
        </w:rPr>
      </w:pPr>
    </w:p>
    <w:p>
      <w:pPr>
        <w:ind w:left="136" w:hanging="136"/>
        <w:spacing w:after="0"/>
        <w:tabs>
          <w:tab w:leader="none" w:pos="136"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103 -</w:t>
      </w:r>
    </w:p>
    <w:p>
      <w:pPr>
        <w:sectPr>
          <w:pgSz w:w="11900" w:h="16838" w:orient="portrait"/>
          <w:cols w:equalWidth="0" w:num="1">
            <w:col w:w="11016"/>
          </w:cols>
          <w:pgMar w:left="544" w:top="1422" w:right="339" w:bottom="1440" w:gutter="0" w:footer="0" w:header="0"/>
        </w:sectPr>
      </w:pPr>
    </w:p>
    <w:bookmarkStart w:id="172" w:name="page173"/>
    <w:bookmarkEnd w:id="172"/>
    <w:p>
      <w:pPr>
        <w:jc w:val="both"/>
        <w:ind w:left="436"/>
        <w:spacing w:after="0" w:line="250" w:lineRule="auto"/>
        <w:rPr>
          <w:sz w:val="20"/>
          <w:szCs w:val="20"/>
          <w:color w:val="auto"/>
        </w:rPr>
      </w:pPr>
      <w:r>
        <w:rPr>
          <w:rFonts w:ascii="Times New Roman" w:cs="Times New Roman" w:eastAsia="Times New Roman" w:hAnsi="Times New Roman"/>
          <w:sz w:val="22"/>
          <w:szCs w:val="22"/>
          <w:color w:val="auto"/>
        </w:rPr>
        <w:t>contractors, licensee, tenant, subtenant or invitee acting on behalf of such third party), except to the extent such investigation was (v) required to comply with Environmental Law or Environmental Permit; (w) required to comply with an inquiry, request, claim, order, or demand by a Governmental Authority that was not solicited by or on behalf of any Purchaser Indemnitee, any successor thereto, or any third party that owns or operates the Business, the Houston Plant, or the Beaumont Plant after the Closing (including any agent, contractors, licensee, tenant, subtenant or invitee acting on behalf of such third party); (x) reasonably necessary to respond to a Third Party Claim; (y) conducted for the purposes of bona fide demolition, construction, renovation, repair, closure or expansion activities where such investigation is consistent with industry practice or (z) conducted to investigate, prevent or address conditions that reasonably indicate an imminent threat or material risk to the environment or human health and safety;</w:t>
      </w:r>
    </w:p>
    <w:p>
      <w:pPr>
        <w:spacing w:after="0" w:line="180" w:lineRule="exact"/>
        <w:rPr>
          <w:sz w:val="20"/>
          <w:szCs w:val="20"/>
          <w:color w:val="auto"/>
        </w:rPr>
      </w:pPr>
    </w:p>
    <w:p>
      <w:pPr>
        <w:ind w:left="436" w:hanging="4"/>
        <w:spacing w:after="0" w:line="271" w:lineRule="auto"/>
        <w:tabs>
          <w:tab w:leader="none" w:pos="1035"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triggered by, is accelerated by, or is a result of a change in use of the Houston Plant or Beaumont Plant from an industrial use to a non-industrial use after the Closing; or</w:t>
      </w:r>
    </w:p>
    <w:p>
      <w:pPr>
        <w:spacing w:after="0" w:line="157" w:lineRule="exact"/>
        <w:rPr>
          <w:rFonts w:ascii="Times New Roman" w:cs="Times New Roman" w:eastAsia="Times New Roman" w:hAnsi="Times New Roman"/>
          <w:sz w:val="22"/>
          <w:szCs w:val="22"/>
          <w:color w:val="auto"/>
        </w:rPr>
      </w:pPr>
    </w:p>
    <w:p>
      <w:pPr>
        <w:jc w:val="both"/>
        <w:ind w:left="436" w:hanging="4"/>
        <w:spacing w:after="0" w:line="263" w:lineRule="auto"/>
        <w:tabs>
          <w:tab w:leader="none" w:pos="967"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results from the contribution or exacerbation by any Purchaser Indemnitee, any successor thereto or any third party that owns or operates the Business, the Houston Plant, or the Beaumont Plant after the Closing (including any agent, contractors, licensee, tenant, subtenant or invitee acting on behalf of such third party) or is otherwise increased due to an act or omission by any Purchaser Indemnitee, any successor thereto or any third party that owns or operates the Business, the Houston Plant, or the Beaumont Plant after the Closing (including any agent, contractors, licensee, tenant, subtenant or invitee acting on behalf of such third party), but only to the extent of such contribution, exacerbation or increase and excluding the passive ongoing migration of Hazardous Materials which were Released on or prior to the Closing Date.</w:t>
      </w:r>
    </w:p>
    <w:p>
      <w:pPr>
        <w:spacing w:after="0" w:line="173" w:lineRule="exact"/>
        <w:rPr>
          <w:sz w:val="20"/>
          <w:szCs w:val="20"/>
          <w:color w:val="auto"/>
        </w:rPr>
      </w:pPr>
    </w:p>
    <w:p>
      <w:pPr>
        <w:ind w:left="1156"/>
        <w:spacing w:after="0"/>
        <w:tabs>
          <w:tab w:leader="none" w:pos="2536" w:val="left"/>
        </w:tabs>
        <w:rPr>
          <w:sz w:val="20"/>
          <w:szCs w:val="20"/>
          <w:color w:val="auto"/>
        </w:rPr>
      </w:pPr>
      <w:r>
        <w:rPr>
          <w:rFonts w:ascii="Times New Roman" w:cs="Times New Roman" w:eastAsia="Times New Roman" w:hAnsi="Times New Roman"/>
          <w:sz w:val="22"/>
          <w:szCs w:val="22"/>
          <w:color w:val="auto"/>
        </w:rPr>
        <w:t>Section 10.06</w:t>
      </w:r>
      <w:r>
        <w:rPr>
          <w:sz w:val="20"/>
          <w:szCs w:val="20"/>
          <w:color w:val="auto"/>
        </w:rPr>
        <w:tab/>
      </w:r>
      <w:r>
        <w:rPr>
          <w:rFonts w:ascii="Times New Roman" w:cs="Times New Roman" w:eastAsia="Times New Roman" w:hAnsi="Times New Roman"/>
          <w:sz w:val="21"/>
          <w:szCs w:val="21"/>
          <w:u w:val="single" w:color="auto"/>
          <w:color w:val="auto"/>
        </w:rPr>
        <w:t>Calculation of Indemnity Payments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224" w:firstLine="1304"/>
        <w:spacing w:after="0" w:line="247" w:lineRule="auto"/>
        <w:tabs>
          <w:tab w:leader="none" w:pos="1631" w:val="left"/>
        </w:tabs>
        <w:numPr>
          <w:ilvl w:val="1"/>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Payments by an Indemnifying Party pursuant to </w:t>
      </w:r>
      <w:r>
        <w:rPr>
          <w:rFonts w:ascii="Times New Roman" w:cs="Times New Roman" w:eastAsia="Times New Roman" w:hAnsi="Times New Roman"/>
          <w:sz w:val="22"/>
          <w:szCs w:val="22"/>
          <w:u w:val="single" w:color="auto"/>
          <w:color w:val="auto"/>
        </w:rPr>
        <w:t>Section 10.02</w:t>
      </w:r>
      <w:r>
        <w:rPr>
          <w:rFonts w:ascii="Times New Roman" w:cs="Times New Roman" w:eastAsia="Times New Roman" w:hAnsi="Times New Roman"/>
          <w:sz w:val="22"/>
          <w:szCs w:val="22"/>
          <w:color w:val="auto"/>
        </w:rPr>
        <w:t xml:space="preserve"> (including, for the avoidance of doubt, in connection with any Legacy Environmental Release Liability) or </w:t>
      </w:r>
      <w:r>
        <w:rPr>
          <w:rFonts w:ascii="Times New Roman" w:cs="Times New Roman" w:eastAsia="Times New Roman" w:hAnsi="Times New Roman"/>
          <w:sz w:val="22"/>
          <w:szCs w:val="22"/>
          <w:u w:val="single" w:color="auto"/>
          <w:color w:val="auto"/>
        </w:rPr>
        <w:t>Section 10.03</w:t>
      </w:r>
      <w:r>
        <w:rPr>
          <w:rFonts w:ascii="Times New Roman" w:cs="Times New Roman" w:eastAsia="Times New Roman" w:hAnsi="Times New Roman"/>
          <w:sz w:val="22"/>
          <w:szCs w:val="22"/>
          <w:color w:val="auto"/>
        </w:rPr>
        <w:t>, as applicable, in respect of any Loss shall be limited to the amount of any Liability that remains after deducting therefrom any insurance (excluding the R&amp;W Insurance Policy) proceeds and any indemnity, contribution or other similar payment actually received by the Indemnified Party or its Affiliates in respect of any matter for which an Indemnifying Party is otherwise indemnifying such Indemnified Party (in each case, net of the cost and expense of obtaining any such insurance, indemnity, contribution or similar proceeds and any increased premiums) it being agreed that if third-party insurance (excluding the R&amp;W Insurance Policy) or indemnification, contribution or similar proceeds in respect of such matter is recovered by the Indemnified Party or its Affiliates subsequent to the Indemnifying Party’s making of an indemnification payment in satisfaction of its applicable indemnification obligation, such proceeds shall be promptly remitted to the Indemnifying Party to the extent of the indemnification payment previously made (in each case, net of the cost and expense of obtaining any such insurance, indemnity, contribution or similar proceeds and any increased premiums). For the avoidance of doubt, the calculation of a Loss shall not be reduced for or on account of any actual or purported Tax benefit resulting from the facts underlying such Loss. The Indemnified Party shall use its commercially reasonable efforts to recover under insurance policies or indemnity, contribution or other similar agreements for any Losses prior to or concurrently with seeking indemnification under this Agreement.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4" w:lineRule="exact"/>
        <w:rPr>
          <w:rFonts w:ascii="Times New Roman" w:cs="Times New Roman" w:eastAsia="Times New Roman" w:hAnsi="Times New Roman"/>
          <w:sz w:val="22"/>
          <w:szCs w:val="22"/>
          <w:color w:val="auto"/>
        </w:rPr>
      </w:pPr>
    </w:p>
    <w:p>
      <w:pPr>
        <w:ind w:left="136" w:hanging="136"/>
        <w:spacing w:after="0"/>
        <w:tabs>
          <w:tab w:leader="none" w:pos="136"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104 -</w:t>
      </w:r>
    </w:p>
    <w:p>
      <w:pPr>
        <w:sectPr>
          <w:pgSz w:w="11900" w:h="16838" w:orient="portrait"/>
          <w:cols w:equalWidth="0" w:num="1">
            <w:col w:w="11016"/>
          </w:cols>
          <w:pgMar w:left="544" w:top="1422" w:right="339" w:bottom="1440" w:gutter="0" w:footer="0" w:header="0"/>
        </w:sectPr>
      </w:pPr>
    </w:p>
    <w:bookmarkStart w:id="173" w:name="page174"/>
    <w:bookmarkEnd w:id="173"/>
    <w:p>
      <w:pPr>
        <w:jc w:val="both"/>
        <w:ind w:left="-80" w:firstLine="1304"/>
        <w:spacing w:after="0" w:line="256" w:lineRule="auto"/>
        <w:tabs>
          <w:tab w:leader="none" w:pos="1816"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amount of any Loss arising out of any item included as a Current Liability in calculating Closing Working Capital (as finally determined pursuant to </w:t>
      </w:r>
      <w:r>
        <w:rPr>
          <w:rFonts w:ascii="Times New Roman" w:cs="Times New Roman" w:eastAsia="Times New Roman" w:hAnsi="Times New Roman"/>
          <w:sz w:val="22"/>
          <w:szCs w:val="22"/>
          <w:u w:val="single" w:color="auto"/>
          <w:color w:val="auto"/>
        </w:rPr>
        <w:t>Section 2.08</w:t>
      </w:r>
      <w:r>
        <w:rPr>
          <w:rFonts w:ascii="Times New Roman" w:cs="Times New Roman" w:eastAsia="Times New Roman" w:hAnsi="Times New Roman"/>
          <w:sz w:val="22"/>
          <w:szCs w:val="22"/>
          <w:color w:val="auto"/>
        </w:rPr>
        <w:t xml:space="preserve">), if any, shall be calculated net of the amount so included, but only to the extent that the Final Purchase Price calculated pursuant to </w:t>
      </w:r>
      <w:r>
        <w:rPr>
          <w:rFonts w:ascii="Times New Roman" w:cs="Times New Roman" w:eastAsia="Times New Roman" w:hAnsi="Times New Roman"/>
          <w:sz w:val="22"/>
          <w:szCs w:val="22"/>
          <w:u w:val="single" w:color="auto"/>
          <w:color w:val="auto"/>
        </w:rPr>
        <w:t>Section 2.08</w:t>
      </w:r>
      <w:r>
        <w:rPr>
          <w:rFonts w:ascii="Times New Roman" w:cs="Times New Roman" w:eastAsia="Times New Roman" w:hAnsi="Times New Roman"/>
          <w:sz w:val="22"/>
          <w:szCs w:val="22"/>
          <w:color w:val="auto"/>
        </w:rPr>
        <w:t xml:space="preserve"> was adjusted downward on a dollar-for-dollar basis to reflect such Losses.</w:t>
      </w:r>
    </w:p>
    <w:p>
      <w:pPr>
        <w:spacing w:after="0" w:line="17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10.07 </w:t>
      </w:r>
      <w:r>
        <w:rPr>
          <w:rFonts w:ascii="Times New Roman" w:cs="Times New Roman" w:eastAsia="Times New Roman" w:hAnsi="Times New Roman"/>
          <w:sz w:val="22"/>
          <w:szCs w:val="22"/>
          <w:u w:val="single" w:color="auto"/>
          <w:color w:val="auto"/>
        </w:rPr>
        <w:t>Additional Matters</w:t>
      </w:r>
      <w:r>
        <w:rPr>
          <w:rFonts w:ascii="Times New Roman" w:cs="Times New Roman" w:eastAsia="Times New Roman" w:hAnsi="Times New Roman"/>
          <w:sz w:val="22"/>
          <w:szCs w:val="22"/>
          <w:color w:val="auto"/>
        </w:rPr>
        <w:t>. In no event shall an Indemnifying Party be liable for Losses that are in the nature of punitive or exemplary damages, except to the extent that such damages are actually payable by the Indemnified Party in connection with a Third Party Claim.</w:t>
      </w:r>
    </w:p>
    <w:p>
      <w:pPr>
        <w:spacing w:after="0" w:line="17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10.08 </w:t>
      </w:r>
      <w:r>
        <w:rPr>
          <w:rFonts w:ascii="Times New Roman" w:cs="Times New Roman" w:eastAsia="Times New Roman" w:hAnsi="Times New Roman"/>
          <w:sz w:val="22"/>
          <w:szCs w:val="22"/>
          <w:u w:val="single" w:color="auto"/>
          <w:color w:val="auto"/>
        </w:rPr>
        <w:t>Adjustment to Purchase Price</w:t>
      </w:r>
      <w:r>
        <w:rPr>
          <w:rFonts w:ascii="Times New Roman" w:cs="Times New Roman" w:eastAsia="Times New Roman" w:hAnsi="Times New Roman"/>
          <w:sz w:val="22"/>
          <w:szCs w:val="22"/>
          <w:color w:val="auto"/>
        </w:rPr>
        <w:t xml:space="preserve">. Any payment under this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xml:space="preserve"> shall be treated as an adjustment to the Purchase Price for all applicable Tax purposes, except as otherwise required pursuant to a final determination (within the meaning of Section 1313(a) of the Code) or similar determination under applicable Tax Law.</w:t>
      </w:r>
    </w:p>
    <w:p>
      <w:pPr>
        <w:spacing w:after="0" w:line="167"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1"/>
          <w:szCs w:val="21"/>
          <w:color w:val="auto"/>
        </w:rPr>
        <w:t xml:space="preserve">Section 10.09 </w:t>
      </w:r>
      <w:r>
        <w:rPr>
          <w:rFonts w:ascii="Times New Roman" w:cs="Times New Roman" w:eastAsia="Times New Roman" w:hAnsi="Times New Roman"/>
          <w:sz w:val="21"/>
          <w:szCs w:val="21"/>
          <w:u w:val="single" w:color="auto"/>
          <w:color w:val="auto"/>
        </w:rPr>
        <w:t>Sole and Exclusive Monetary Remedy</w:t>
      </w:r>
      <w:r>
        <w:rPr>
          <w:rFonts w:ascii="Times New Roman" w:cs="Times New Roman" w:eastAsia="Times New Roman" w:hAnsi="Times New Roman"/>
          <w:sz w:val="21"/>
          <w:szCs w:val="21"/>
          <w:color w:val="auto"/>
        </w:rPr>
        <w:t xml:space="preserve">. The Seller and Purchaser acknowledge and agree that, following the Closing, except to the extent expressly set forth in </w:t>
      </w:r>
      <w:r>
        <w:rPr>
          <w:rFonts w:ascii="Times New Roman" w:cs="Times New Roman" w:eastAsia="Times New Roman" w:hAnsi="Times New Roman"/>
          <w:sz w:val="21"/>
          <w:szCs w:val="21"/>
          <w:u w:val="single" w:color="auto"/>
          <w:color w:val="auto"/>
        </w:rPr>
        <w:t>Section 2.08(e)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7.17</w:t>
      </w:r>
      <w:r>
        <w:rPr>
          <w:rFonts w:ascii="Times New Roman" w:cs="Times New Roman" w:eastAsia="Times New Roman" w:hAnsi="Times New Roman"/>
          <w:sz w:val="21"/>
          <w:szCs w:val="21"/>
          <w:color w:val="auto"/>
        </w:rPr>
        <w:t xml:space="preserve"> or for claims based on Fraud, the Seller Indemnitees’ and the Purchaser Indemnitees’ sole and exclusive monetary remedy with respect to any and all claims relating to this Agreement, the Business, the Transferred Assets, the Shared Contracts, the Excluded Assets, the Assumed Liabilities or the Retained Liabilities (including, </w:t>
      </w:r>
      <w:r>
        <w:rPr>
          <w:rFonts w:ascii="Times New Roman" w:cs="Times New Roman" w:eastAsia="Times New Roman" w:hAnsi="Times New Roman"/>
          <w:sz w:val="21"/>
          <w:szCs w:val="21"/>
          <w:i w:val="1"/>
          <w:iCs w:val="1"/>
          <w:color w:val="auto"/>
        </w:rPr>
        <w:t>inter alia</w:t>
      </w:r>
      <w:r>
        <w:rPr>
          <w:rFonts w:ascii="Times New Roman" w:cs="Times New Roman" w:eastAsia="Times New Roman" w:hAnsi="Times New Roman"/>
          <w:sz w:val="21"/>
          <w:szCs w:val="21"/>
          <w:color w:val="auto"/>
        </w:rPr>
        <w:t xml:space="preserve">, any rights of contribution or recovery under the Comprehensive Environmental Response, Compensation, and Liability Act or other Environmental Law) shall be pursuant to the provisions set forth in this </w:t>
      </w:r>
      <w:r>
        <w:rPr>
          <w:rFonts w:ascii="Times New Roman" w:cs="Times New Roman" w:eastAsia="Times New Roman" w:hAnsi="Times New Roman"/>
          <w:sz w:val="21"/>
          <w:szCs w:val="21"/>
          <w:u w:val="single" w:color="auto"/>
          <w:color w:val="auto"/>
        </w:rPr>
        <w:t>Article X</w:t>
      </w:r>
      <w:r>
        <w:rPr>
          <w:rFonts w:ascii="Times New Roman" w:cs="Times New Roman" w:eastAsia="Times New Roman" w:hAnsi="Times New Roman"/>
          <w:sz w:val="21"/>
          <w:szCs w:val="21"/>
          <w:color w:val="auto"/>
        </w:rPr>
        <w:t xml:space="preserve"> and by way of any remedies available under any other Transaction Document. In furtherance of the foregoing, (a) Purchaser waives and releases, on its behalf and on behalf of its Nonparty Affiliates, to the fullest extent permitted under applicable Law, any and all other rights, claims and causes of action it may have against Seller or its Nonparty Affiliates, and (b) Seller waives and releases, on its behalf and on behalf of its Nonparty Affiliates, to the fullest extent permitted under applicable Law, any and all other rights, claims and causes of action it may have against Purchaser or its Nonparty Affiliates, whether in any individual, corporate or any other capacity, relating (directly or indirectly) to the subject matter of this Agreement or the Transactions (including relating to any exhibit, Section of the Disclosure Letter or document delivered hereunder), including whether arising under or based upon any Law, except pursuant to the indemnification provisions set forth in this </w:t>
      </w:r>
      <w:r>
        <w:rPr>
          <w:rFonts w:ascii="Times New Roman" w:cs="Times New Roman" w:eastAsia="Times New Roman" w:hAnsi="Times New Roman"/>
          <w:sz w:val="21"/>
          <w:szCs w:val="21"/>
          <w:u w:val="single" w:color="auto"/>
          <w:color w:val="auto"/>
        </w:rPr>
        <w:t>Article X</w:t>
      </w:r>
      <w:r>
        <w:rPr>
          <w:rFonts w:ascii="Times New Roman" w:cs="Times New Roman" w:eastAsia="Times New Roman" w:hAnsi="Times New Roman"/>
          <w:sz w:val="21"/>
          <w:szCs w:val="21"/>
          <w:color w:val="auto"/>
        </w:rPr>
        <w:t xml:space="preserve"> and except with respect to any remedies available under any other Transaction Document. The limits imposed on Purchaser’s and its Nonparty Affiliates’ remedies, on the one hand, and Seller’s and its Nonparty Affiliates’ remedies, on the other hand, with respect to this Agreement and the Transactions (including Article IX and this </w:t>
      </w:r>
      <w:r>
        <w:rPr>
          <w:rFonts w:ascii="Times New Roman" w:cs="Times New Roman" w:eastAsia="Times New Roman" w:hAnsi="Times New Roman"/>
          <w:sz w:val="21"/>
          <w:szCs w:val="21"/>
          <w:u w:val="single" w:color="auto"/>
          <w:color w:val="auto"/>
        </w:rPr>
        <w:t>Article X</w:t>
      </w:r>
      <w:r>
        <w:rPr>
          <w:rFonts w:ascii="Times New Roman" w:cs="Times New Roman" w:eastAsia="Times New Roman" w:hAnsi="Times New Roman"/>
          <w:sz w:val="21"/>
          <w:szCs w:val="21"/>
          <w:color w:val="auto"/>
        </w:rPr>
        <w:t xml:space="preserve">) were specifically bargained for between sophisticated parties and were specifically taken into account in the determination of the amounts to be paid hereunder. </w:t>
      </w:r>
      <w:r>
        <w:rPr>
          <w:rFonts w:ascii="Times New Roman" w:cs="Times New Roman" w:eastAsia="Times New Roman" w:hAnsi="Times New Roman"/>
          <w:sz w:val="21"/>
          <w:szCs w:val="21"/>
          <w:color w:val="3D3D3D"/>
        </w:rPr>
        <w:t>Nothing in</w:t>
      </w:r>
      <w:r>
        <w:rPr>
          <w:rFonts w:ascii="Times New Roman" w:cs="Times New Roman" w:eastAsia="Times New Roman" w:hAnsi="Times New Roman"/>
          <w:sz w:val="21"/>
          <w:szCs w:val="21"/>
          <w:color w:val="auto"/>
        </w:rPr>
        <w:t xml:space="preserve"> this </w:t>
      </w:r>
      <w:r>
        <w:rPr>
          <w:rFonts w:ascii="Times New Roman" w:cs="Times New Roman" w:eastAsia="Times New Roman" w:hAnsi="Times New Roman"/>
          <w:sz w:val="21"/>
          <w:szCs w:val="21"/>
          <w:u w:val="single" w:color="auto"/>
          <w:color w:val="auto"/>
        </w:rPr>
        <w:t>Section 10.09</w:t>
      </w:r>
      <w:r>
        <w:rPr>
          <w:rFonts w:ascii="Times New Roman" w:cs="Times New Roman" w:eastAsia="Times New Roman" w:hAnsi="Times New Roman"/>
          <w:sz w:val="21"/>
          <w:szCs w:val="21"/>
          <w:color w:val="auto"/>
        </w:rPr>
        <w:t xml:space="preserve"> shall limit any Person’s right to seek and obtain any equitable relief to which any Person shall be entitled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3D3D3D"/>
          <w:highlight w:val="white"/>
        </w:rPr>
        <w:t>11.09</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3D3D3D"/>
          <w:highlight w:val="white"/>
        </w:rPr>
        <w:t>or to seek any remedy on account of Fraud by any party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- 105 -</w:t>
      </w:r>
    </w:p>
    <w:p>
      <w:pPr>
        <w:sectPr>
          <w:pgSz w:w="11900" w:h="16838" w:orient="portrait"/>
          <w:cols w:equalWidth="0" w:num="1">
            <w:col w:w="11160"/>
          </w:cols>
          <w:pgMar w:left="400" w:top="1422" w:right="339" w:bottom="1440" w:gutter="0" w:footer="0" w:header="0"/>
        </w:sectPr>
      </w:pPr>
    </w:p>
    <w:bookmarkStart w:id="174" w:name="page175"/>
    <w:bookmarkEnd w:id="174"/>
    <w:p>
      <w:pPr>
        <w:jc w:val="center"/>
        <w:ind w:right="80"/>
        <w:spacing w:after="0"/>
        <w:rPr>
          <w:sz w:val="20"/>
          <w:szCs w:val="20"/>
          <w:color w:val="auto"/>
        </w:rPr>
      </w:pPr>
      <w:r>
        <w:rPr>
          <w:rFonts w:ascii="Times New Roman" w:cs="Times New Roman" w:eastAsia="Times New Roman" w:hAnsi="Times New Roman"/>
          <w:sz w:val="22"/>
          <w:szCs w:val="22"/>
          <w:color w:val="auto"/>
        </w:rPr>
        <w:t>ARTICLE XI</w:t>
      </w:r>
    </w:p>
    <w:p>
      <w:pPr>
        <w:spacing w:after="0" w:line="26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u w:val="single" w:color="auto"/>
          <w:color w:val="auto"/>
        </w:rPr>
        <w:t>Miscellaneous</w:t>
      </w:r>
    </w:p>
    <w:p>
      <w:pPr>
        <w:spacing w:after="0" w:line="22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Section 11.01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requests, claims, demands and other communications under this Agreement shall be in writing and shall be delivered by hand, sent by email or sent, postage prepaid, by registered, certified or express mail or overnight courier service and shall be deemed given when so delivered by hand or email (provided, that any notice received by email transmission at the addressee’s location on any non-Business Day or any Business Day after 5:00 p.m. (addressee’s local time) shall be deemed to have been received at 9:00 a.m. (addressee’s local time) on the next Business Day), or if mailed, three (3) calendar days after mailing (or one (1) Business Day in the case of express mail or overnight courier service), as follows (or at such other address for a party as shall be specified by like notice):</w:t>
      </w:r>
    </w:p>
    <w:p>
      <w:pPr>
        <w:spacing w:after="0" w:line="17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If to Purchaser:</w:t>
      </w:r>
    </w:p>
    <w:p>
      <w:pPr>
        <w:spacing w:after="0" w:line="220"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c/o Gemspring Capital Management, LLC</w:t>
      </w:r>
    </w:p>
    <w:p>
      <w:pPr>
        <w:spacing w:after="0" w:line="2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54 Wilton Road</w:t>
      </w:r>
    </w:p>
    <w:p>
      <w:pPr>
        <w:spacing w:after="0" w:line="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Westport, CT 06880</w:t>
      </w:r>
    </w:p>
    <w:p>
      <w:pPr>
        <w:spacing w:after="0" w:line="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Attention:</w:t>
      </w:r>
    </w:p>
    <w:p>
      <w:pPr>
        <w:spacing w:after="0" w:line="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E-mail:</w:t>
      </w:r>
    </w:p>
    <w:p>
      <w:pPr>
        <w:spacing w:after="0" w:line="23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Copy to (such copy not to constitute notice):</w:t>
      </w:r>
    </w:p>
    <w:p>
      <w:pPr>
        <w:spacing w:after="0" w:line="220"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Kirkland &amp; Ellis LLP</w:t>
      </w:r>
    </w:p>
    <w:p>
      <w:pPr>
        <w:spacing w:after="0" w:line="2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601 Lexington Avenue</w:t>
      </w:r>
    </w:p>
    <w:p>
      <w:pPr>
        <w:spacing w:after="0" w:line="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Attention:</w:t>
      </w:r>
    </w:p>
    <w:p>
      <w:pPr>
        <w:spacing w:after="0" w:line="1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E-mail:</w:t>
      </w:r>
    </w:p>
    <w:p>
      <w:pPr>
        <w:spacing w:after="0" w:line="22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If to the Seller:</w:t>
      </w:r>
    </w:p>
    <w:p>
      <w:pPr>
        <w:spacing w:after="0" w:line="220"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The Goodyear Tire &amp; Rubber Company</w:t>
      </w:r>
    </w:p>
    <w:p>
      <w:pPr>
        <w:spacing w:after="0" w:line="2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202124"/>
        </w:rPr>
        <w:t>200 Innovation Way</w:t>
      </w:r>
    </w:p>
    <w:p>
      <w:pPr>
        <w:spacing w:after="0" w:line="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202124"/>
        </w:rPr>
        <w:t>Akron, OH 44316</w:t>
      </w:r>
    </w:p>
    <w:p>
      <w:pPr>
        <w:spacing w:after="0" w:line="1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Attention:</w:t>
      </w:r>
    </w:p>
    <w:p>
      <w:pPr>
        <w:spacing w:after="0" w:line="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E-mail:</w:t>
      </w:r>
    </w:p>
    <w:p>
      <w:pPr>
        <w:spacing w:after="0" w:line="22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Copy to (such copy not to constitute notice):</w:t>
      </w:r>
    </w:p>
    <w:p>
      <w:pPr>
        <w:spacing w:after="0" w:line="220"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Squire Patton Boggs (US) LLP</w:t>
      </w:r>
    </w:p>
    <w:p>
      <w:pPr>
        <w:spacing w:after="0" w:line="2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202124"/>
        </w:rPr>
        <w:t>Key Tower 1000</w:t>
      </w:r>
    </w:p>
    <w:p>
      <w:pPr>
        <w:spacing w:after="0" w:line="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202124"/>
        </w:rPr>
        <w:t>127 Public Square</w:t>
      </w:r>
    </w:p>
    <w:p>
      <w:pPr>
        <w:spacing w:after="0" w:line="1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202124"/>
        </w:rPr>
        <w:t>Cleveland, OH 44114</w:t>
      </w:r>
    </w:p>
    <w:p>
      <w:pPr>
        <w:spacing w:after="0" w:line="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Attention:</w:t>
      </w:r>
    </w:p>
    <w:p>
      <w:pPr>
        <w:spacing w:after="0" w:line="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E-mail:</w:t>
      </w:r>
    </w:p>
    <w:p>
      <w:pPr>
        <w:sectPr>
          <w:pgSz w:w="11900" w:h="16838" w:orient="portrait"/>
          <w:cols w:equalWidth="0" w:num="1">
            <w:col w:w="11160"/>
          </w:cols>
          <w:pgMar w:left="400" w:top="14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- 106 -</w:t>
      </w:r>
    </w:p>
    <w:p>
      <w:pPr>
        <w:sectPr>
          <w:pgSz w:w="11900" w:h="16838" w:orient="portrait"/>
          <w:cols w:equalWidth="0" w:num="1">
            <w:col w:w="11160"/>
          </w:cols>
          <w:pgMar w:left="400" w:top="1422" w:right="339" w:bottom="1440" w:gutter="0" w:footer="0" w:header="0"/>
          <w:type w:val="continuous"/>
        </w:sectPr>
      </w:pPr>
    </w:p>
    <w:bookmarkStart w:id="175" w:name="page176"/>
    <w:bookmarkEnd w:id="175"/>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11.02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xml:space="preserve">. This Agreement may not be amended except by an instrument in writing signed on behalf of each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none of the Lender Protective Provisions may be amended in a manner that is materially adverse to the Financing Sources without the consent of the Financing Sources party to each Debt Commitment Letter that have consent rights over amendments to this Agreement.</w:t>
      </w:r>
    </w:p>
    <w:p>
      <w:pPr>
        <w:spacing w:after="0" w:line="176"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11.03 </w:t>
      </w: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xml:space="preserve">. Any provision of this Agreement may be waived only by written instrument making specific reference to this Agreement signed by the party against whom enforcement of any such waiver is sought;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none of the Lender Protective Provisions may be waived in a manner that is materially adverse to the Financing Sources without the consent of the Financing Sources party to each Debt Commitment Letter that have consent rights over waivers to this Agreement. The waiver by any party hereto of a breach of any provision of this Agreement shall not operate or be construed as a further or continuing waiver of such breach or as a waiver of any other or subsequent breach. No failure on the part of any party to exercise, and no delay in exercising, any right, power or remedy hereunder shall operate as a waiver thereof, nor shall any single or partial exercise of such right, power or remedy by such party preclude any other or further exercise thereof or the exercise of any other right, power or remedy.</w:t>
      </w:r>
    </w:p>
    <w:p>
      <w:pPr>
        <w:spacing w:after="0" w:line="185"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11.04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term or other provision of this Agreement is invalid, illegal or incapable of being enforced by any rule or Law, or public policy, all other conditions and provisions of this Agreement shall nevertheless remain in full force and effect.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to the end that the Transactions are fulfilled to the extent permitted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- 107 -</w:t>
      </w:r>
    </w:p>
    <w:p>
      <w:pPr>
        <w:sectPr>
          <w:pgSz w:w="11900" w:h="16838" w:orient="portrait"/>
          <w:cols w:equalWidth="0" w:num="1">
            <w:col w:w="11160"/>
          </w:cols>
          <w:pgMar w:left="400" w:top="1440" w:right="339" w:bottom="1440" w:gutter="0" w:footer="0" w:header="0"/>
        </w:sectPr>
      </w:pPr>
    </w:p>
    <w:bookmarkStart w:id="176" w:name="page177"/>
    <w:bookmarkEnd w:id="176"/>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11.05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one or more counterparts including by email or other means of electronic transmission, such as by electronic mail in “.pdf” form, each of which will be deemed to be an original copy of this Agreement and all of which, when taken together, will be deemed to constitute one and the same agreement.</w:t>
      </w:r>
    </w:p>
    <w:p>
      <w:pPr>
        <w:spacing w:after="0" w:line="176"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11.06 </w:t>
      </w:r>
      <w:r>
        <w:rPr>
          <w:rFonts w:ascii="Times New Roman" w:cs="Times New Roman" w:eastAsia="Times New Roman" w:hAnsi="Times New Roman"/>
          <w:sz w:val="22"/>
          <w:szCs w:val="22"/>
          <w:u w:val="single" w:color="auto"/>
          <w:color w:val="auto"/>
        </w:rPr>
        <w:t>Entire Agreement; Third-Party Beneficiaries</w:t>
      </w:r>
      <w:r>
        <w:rPr>
          <w:rFonts w:ascii="Times New Roman" w:cs="Times New Roman" w:eastAsia="Times New Roman" w:hAnsi="Times New Roman"/>
          <w:sz w:val="22"/>
          <w:szCs w:val="22"/>
          <w:color w:val="auto"/>
        </w:rPr>
        <w:t>. This Agreement (including the Disclosure Letter, the other Schedules and the Exhibits hereto), together with the other Transaction Documents and the Confidentiality Agreement (collectively, the “</w:t>
      </w:r>
      <w:r>
        <w:rPr>
          <w:rFonts w:ascii="Times New Roman" w:cs="Times New Roman" w:eastAsia="Times New Roman" w:hAnsi="Times New Roman"/>
          <w:sz w:val="22"/>
          <w:szCs w:val="22"/>
          <w:u w:val="single" w:color="auto"/>
          <w:color w:val="auto"/>
        </w:rPr>
        <w:t>Specified Documents</w:t>
      </w:r>
      <w:r>
        <w:rPr>
          <w:rFonts w:ascii="Times New Roman" w:cs="Times New Roman" w:eastAsia="Times New Roman" w:hAnsi="Times New Roman"/>
          <w:sz w:val="22"/>
          <w:szCs w:val="22"/>
          <w:color w:val="auto"/>
        </w:rPr>
        <w:t xml:space="preserve">”), (a) constitutes the entire agreement, and supersedes all prior agreements and understandings, both written and oral, among the parties with respect to the Transactions and (b) except for this </w:t>
      </w:r>
      <w:r>
        <w:rPr>
          <w:rFonts w:ascii="Times New Roman" w:cs="Times New Roman" w:eastAsia="Times New Roman" w:hAnsi="Times New Roman"/>
          <w:sz w:val="22"/>
          <w:szCs w:val="22"/>
          <w:u w:val="single" w:color="auto"/>
          <w:color w:val="auto"/>
        </w:rPr>
        <w:t>Section 11.06</w:t>
      </w:r>
      <w:r>
        <w:rPr>
          <w:rFonts w:ascii="Times New Roman" w:cs="Times New Roman" w:eastAsia="Times New Roman" w:hAnsi="Times New Roman"/>
          <w:sz w:val="22"/>
          <w:szCs w:val="22"/>
          <w:color w:val="auto"/>
        </w:rPr>
        <w:t xml:space="preserve"> and as provided in this clause (b), is not intended to confer upon any Person other than the parties any rights or remedies, it being understood that (i) the Persons released pursuant to </w:t>
      </w:r>
      <w:r>
        <w:rPr>
          <w:rFonts w:ascii="Times New Roman" w:cs="Times New Roman" w:eastAsia="Times New Roman" w:hAnsi="Times New Roman"/>
          <w:sz w:val="22"/>
          <w:szCs w:val="22"/>
          <w:u w:val="single" w:color="auto"/>
          <w:color w:val="auto"/>
        </w:rPr>
        <w:t>Section 9.02(c)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10.09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11.10</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11.11</w:t>
      </w:r>
      <w:r>
        <w:rPr>
          <w:rFonts w:ascii="Times New Roman" w:cs="Times New Roman" w:eastAsia="Times New Roman" w:hAnsi="Times New Roman"/>
          <w:sz w:val="22"/>
          <w:szCs w:val="22"/>
          <w:color w:val="auto"/>
        </w:rPr>
        <w:t xml:space="preserve"> shall have the right to enforce their respective rights thereunder, (ii) from and after the Closing, the Purchaser Indemnitees and the Seller Indemnitees shall be third-party beneficiaries of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xml:space="preserve"> and the corresponding sections of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and each shall have the right to enforce their respective rights thereunder, (iii) Existing Counsel is a third-party beneficiary of </w:t>
      </w:r>
      <w:r>
        <w:rPr>
          <w:rFonts w:ascii="Times New Roman" w:cs="Times New Roman" w:eastAsia="Times New Roman" w:hAnsi="Times New Roman"/>
          <w:sz w:val="22"/>
          <w:szCs w:val="22"/>
          <w:u w:val="single" w:color="auto"/>
          <w:color w:val="auto"/>
        </w:rPr>
        <w:t>Section 11.13</w:t>
      </w:r>
      <w:r>
        <w:rPr>
          <w:rFonts w:ascii="Times New Roman" w:cs="Times New Roman" w:eastAsia="Times New Roman" w:hAnsi="Times New Roman"/>
          <w:sz w:val="22"/>
          <w:szCs w:val="22"/>
          <w:color w:val="auto"/>
        </w:rPr>
        <w:t xml:space="preserve"> and shall have the right to enforce its rights thereunder, and (iv) the Financing Sources shall be third-party beneficiaries of the Lender Protective Provisions, and shall have the right to enforce their rights hereunder and thereunder, to the extent applicable to such Financing Sources. The parties hereto have voluntarily agreed to define their rights, liabilities and obligations with respect to the Transactions exclusively in contract pursuant to the express terms and provisions of this Agreement and the other Specified Documents, and the parties hereto expressly disclaim that they are owed any duties or are entitled to any remedies not expressly set forth in this Agreement or the other Specified Documents. Notwithstanding anything to the contrary in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11.06</w:t>
      </w:r>
      <w:r>
        <w:rPr>
          <w:rFonts w:ascii="Times New Roman" w:cs="Times New Roman" w:eastAsia="Times New Roman" w:hAnsi="Times New Roman"/>
          <w:sz w:val="22"/>
          <w:szCs w:val="22"/>
          <w:color w:val="auto"/>
        </w:rPr>
        <w:t xml:space="preserve"> or elsewhere in this Agreement, each of the parties retains all of its rights and remedies with respect to claims based upon circumstances constituting Fraud. Each representation and warranty set forth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is given independent effect so that if a particular representation and warranty therein proves to be incorrect or is breached, the fact that another representation and warranty therein concerning the same or similar subject matter is correct or is not breached, whether such other representation and warranty is more general or more specific, narrower or broader or otherwise, will not affect the incorrectness or breach of such particular representation and warranty.</w:t>
      </w:r>
    </w:p>
    <w:p>
      <w:pPr>
        <w:spacing w:after="0" w:line="189"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11.07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xml:space="preserve">. This Agreement and the performance of the obligations of the parties hereunder, and all matters, claims or causes of action (whether at law, in equity, in Contract, in tort or otherwise) based upon, arising out of or relating to this Agreement or the negotiation, execution or performance of this Agreement, shall be governed by, and construed in accordance with, the laws of the State of Delaware, regardless of the laws that might otherwise govern under applicable principles of conflicts of laws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each of the parties agrees that, except as expressly provided in any Debt Commitment Letter, all claims or causes of action (whether at law, in equity, in Contract, in tort or otherwise) against any of the Financing Sources in any way relating to the Debt Financing, shall be construed and enforced in accordance with, and governed by, the Laws of the State of New York, without giving regard to conflicts or choice of law principles that would result in the application of the Laws of any jurisdiction other than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- 108 -</w:t>
      </w:r>
    </w:p>
    <w:p>
      <w:pPr>
        <w:sectPr>
          <w:pgSz w:w="11900" w:h="16838" w:orient="portrait"/>
          <w:cols w:equalWidth="0" w:num="1">
            <w:col w:w="11160"/>
          </w:cols>
          <w:pgMar w:left="400" w:top="1422" w:right="339" w:bottom="1440" w:gutter="0" w:footer="0" w:header="0"/>
        </w:sectPr>
      </w:pPr>
    </w:p>
    <w:bookmarkStart w:id="177" w:name="page178"/>
    <w:bookmarkEnd w:id="177"/>
    <w:p>
      <w:pPr>
        <w:jc w:val="both"/>
        <w:ind w:firstLine="1296"/>
        <w:spacing w:after="0" w:line="260" w:lineRule="auto"/>
        <w:rPr>
          <w:sz w:val="20"/>
          <w:szCs w:val="20"/>
          <w:color w:val="auto"/>
        </w:rPr>
      </w:pPr>
      <w:r>
        <w:rPr>
          <w:rFonts w:ascii="Times New Roman" w:cs="Times New Roman" w:eastAsia="Times New Roman" w:hAnsi="Times New Roman"/>
          <w:sz w:val="21"/>
          <w:szCs w:val="21"/>
          <w:color w:val="auto"/>
        </w:rPr>
        <w:t xml:space="preserve">Section 11.08 </w:t>
      </w:r>
      <w:r>
        <w:rPr>
          <w:rFonts w:ascii="Times New Roman" w:cs="Times New Roman" w:eastAsia="Times New Roman" w:hAnsi="Times New Roman"/>
          <w:sz w:val="21"/>
          <w:szCs w:val="21"/>
          <w:u w:val="single" w:color="auto"/>
          <w:color w:val="auto"/>
        </w:rPr>
        <w:t>Assignment</w:t>
      </w:r>
      <w:r>
        <w:rPr>
          <w:rFonts w:ascii="Times New Roman" w:cs="Times New Roman" w:eastAsia="Times New Roman" w:hAnsi="Times New Roman"/>
          <w:sz w:val="21"/>
          <w:szCs w:val="21"/>
          <w:color w:val="auto"/>
        </w:rPr>
        <w:t xml:space="preserve">. Neither this Agreement nor any of the rights, interests or obligations under this Agreement shall be assigned, in whole or in part, by operation of Law or otherwise by any party without the prior written consent of the other party. Any purported assignment without such consent shall be null and void. This Agreement will be binding upon, inure to the benefit of, and be enforceable by, the parties and their respective successors and permitted assigns. Notwithstanding the foregoing, this Agreement (and all rights, interests and obligations hereunder) may be assigned by Purchaser, in whole or in part, without consent, to (a) any of its Affiliates or any subsequent acquirer of all the equity securities or substantially all of the assets of it or any of its Affiliates or (b) for collateral security purposes to any Financing Sources (or any agent therefor) (including for purposes of creating a security interest herein or otherwise assigning as collateral in respect of such Financing), in each case so long as such assignment is not reasonably expected to result in incremental unreimbursed Taxes to the Seller;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no such assignment shall affect or relieve Purchaser of its obligations and other Liabilities under this Agreement. Notwithstanding the foregoing, an assignment by Purchaser to an Affiliate of its rights to acquire Transferred Assets shall not be considered for purposes of this provision to result in incremental Taxes to the Seller if such Affiliate is organized in the same jurisdiction as the Seller (or, if such Seller is not organized in the jurisdiction in which such Transferred Assets are located, if such designated Affiliate is organized in such jurisdiction).</w:t>
      </w:r>
    </w:p>
    <w:p>
      <w:pPr>
        <w:spacing w:after="0" w:line="185" w:lineRule="exact"/>
        <w:rPr>
          <w:sz w:val="20"/>
          <w:szCs w:val="20"/>
          <w:color w:val="auto"/>
        </w:rPr>
      </w:pPr>
    </w:p>
    <w:p>
      <w:pPr>
        <w:ind w:left="1300"/>
        <w:spacing w:after="0"/>
        <w:tabs>
          <w:tab w:leader="none" w:pos="2680" w:val="left"/>
        </w:tabs>
        <w:rPr>
          <w:sz w:val="20"/>
          <w:szCs w:val="20"/>
          <w:color w:val="auto"/>
        </w:rPr>
      </w:pPr>
      <w:r>
        <w:rPr>
          <w:rFonts w:ascii="Times New Roman" w:cs="Times New Roman" w:eastAsia="Times New Roman" w:hAnsi="Times New Roman"/>
          <w:sz w:val="22"/>
          <w:szCs w:val="22"/>
          <w:color w:val="auto"/>
        </w:rPr>
        <w:t>Section 11.09</w:t>
      </w:r>
      <w:r>
        <w:rPr>
          <w:sz w:val="20"/>
          <w:szCs w:val="20"/>
          <w:color w:val="auto"/>
        </w:rPr>
        <w:tab/>
      </w:r>
      <w:r>
        <w:rPr>
          <w:rFonts w:ascii="Times New Roman" w:cs="Times New Roman" w:eastAsia="Times New Roman" w:hAnsi="Times New Roman"/>
          <w:sz w:val="21"/>
          <w:szCs w:val="21"/>
          <w:u w:val="single" w:color="auto"/>
          <w:color w:val="auto"/>
        </w:rPr>
        <w:t>Enforcement; Jurisdiction; Consent to Service of Process; Waiver of Jury Trial</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80" w:firstLine="1304"/>
        <w:spacing w:after="0" w:line="247" w:lineRule="auto"/>
        <w:tabs>
          <w:tab w:leader="none" w:pos="1832"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parties agree that irreparable damage would occur in the event that any of the provisions of this Agreement were not performed in accordance with their specific terms or were otherwise breached. It is accordingly agreed that the parties shall be entitled to an injunction or injunctions, specific performance or other equitable relief to prevent breaches or threatened breaches of this Agreement and to enforce specifically the terms and provisions of this Agreement, without proof of damages or otherwise, this being in addition to any other remedy to which they are entitled at law or in equity. The right of specific enforcement is an integral part of the Transactions and without that right, neither the Seller nor Purchaser would have entered into this Agreement. Each party agrees that it will not oppose the granting of an injunction, specific performance and other equitable relief on the basis that the other party has an adequate remedy at law or an award of specific performance is not an appropriate remedy for any reason at law or in equity. The parties hereto acknowledge and agree that any party seeking an injunction or injunctions to prevent breaches or threatened breaches of this Agreement and to enforce specifically the terms and provisions of this Agreement in accordance with this </w:t>
      </w:r>
      <w:r>
        <w:rPr>
          <w:rFonts w:ascii="Times New Roman" w:cs="Times New Roman" w:eastAsia="Times New Roman" w:hAnsi="Times New Roman"/>
          <w:sz w:val="22"/>
          <w:szCs w:val="22"/>
          <w:u w:val="single" w:color="auto"/>
          <w:color w:val="auto"/>
        </w:rPr>
        <w:t>Section 11.09</w:t>
      </w:r>
      <w:r>
        <w:rPr>
          <w:rFonts w:ascii="Times New Roman" w:cs="Times New Roman" w:eastAsia="Times New Roman" w:hAnsi="Times New Roman"/>
          <w:sz w:val="22"/>
          <w:szCs w:val="22"/>
          <w:color w:val="auto"/>
        </w:rPr>
        <w:t xml:space="preserve"> shall not be required to provide any bond or other security in connection with any such order or injunction, and the party opposing such injunction or injunctions hereby agrees that it shall not contest the amount or absence of any such bond or other security requested or offered by the party seeking such injunction or injunctions.</w:t>
      </w:r>
    </w:p>
    <w:p>
      <w:pPr>
        <w:spacing w:after="0" w:line="189" w:lineRule="exact"/>
        <w:rPr>
          <w:rFonts w:ascii="Times New Roman" w:cs="Times New Roman" w:eastAsia="Times New Roman" w:hAnsi="Times New Roman"/>
          <w:sz w:val="22"/>
          <w:szCs w:val="22"/>
          <w:color w:val="auto"/>
        </w:rPr>
      </w:pPr>
    </w:p>
    <w:p>
      <w:pPr>
        <w:jc w:val="both"/>
        <w:ind w:left="-80" w:firstLine="1304"/>
        <w:spacing w:after="0" w:line="256" w:lineRule="auto"/>
        <w:tabs>
          <w:tab w:leader="none" w:pos="1716"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w:t>
      </w:r>
      <w:r>
        <w:rPr>
          <w:rFonts w:ascii="Times New Roman" w:cs="Times New Roman" w:eastAsia="Times New Roman" w:hAnsi="Times New Roman"/>
          <w:sz w:val="22"/>
          <w:szCs w:val="22"/>
          <w:u w:val="single" w:color="auto"/>
          <w:color w:val="auto"/>
        </w:rPr>
        <w:t>Section 11.09(a)</w:t>
      </w:r>
      <w:r>
        <w:rPr>
          <w:rFonts w:ascii="Times New Roman" w:cs="Times New Roman" w:eastAsia="Times New Roman" w:hAnsi="Times New Roman"/>
          <w:sz w:val="22"/>
          <w:szCs w:val="22"/>
          <w:color w:val="auto"/>
        </w:rPr>
        <w:t xml:space="preserve"> or anything else to the contrary, it is explicitly agreed that the Seller shall only have the right to obtain specific performance to consummate the Closing or to cause Purchaser to draw down the Equity Financing under the Equity Commitment Letter to consummate the Closing in the event that (and only in the event that) each of the following conditions has been satisfied:</w:t>
      </w:r>
    </w:p>
    <w:p>
      <w:pPr>
        <w:spacing w:after="0" w:line="176" w:lineRule="exact"/>
        <w:rPr>
          <w:rFonts w:ascii="Times New Roman" w:cs="Times New Roman" w:eastAsia="Times New Roman" w:hAnsi="Times New Roman"/>
          <w:sz w:val="22"/>
          <w:szCs w:val="22"/>
          <w:color w:val="auto"/>
        </w:rPr>
      </w:pPr>
    </w:p>
    <w:p>
      <w:pPr>
        <w:ind w:left="1720" w:hanging="415"/>
        <w:spacing w:after="0"/>
        <w:tabs>
          <w:tab w:leader="none" w:pos="1720" w:val="left"/>
        </w:tabs>
        <w:numPr>
          <w:ilvl w:val="2"/>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Purchaser has failed to consummate the Closing in accordance with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9" w:lineRule="exact"/>
        <w:rPr>
          <w:rFonts w:ascii="Times New Roman" w:cs="Times New Roman" w:eastAsia="Times New Roman" w:hAnsi="Times New Roman"/>
          <w:sz w:val="22"/>
          <w:szCs w:val="22"/>
          <w:color w:val="auto"/>
        </w:rPr>
      </w:pPr>
    </w:p>
    <w:p>
      <w:pPr>
        <w:ind w:left="280" w:hanging="136"/>
        <w:spacing w:after="0"/>
        <w:tabs>
          <w:tab w:leader="none" w:pos="280"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109 -</w:t>
      </w:r>
    </w:p>
    <w:p>
      <w:pPr>
        <w:sectPr>
          <w:pgSz w:w="11900" w:h="16838" w:orient="portrait"/>
          <w:cols w:equalWidth="0" w:num="1">
            <w:col w:w="11160"/>
          </w:cols>
          <w:pgMar w:left="400" w:top="1422" w:right="339" w:bottom="1440" w:gutter="0" w:footer="0" w:header="0"/>
        </w:sectPr>
      </w:pPr>
    </w:p>
    <w:bookmarkStart w:id="178" w:name="page179"/>
    <w:bookmarkEnd w:id="178"/>
    <w:p>
      <w:pPr>
        <w:jc w:val="both"/>
        <w:ind w:left="740" w:firstLine="645"/>
        <w:spacing w:after="0" w:line="257" w:lineRule="auto"/>
        <w:tabs>
          <w:tab w:leader="none" w:pos="1897"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the conditions set forth in </w:t>
      </w:r>
      <w:r>
        <w:rPr>
          <w:rFonts w:ascii="Times New Roman" w:cs="Times New Roman" w:eastAsia="Times New Roman" w:hAnsi="Times New Roman"/>
          <w:sz w:val="22"/>
          <w:szCs w:val="22"/>
          <w:u w:val="single" w:color="auto"/>
          <w:color w:val="auto"/>
        </w:rPr>
        <w:t>Section 8.01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8.02</w:t>
      </w:r>
      <w:r>
        <w:rPr>
          <w:rFonts w:ascii="Times New Roman" w:cs="Times New Roman" w:eastAsia="Times New Roman" w:hAnsi="Times New Roman"/>
          <w:sz w:val="22"/>
          <w:szCs w:val="22"/>
          <w:color w:val="auto"/>
        </w:rPr>
        <w:t xml:space="preserve"> have been satisfied or irrevocably waived (other than those conditions that by their nature are to be satisfied at Closing, but each of which is capable of being satisfied at the Closing) at the date the Closing were to have occurred in accordance with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w:t>
      </w:r>
    </w:p>
    <w:p>
      <w:pPr>
        <w:spacing w:after="0" w:line="186" w:lineRule="exact"/>
        <w:rPr>
          <w:rFonts w:ascii="Times New Roman" w:cs="Times New Roman" w:eastAsia="Times New Roman" w:hAnsi="Times New Roman"/>
          <w:sz w:val="22"/>
          <w:szCs w:val="22"/>
          <w:color w:val="auto"/>
        </w:rPr>
      </w:pPr>
    </w:p>
    <w:p>
      <w:pPr>
        <w:ind w:left="740" w:firstLine="645"/>
        <w:spacing w:after="0" w:line="271" w:lineRule="auto"/>
        <w:tabs>
          <w:tab w:leader="none" w:pos="1936"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Debt Financing (or any alternative Financing in accordance with </w:t>
      </w:r>
      <w:r>
        <w:rPr>
          <w:rFonts w:ascii="Times New Roman" w:cs="Times New Roman" w:eastAsia="Times New Roman" w:hAnsi="Times New Roman"/>
          <w:sz w:val="22"/>
          <w:szCs w:val="22"/>
          <w:u w:val="single" w:color="auto"/>
          <w:color w:val="auto"/>
        </w:rPr>
        <w:t>Section 7.19</w:t>
      </w:r>
      <w:r>
        <w:rPr>
          <w:rFonts w:ascii="Times New Roman" w:cs="Times New Roman" w:eastAsia="Times New Roman" w:hAnsi="Times New Roman"/>
          <w:sz w:val="22"/>
          <w:szCs w:val="22"/>
          <w:color w:val="auto"/>
        </w:rPr>
        <w:t>) has been funded or will be funded at the Closing on the terms set forth in the applicable Debt Commitment Letter;</w:t>
      </w:r>
    </w:p>
    <w:p>
      <w:pPr>
        <w:spacing w:after="0" w:line="157" w:lineRule="exact"/>
        <w:rPr>
          <w:rFonts w:ascii="Times New Roman" w:cs="Times New Roman" w:eastAsia="Times New Roman" w:hAnsi="Times New Roman"/>
          <w:sz w:val="22"/>
          <w:szCs w:val="22"/>
          <w:color w:val="auto"/>
        </w:rPr>
      </w:pPr>
    </w:p>
    <w:p>
      <w:pPr>
        <w:jc w:val="both"/>
        <w:ind w:left="740" w:firstLine="645"/>
        <w:spacing w:after="0" w:line="251" w:lineRule="auto"/>
        <w:tabs>
          <w:tab w:leader="none" w:pos="1973"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Following the failure described in clause (i), the Seller has irrevocably confirmed in writing to Purchaser that (x) the conditions set forth in </w:t>
      </w:r>
      <w:r>
        <w:rPr>
          <w:rFonts w:ascii="Times New Roman" w:cs="Times New Roman" w:eastAsia="Times New Roman" w:hAnsi="Times New Roman"/>
          <w:sz w:val="22"/>
          <w:szCs w:val="22"/>
          <w:u w:val="single" w:color="auto"/>
          <w:color w:val="auto"/>
        </w:rPr>
        <w:t>Section 8.01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8.03</w:t>
      </w:r>
      <w:r>
        <w:rPr>
          <w:rFonts w:ascii="Times New Roman" w:cs="Times New Roman" w:eastAsia="Times New Roman" w:hAnsi="Times New Roman"/>
          <w:sz w:val="22"/>
          <w:szCs w:val="22"/>
          <w:color w:val="auto"/>
        </w:rPr>
        <w:t xml:space="preserve"> (other than those conditions that by their nature are to be satisfied at the Closing, but each of which is capable of being satisfied at the Closing) have been satisfied and remain satisfied or have been irrevocably waived and (y) if specific performance is granted and the Debt Financing (or any alternative Financing in accordance with </w:t>
      </w:r>
      <w:r>
        <w:rPr>
          <w:rFonts w:ascii="Times New Roman" w:cs="Times New Roman" w:eastAsia="Times New Roman" w:hAnsi="Times New Roman"/>
          <w:sz w:val="22"/>
          <w:szCs w:val="22"/>
          <w:u w:val="single" w:color="auto"/>
          <w:color w:val="auto"/>
        </w:rPr>
        <w:t>Section 7.19</w:t>
      </w:r>
      <w:r>
        <w:rPr>
          <w:rFonts w:ascii="Times New Roman" w:cs="Times New Roman" w:eastAsia="Times New Roman" w:hAnsi="Times New Roman"/>
          <w:sz w:val="22"/>
          <w:szCs w:val="22"/>
          <w:color w:val="auto"/>
        </w:rPr>
        <w:t>) is funded and the Equity Financing is funded, then Seller stands ready, willing and able to consummate the Closing; and</w:t>
      </w:r>
    </w:p>
    <w:p>
      <w:pPr>
        <w:spacing w:after="0" w:line="181" w:lineRule="exact"/>
        <w:rPr>
          <w:rFonts w:ascii="Times New Roman" w:cs="Times New Roman" w:eastAsia="Times New Roman" w:hAnsi="Times New Roman"/>
          <w:sz w:val="22"/>
          <w:szCs w:val="22"/>
          <w:color w:val="auto"/>
        </w:rPr>
      </w:pPr>
    </w:p>
    <w:p>
      <w:pPr>
        <w:ind w:left="740" w:firstLine="645"/>
        <w:spacing w:after="0" w:line="271" w:lineRule="auto"/>
        <w:tabs>
          <w:tab w:leader="none" w:pos="1989"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Purchaser fails to consummate the Closing within three (3) Business Days following its receipt of the written notice contemplated by the immediately preceding clause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Notwithstanding </w:t>
      </w:r>
      <w:r>
        <w:rPr>
          <w:rFonts w:ascii="Times New Roman" w:cs="Times New Roman" w:eastAsia="Times New Roman" w:hAnsi="Times New Roman"/>
          <w:sz w:val="22"/>
          <w:szCs w:val="22"/>
          <w:u w:val="single" w:color="auto"/>
          <w:color w:val="auto"/>
        </w:rPr>
        <w:t>Section 11.09(a)</w:t>
      </w:r>
      <w:r>
        <w:rPr>
          <w:rFonts w:ascii="Times New Roman" w:cs="Times New Roman" w:eastAsia="Times New Roman" w:hAnsi="Times New Roman"/>
          <w:sz w:val="22"/>
          <w:szCs w:val="22"/>
          <w:color w:val="auto"/>
        </w:rPr>
        <w:t xml:space="preserve"> or anything else to the contrary, it is explicitly agreed, for the avoidance of doubt, that (A) no Person other than the Seller shall be entitled to specific performance to cause Purchaser to draw down the Equity Financing under the Equity Commitment Letter to consummate the Closing, and (B) in no event shall the Seller be entitled to specifically enforce Purchaser’s rights under the Equity Commitment Letter to draw down the Equity Financing to consummate the Closing other than as expressly provided in this </w:t>
      </w:r>
      <w:r>
        <w:rPr>
          <w:rFonts w:ascii="Times New Roman" w:cs="Times New Roman" w:eastAsia="Times New Roman" w:hAnsi="Times New Roman"/>
          <w:sz w:val="22"/>
          <w:szCs w:val="22"/>
          <w:u w:val="single" w:color="auto"/>
          <w:color w:val="auto"/>
        </w:rPr>
        <w:t>Section 11.09(b)</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304"/>
        <w:spacing w:after="0" w:line="247" w:lineRule="auto"/>
        <w:tabs>
          <w:tab w:leader="none" w:pos="1761" w:val="left"/>
        </w:tabs>
        <w:numPr>
          <w:ilvl w:val="1"/>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the parties hereto (i) consents to submit itself to the personal jurisdiction of the Court of Chancery of the State of Delaware and any state appellate court therefrom within the State of Delaware, or in the event that (but only in the event that) such court does not have subject matter jurisdiction, any state or federal court within the State of Delaware, in the event any dispute arises out of this Agreement or the Transactions, (ii) agrees that it will not attempt to deny or defeat such personal jurisdiction by motion or other request for leave from any such court, (iii) agrees that it will not bring any Action relating to this Agreement or the Transactions in any court other than the Court of Chancery of the State of Delaware, or, if (and only if) such court finds it lacks subject matter jurisdiction, the federal court of the United States sitting in the State of Delaware, and the appellate courts thereof, (iv) UNCONDITIONALLY AND IRREVOCABLY WAIVES ANY RIGHT TO TRIAL BY JURY WITH RESPECT TO ANY ACTION RELATED TO OR ARISING OUT OF THIS AGREEMENT, THE DEBT FINANCING, THE EQUITY FINANCING OR THE TRANSACTIONS, (v) waives the defense of an inconvenient forum to the maintenance of any Action related to or arising out of this Agreement or the Transactions and (vi) consents to service of process being made through the notice procedures set forth in </w:t>
      </w:r>
      <w:r>
        <w:rPr>
          <w:rFonts w:ascii="Times New Roman" w:cs="Times New Roman" w:eastAsia="Times New Roman" w:hAnsi="Times New Roman"/>
          <w:sz w:val="22"/>
          <w:szCs w:val="22"/>
          <w:u w:val="single" w:color="auto"/>
          <w:color w:val="auto"/>
        </w:rPr>
        <w:t>Section 11.01</w:t>
      </w:r>
      <w:r>
        <w:rPr>
          <w:rFonts w:ascii="Times New Roman" w:cs="Times New Roman" w:eastAsia="Times New Roman" w:hAnsi="Times New Roman"/>
          <w:sz w:val="22"/>
          <w:szCs w:val="22"/>
          <w:color w:val="auto"/>
        </w:rPr>
        <w:t>. The consents to jurisdiction set forth in this paragraph shall not constitute general consents to service of process in the State of Delaware. The parties hereto agree that a final Judgment in any such Action shall be conclusive and may be enforced in other jurisdictions by suit on the Judgment or in any other manner provided by applicable Law. Notwithstanding anything in this Agreement to the contrary, the parties acknowledge and agree (i) that any Action of any kind or description, whether in law or in equity,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4" w:lineRule="exact"/>
        <w:rPr>
          <w:rFonts w:ascii="Times New Roman" w:cs="Times New Roman" w:eastAsia="Times New Roman" w:hAnsi="Times New Roman"/>
          <w:sz w:val="22"/>
          <w:szCs w:val="22"/>
          <w:color w:val="auto"/>
        </w:rPr>
      </w:pPr>
    </w:p>
    <w:p>
      <w:pPr>
        <w:ind w:left="360" w:hanging="136"/>
        <w:spacing w:after="0"/>
        <w:tabs>
          <w:tab w:leader="none" w:pos="36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110 -</w:t>
      </w:r>
    </w:p>
    <w:p>
      <w:pPr>
        <w:sectPr>
          <w:pgSz w:w="11900" w:h="16838" w:orient="portrait"/>
          <w:cols w:equalWidth="0" w:num="1">
            <w:col w:w="11240"/>
          </w:cols>
          <w:pgMar w:left="320" w:top="1422" w:right="339" w:bottom="1440" w:gutter="0" w:footer="0" w:header="0"/>
        </w:sectPr>
      </w:pPr>
    </w:p>
    <w:bookmarkStart w:id="179" w:name="page180"/>
    <w:bookmarkEnd w:id="179"/>
    <w:p>
      <w:pPr>
        <w:jc w:val="both"/>
        <w:spacing w:after="0" w:line="261" w:lineRule="auto"/>
        <w:rPr>
          <w:sz w:val="20"/>
          <w:szCs w:val="20"/>
          <w:color w:val="auto"/>
        </w:rPr>
      </w:pPr>
      <w:r>
        <w:rPr>
          <w:rFonts w:ascii="Times New Roman" w:cs="Times New Roman" w:eastAsia="Times New Roman" w:hAnsi="Times New Roman"/>
          <w:sz w:val="21"/>
          <w:szCs w:val="21"/>
          <w:color w:val="auto"/>
        </w:rPr>
        <w:t>whether in Contract or tort or otherwise, involving the Financing Sources or arising out of, or relating to the Debt Financing or the performance of services thereunder or related thereto will be subject to the exclusive jurisdiction of the Supreme Court of the State of New York, County of New York (and the appellate courts thereof), or, if under applicable Law exclusive jurisdiction is vested in the federal courts, the United States District Court for the Southern District of New York (and appellate courts thereof), and each party submits for itself and its property with respect to any such Action to the exclusive jurisdiction of such court, (ii) not to bring or permit any of their Affiliates to bring or support any other Person in bringing any such Action in any other court,</w:t>
      </w:r>
    </w:p>
    <w:p>
      <w:pPr>
        <w:spacing w:after="0" w:line="1" w:lineRule="exact"/>
        <w:rPr>
          <w:sz w:val="20"/>
          <w:szCs w:val="20"/>
          <w:color w:val="auto"/>
        </w:rPr>
      </w:pPr>
    </w:p>
    <w:p>
      <w:pPr>
        <w:jc w:val="both"/>
        <w:ind w:firstLine="8"/>
        <w:spacing w:after="0" w:line="246" w:lineRule="auto"/>
        <w:tabs>
          <w:tab w:leader="none" w:pos="392"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service of process, summons, notice or document by registered mail addressed to them at their respective addresses, if any, provided in any Debt Commitment Letter will be effective service of process against them for any such Action brought in any such court, (iv) to waive and hereby irrevocably waive, to the fullest extent permitted by Law, any objection which any of them may now or hereafter have to the laying of venue of, and the defense of an inconvenient forum to the maintenance of, any such Action in any such court, and (v) that a final Judgment in any such Action shall be conclusive and may be enforced in other jurisdictions by suit on the Judgment or in any other manner provided by Law.</w:t>
      </w:r>
    </w:p>
    <w:p>
      <w:pPr>
        <w:spacing w:after="0" w:line="189" w:lineRule="exact"/>
        <w:rPr>
          <w:sz w:val="20"/>
          <w:szCs w:val="20"/>
          <w:color w:val="auto"/>
        </w:rPr>
      </w:pPr>
    </w:p>
    <w:p>
      <w:pPr>
        <w:jc w:val="both"/>
        <w:ind w:left="80" w:firstLine="1296"/>
        <w:spacing w:after="0" w:line="259" w:lineRule="auto"/>
        <w:rPr>
          <w:sz w:val="20"/>
          <w:szCs w:val="20"/>
          <w:color w:val="auto"/>
        </w:rPr>
      </w:pPr>
      <w:r>
        <w:rPr>
          <w:rFonts w:ascii="Times New Roman" w:cs="Times New Roman" w:eastAsia="Times New Roman" w:hAnsi="Times New Roman"/>
          <w:sz w:val="21"/>
          <w:szCs w:val="21"/>
          <w:color w:val="auto"/>
        </w:rPr>
        <w:t xml:space="preserve">Section 11.10 </w:t>
      </w:r>
      <w:r>
        <w:rPr>
          <w:rFonts w:ascii="Times New Roman" w:cs="Times New Roman" w:eastAsia="Times New Roman" w:hAnsi="Times New Roman"/>
          <w:sz w:val="21"/>
          <w:szCs w:val="21"/>
          <w:u w:val="single" w:color="auto"/>
          <w:color w:val="auto"/>
        </w:rPr>
        <w:t>No Recourse Against Nonparty Affiliates</w:t>
      </w:r>
      <w:r>
        <w:rPr>
          <w:rFonts w:ascii="Times New Roman" w:cs="Times New Roman" w:eastAsia="Times New Roman" w:hAnsi="Times New Roman"/>
          <w:sz w:val="21"/>
          <w:szCs w:val="21"/>
          <w:color w:val="auto"/>
        </w:rPr>
        <w:t>. Except in the case of Fraud, claims, causes of action or Liabilities (whether in Contract or in tort, in law or in equity, or granted by statute) that may be based upon, in respect of, arise under, out or by reason of, be connected with, or relate in any manner to this Agreement or any other Transaction Document, or the negotiation, execution, or performance of this Agreement or any other Transaction Document (including any representation or warranty made in, in connection with, or as an inducement to, this Agreement or any other Transaction Document), may be made only against (and are those solely of) the entities that are expressly identified as parties to this Agreement or in the applicable Transaction Document (the “</w:t>
      </w:r>
      <w:r>
        <w:rPr>
          <w:rFonts w:ascii="Times New Roman" w:cs="Times New Roman" w:eastAsia="Times New Roman" w:hAnsi="Times New Roman"/>
          <w:sz w:val="21"/>
          <w:szCs w:val="21"/>
          <w:u w:val="single" w:color="auto"/>
          <w:color w:val="auto"/>
        </w:rPr>
        <w:t>Contracting Parties</w:t>
      </w:r>
      <w:r>
        <w:rPr>
          <w:rFonts w:ascii="Times New Roman" w:cs="Times New Roman" w:eastAsia="Times New Roman" w:hAnsi="Times New Roman"/>
          <w:sz w:val="21"/>
          <w:szCs w:val="21"/>
          <w:color w:val="auto"/>
        </w:rPr>
        <w:t>” and each, a “</w:t>
      </w:r>
      <w:r>
        <w:rPr>
          <w:rFonts w:ascii="Times New Roman" w:cs="Times New Roman" w:eastAsia="Times New Roman" w:hAnsi="Times New Roman"/>
          <w:sz w:val="21"/>
          <w:szCs w:val="21"/>
          <w:u w:val="single" w:color="auto"/>
          <w:color w:val="auto"/>
        </w:rPr>
        <w:t>Contracting Party</w:t>
      </w:r>
      <w:r>
        <w:rPr>
          <w:rFonts w:ascii="Times New Roman" w:cs="Times New Roman" w:eastAsia="Times New Roman" w:hAnsi="Times New Roman"/>
          <w:sz w:val="21"/>
          <w:szCs w:val="21"/>
          <w:color w:val="auto"/>
        </w:rPr>
        <w:t>”), and then only with respect to the specific obligations set forth herein (with respect to the parties to this Agreement) or therein (with respect to the parties to such Transaction Document). Except in the case of Fraud, no Person who is not a Contracting Party, including any Affiliate of a Contracting Party or any of their respective directors, managers, officers, employees, incorporators, members, limited or general partners, unitholders, stockholders, agents, attorneys, financial advisors, lenders or other Representatives (“</w:t>
      </w:r>
      <w:r>
        <w:rPr>
          <w:rFonts w:ascii="Times New Roman" w:cs="Times New Roman" w:eastAsia="Times New Roman" w:hAnsi="Times New Roman"/>
          <w:sz w:val="21"/>
          <w:szCs w:val="21"/>
          <w:u w:val="single" w:color="auto"/>
          <w:color w:val="auto"/>
        </w:rPr>
        <w:t>Nonparty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Affiliates</w:t>
      </w:r>
      <w:r>
        <w:rPr>
          <w:rFonts w:ascii="Times New Roman" w:cs="Times New Roman" w:eastAsia="Times New Roman" w:hAnsi="Times New Roman"/>
          <w:sz w:val="21"/>
          <w:szCs w:val="21"/>
          <w:color w:val="auto"/>
        </w:rPr>
        <w:t>”), shall have any Liability (whether in Contract or in tort, in law or in equity, or granted by statute) for any claims, causes of action or Liabilities arising under, out of, in connection with, or related in any manner to this Agreement or such other Transaction Document, as applicable, or based on, in respect of, or by reason of this Agreement or such other Transaction Document, as applicable, or its negotiation, execution, performance, or breach; and, to the maximum extent permitted by applicable Law, each Contracting Party hereby waives and releases all such claims, causes of action and Liabilities against any such Nonparty Affiliates. Without limiting the foregoing, to the maximum extent permitted by applicable Law and except in the case of Fraud, (a) each Contracting Party hereby waives and releases any and all rights, claims, demands or causes of action that may otherwise be available in law or in equity, or granted by statute, to avoid or disregard the entity form of a Contracting Party or otherwise impose Liability of a Contracting Party on any Nonparty Affiliate, whether granted by statute or based on theories of equity, agency, control, instrumentality, alter ego, domination, sham, single business enterprise, piercing the veil, unfairness, undercapitalization, or otherwise and (b) each Contracting Party disclaims any reliance upon any Nonparty Affiliates with respect to the performance of this Agreement or any other Transaction Document or any representation or warranty made in, in connection with, or as an inducement to this Agreement or any other Transaction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- 111 -</w:t>
      </w:r>
    </w:p>
    <w:p>
      <w:pPr>
        <w:sectPr>
          <w:pgSz w:w="11900" w:h="16838" w:orient="portrait"/>
          <w:cols w:equalWidth="0" w:num="1">
            <w:col w:w="11240"/>
          </w:cols>
          <w:pgMar w:left="320" w:top="1422" w:right="339" w:bottom="1440" w:gutter="0" w:footer="0" w:header="0"/>
        </w:sectPr>
      </w:pPr>
    </w:p>
    <w:bookmarkStart w:id="180" w:name="page181"/>
    <w:bookmarkEnd w:id="180"/>
    <w:p>
      <w:pPr>
        <w:jc w:val="both"/>
        <w:ind w:firstLine="1296"/>
        <w:spacing w:after="0" w:line="259" w:lineRule="auto"/>
        <w:rPr>
          <w:sz w:val="20"/>
          <w:szCs w:val="20"/>
          <w:color w:val="auto"/>
        </w:rPr>
      </w:pPr>
      <w:r>
        <w:rPr>
          <w:rFonts w:ascii="Times New Roman" w:cs="Times New Roman" w:eastAsia="Times New Roman" w:hAnsi="Times New Roman"/>
          <w:sz w:val="21"/>
          <w:szCs w:val="21"/>
          <w:color w:val="auto"/>
        </w:rPr>
        <w:t xml:space="preserve">Section 11.11 </w:t>
      </w: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xml:space="preserve">. Effective as of the Closing, except for any rights or obligations under this Agreement or the other Transaction Documents (including any covenants or agreements that survive the Closing) or in the case of Fraud, each party, on behalf of itself and each of its Affiliates (including in the case of Purchaser, a Subsidiary of Purchaser, but excluding in the case of Purchaser, any other portfolio company of funds affiliated with Gemspring;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Purchaser shall not assign any obligation, Action or claim released pursuant to this </w:t>
      </w:r>
      <w:r>
        <w:rPr>
          <w:rFonts w:ascii="Times New Roman" w:cs="Times New Roman" w:eastAsia="Times New Roman" w:hAnsi="Times New Roman"/>
          <w:sz w:val="21"/>
          <w:szCs w:val="21"/>
          <w:u w:val="single" w:color="auto"/>
          <w:color w:val="auto"/>
        </w:rPr>
        <w:t>Section 11.11</w:t>
      </w:r>
      <w:r>
        <w:rPr>
          <w:rFonts w:ascii="Times New Roman" w:cs="Times New Roman" w:eastAsia="Times New Roman" w:hAnsi="Times New Roman"/>
          <w:sz w:val="21"/>
          <w:szCs w:val="21"/>
          <w:color w:val="auto"/>
        </w:rPr>
        <w:t xml:space="preserve"> to any portfolio company of funds affiliated with Gemspring (other than, for the avoidance of doubt, any such portfolio company that is a Subsidiary of Purchaser)), and each of their respective current and former officers, directors, employees, managers, partners, members, advisors, successors, assigns, executors and heirs (collectively, the “</w:t>
      </w:r>
      <w:r>
        <w:rPr>
          <w:rFonts w:ascii="Times New Roman" w:cs="Times New Roman" w:eastAsia="Times New Roman" w:hAnsi="Times New Roman"/>
          <w:sz w:val="21"/>
          <w:szCs w:val="21"/>
          <w:u w:val="single" w:color="auto"/>
          <w:color w:val="auto"/>
        </w:rPr>
        <w:t>Releasing Parties</w:t>
      </w:r>
      <w:r>
        <w:rPr>
          <w:rFonts w:ascii="Times New Roman" w:cs="Times New Roman" w:eastAsia="Times New Roman" w:hAnsi="Times New Roman"/>
          <w:sz w:val="21"/>
          <w:szCs w:val="21"/>
          <w:color w:val="auto"/>
        </w:rPr>
        <w:t>”), hereby irrevocably, unconditionally, knowingly and voluntarily releases, acquits, forever discharges and forever waives and relinquishes the other party and its Affiliates and each of their respective current and former officers, directors, employees, managers, partners, members, advisors, successors, assigns, executors and heirs (in each case in their capacity as such) (collectively, the “</w:t>
      </w:r>
      <w:r>
        <w:rPr>
          <w:rFonts w:ascii="Times New Roman" w:cs="Times New Roman" w:eastAsia="Times New Roman" w:hAnsi="Times New Roman"/>
          <w:sz w:val="21"/>
          <w:szCs w:val="21"/>
          <w:u w:val="single" w:color="auto"/>
          <w:color w:val="auto"/>
        </w:rPr>
        <w:t>Released Parties</w:t>
      </w:r>
      <w:r>
        <w:rPr>
          <w:rFonts w:ascii="Times New Roman" w:cs="Times New Roman" w:eastAsia="Times New Roman" w:hAnsi="Times New Roman"/>
          <w:sz w:val="21"/>
          <w:szCs w:val="21"/>
          <w:color w:val="auto"/>
        </w:rPr>
        <w:t xml:space="preserve">”) of and from any and all actions, causes of action, suits, proceedings, executions, judgments or other Actions, duties, debts, dues, accounts, bonds, contracts and covenants (whether express or implied), and claims and demands, obligations, damages, liabilities, defenses, affirmative defenses, setoffs and counterclaims, of whatever kind, nature or description whatsoever, whether known or unknown, which any of the Releasing Parties has, might have or might assert now or in the future, against any Released Party, arising out of, based upon or resulting from (a) the Seller’s ownership of the Business and the Transferred Assets or responsibility for the Assumed Liabilities and (b) the operation or management of the Business and the Transferred Assets, in each case, whether known or unknown and which occurred or existed, at or prior to the Closing. Each party hereto shall, and shall cause its Affiliates (including in the case of Purchaser, a Subsidiary of Purchaser, but excluding in the case of Purchaser, any other portfolio company of funds affiliated with Gemspring;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Purchaser shall not assign any obligation, Action or claim released pursuant to this </w:t>
      </w:r>
      <w:r>
        <w:rPr>
          <w:rFonts w:ascii="Times New Roman" w:cs="Times New Roman" w:eastAsia="Times New Roman" w:hAnsi="Times New Roman"/>
          <w:sz w:val="21"/>
          <w:szCs w:val="21"/>
          <w:u w:val="single" w:color="auto"/>
          <w:color w:val="auto"/>
        </w:rPr>
        <w:t>Section 11.11</w:t>
      </w:r>
      <w:r>
        <w:rPr>
          <w:rFonts w:ascii="Times New Roman" w:cs="Times New Roman" w:eastAsia="Times New Roman" w:hAnsi="Times New Roman"/>
          <w:sz w:val="21"/>
          <w:szCs w:val="21"/>
          <w:color w:val="auto"/>
        </w:rPr>
        <w:t xml:space="preserve"> to any portfolio company of funds affiliated with Gemspring (other than, for the avoidance of doubt, any such portfolio company that is a Subsidiary of Purchaser)) and each of their respective successors and permitted assigns, to refrain from, directly or indirectly, asserting any claim or demand, or commencing, instituting or causing to be commenced any Action, of any kind against a Released Party based upon any matter released pursuant to this </w:t>
      </w:r>
      <w:r>
        <w:rPr>
          <w:rFonts w:ascii="Times New Roman" w:cs="Times New Roman" w:eastAsia="Times New Roman" w:hAnsi="Times New Roman"/>
          <w:sz w:val="21"/>
          <w:szCs w:val="21"/>
          <w:u w:val="single" w:color="auto"/>
          <w:color w:val="auto"/>
        </w:rPr>
        <w:t>Section 11.11</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- 112 -</w:t>
      </w:r>
    </w:p>
    <w:p>
      <w:pPr>
        <w:sectPr>
          <w:pgSz w:w="11900" w:h="16838" w:orient="portrait"/>
          <w:cols w:equalWidth="0" w:num="1">
            <w:col w:w="11160"/>
          </w:cols>
          <w:pgMar w:left="400" w:top="1422" w:right="339" w:bottom="1440" w:gutter="0" w:footer="0" w:header="0"/>
        </w:sectPr>
      </w:pPr>
    </w:p>
    <w:bookmarkStart w:id="181" w:name="page182"/>
    <w:bookmarkEnd w:id="181"/>
    <w:p>
      <w:pPr>
        <w:jc w:val="both"/>
        <w:ind w:left="72"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11.12 </w:t>
      </w:r>
      <w:r>
        <w:rPr>
          <w:rFonts w:ascii="Times New Roman" w:cs="Times New Roman" w:eastAsia="Times New Roman" w:hAnsi="Times New Roman"/>
          <w:sz w:val="22"/>
          <w:szCs w:val="22"/>
          <w:u w:val="single" w:color="auto"/>
          <w:color w:val="auto"/>
        </w:rPr>
        <w:t>Non-Reliance on Estimates, Projections, Forecasts, Forward-Looking Statements and Business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Plans</w:t>
      </w:r>
      <w:r>
        <w:rPr>
          <w:rFonts w:ascii="Times New Roman" w:cs="Times New Roman" w:eastAsia="Times New Roman" w:hAnsi="Times New Roman"/>
          <w:sz w:val="22"/>
          <w:szCs w:val="22"/>
          <w:color w:val="auto"/>
        </w:rPr>
        <w:t xml:space="preserve">. Purchaser acknowledges and agrees that it is an informed and sophisticated purchaser and has engaged expert Representatives who are experienced in the evaluation and purchase of businesses such as the Business (including the Transferred Assets and the Assumed Liabilities) as contemplated hereunder, and has had such access to the information, documents, personnel and properties of the Seller Group as it deems necessary and appropriate to make such independent evaluation and purchase. In connection with the due diligence investigation of the Business by or on behalf of Purchaser, Purchaser and its Representatives have received and may continue to receive from the Seller certain estimates, projections, forecasts and other forward-looking information, as well as certain business and strategic plans and other information, regarding the Business, the Transferred Assets or the Assumed Liabilities, and the operations of the Business. Purchaser hereby acknowledges that there are uncertainties inherent in attempting to make such estimates, projections, forecasts and other forward-looking statements, as well as in providing such business and strategic plans and other information, with which Purchaser is familiar, that Purchaser is taking full responsibility for making its own evaluation of the adequacy and accuracy of all estimates, projections, forecasts and other forward-looking information, as well as such business and strategic plans and other information, so furnished to them (including the reasonableness of the assumptions underlying such estimates, projections, forecasts, forward-looking information or business plans), and that Purchaser has not relied on any such information and will have no, and hereby waives any, claim against any member of the Seller Group or any of their respective Representatives, with respect thereto or, except for the representations and warranties expressly set forth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or the certificates required to be delivered by the Seller under </w:t>
      </w:r>
      <w:r>
        <w:rPr>
          <w:rFonts w:ascii="Times New Roman" w:cs="Times New Roman" w:eastAsia="Times New Roman" w:hAnsi="Times New Roman"/>
          <w:sz w:val="22"/>
          <w:szCs w:val="22"/>
          <w:u w:val="single" w:color="auto"/>
          <w:color w:val="auto"/>
        </w:rPr>
        <w:t>Section 8.02</w:t>
      </w:r>
      <w:r>
        <w:rPr>
          <w:rFonts w:ascii="Times New Roman" w:cs="Times New Roman" w:eastAsia="Times New Roman" w:hAnsi="Times New Roman"/>
          <w:sz w:val="22"/>
          <w:szCs w:val="22"/>
          <w:color w:val="auto"/>
        </w:rPr>
        <w:t>, any rights hereunder with respect thereto, or otherwise set forth in any other Transaction Document, any rights thereunder or with respect thereto, or in the case of Fraud.</w:t>
      </w:r>
    </w:p>
    <w:p>
      <w:pPr>
        <w:spacing w:after="0" w:line="197" w:lineRule="exact"/>
        <w:rPr>
          <w:sz w:val="20"/>
          <w:szCs w:val="20"/>
          <w:color w:val="auto"/>
        </w:rPr>
      </w:pPr>
    </w:p>
    <w:p>
      <w:pPr>
        <w:ind w:left="1372"/>
        <w:spacing w:after="0"/>
        <w:tabs>
          <w:tab w:leader="none" w:pos="2752" w:val="left"/>
        </w:tabs>
        <w:rPr>
          <w:sz w:val="20"/>
          <w:szCs w:val="20"/>
          <w:color w:val="auto"/>
        </w:rPr>
      </w:pPr>
      <w:r>
        <w:rPr>
          <w:rFonts w:ascii="Times New Roman" w:cs="Times New Roman" w:eastAsia="Times New Roman" w:hAnsi="Times New Roman"/>
          <w:sz w:val="22"/>
          <w:szCs w:val="22"/>
          <w:color w:val="auto"/>
        </w:rPr>
        <w:t>Section 11.13</w:t>
      </w:r>
      <w:r>
        <w:rPr>
          <w:sz w:val="20"/>
          <w:szCs w:val="20"/>
          <w:color w:val="auto"/>
        </w:rPr>
        <w:tab/>
      </w:r>
      <w:r>
        <w:rPr>
          <w:rFonts w:ascii="Times New Roman" w:cs="Times New Roman" w:eastAsia="Times New Roman" w:hAnsi="Times New Roman"/>
          <w:sz w:val="21"/>
          <w:szCs w:val="21"/>
          <w:u w:val="single" w:color="auto"/>
          <w:color w:val="auto"/>
        </w:rPr>
        <w:t>Legal Representation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8" w:firstLine="1304"/>
        <w:spacing w:after="0" w:line="257" w:lineRule="auto"/>
        <w:tabs>
          <w:tab w:leader="none" w:pos="1931" w:val="left"/>
        </w:tabs>
        <w:numPr>
          <w:ilvl w:val="2"/>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parties to this Agreement acknowledges and agrees that Squire Patton Boggs (US) LLP (“</w:t>
      </w:r>
      <w:r>
        <w:rPr>
          <w:rFonts w:ascii="Times New Roman" w:cs="Times New Roman" w:eastAsia="Times New Roman" w:hAnsi="Times New Roman"/>
          <w:sz w:val="22"/>
          <w:szCs w:val="22"/>
          <w:u w:val="single" w:color="auto"/>
          <w:color w:val="auto"/>
        </w:rPr>
        <w:t>Existing Counsel</w:t>
      </w:r>
      <w:r>
        <w:rPr>
          <w:rFonts w:ascii="Times New Roman" w:cs="Times New Roman" w:eastAsia="Times New Roman" w:hAnsi="Times New Roman"/>
          <w:sz w:val="22"/>
          <w:szCs w:val="22"/>
          <w:color w:val="auto"/>
        </w:rPr>
        <w:t>”) have acted as counsel for the Seller Group in connection with this Agreement and the Transactions (the “</w:t>
      </w:r>
      <w:r>
        <w:rPr>
          <w:rFonts w:ascii="Times New Roman" w:cs="Times New Roman" w:eastAsia="Times New Roman" w:hAnsi="Times New Roman"/>
          <w:sz w:val="22"/>
          <w:szCs w:val="22"/>
          <w:u w:val="single" w:color="auto"/>
          <w:color w:val="auto"/>
        </w:rPr>
        <w:t>Acquisition Engagement</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jc w:val="both"/>
        <w:ind w:left="-8" w:firstLine="1304"/>
        <w:spacing w:after="0" w:line="248" w:lineRule="auto"/>
        <w:tabs>
          <w:tab w:leader="none" w:pos="1796" w:val="left"/>
        </w:tabs>
        <w:numPr>
          <w:ilvl w:val="2"/>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parties to this Agreement acknowledges and agrees that all communications between a member of the Seller Group, on the one hand, and Existing Counsel or internal counsel of the Seller Group, on the other hand, in the course of the Acquisition Engagement, and any attendant attorney-client privilege, attorney work product protection, and expectation of client confidentiality applicable thereto, shall be deemed to belong solely to the Seller Group, and shall not pass to or be claimed, held, or used by Purchaser or any of its Affiliates upon or after the Closing. Accordingly, Purchaser shall not have access to any such communications, or to the files of Existing Counsel or such internal counsel relating to the Acquisition Engagement, whether or not the Closing occurs. Without limiting the generality of the foregoing, upon and after the Closing,</w:t>
      </w:r>
    </w:p>
    <w:p>
      <w:pPr>
        <w:spacing w:after="0" w:line="5" w:lineRule="exact"/>
        <w:rPr>
          <w:rFonts w:ascii="Times New Roman" w:cs="Times New Roman" w:eastAsia="Times New Roman" w:hAnsi="Times New Roman"/>
          <w:sz w:val="22"/>
          <w:szCs w:val="22"/>
          <w:color w:val="auto"/>
        </w:rPr>
      </w:pPr>
    </w:p>
    <w:p>
      <w:pPr>
        <w:jc w:val="both"/>
        <w:ind w:left="-8" w:firstLine="8"/>
        <w:spacing w:after="0" w:line="249" w:lineRule="auto"/>
        <w:tabs>
          <w:tab w:leader="none" w:pos="286"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files of Existing Counsel or such internal counsel in respect of the Acquisition Engagement constitute property of the client, only the Seller Group shall hold such property rights, and (ii) Existing Counsel shall have no duty whatsoever to reveal or disclose any such attorney-client communications or files to Purchaser or any of its Affiliates. If and to the extent that, at any time subsequent to Closing, Purchaser or any of its Affiliates shall have the right to assert or waive any attorney-client privilege with respect to any communication between a member of the Seller Group and Existing Counsel or such internal counsel that occurred at any time prior to</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0" w:lineRule="exact"/>
        <w:rPr>
          <w:rFonts w:ascii="Times New Roman" w:cs="Times New Roman" w:eastAsia="Times New Roman" w:hAnsi="Times New Roman"/>
          <w:sz w:val="22"/>
          <w:szCs w:val="22"/>
          <w:color w:val="auto"/>
        </w:rPr>
      </w:pPr>
    </w:p>
    <w:p>
      <w:pPr>
        <w:ind w:left="352" w:hanging="136"/>
        <w:spacing w:after="0"/>
        <w:tabs>
          <w:tab w:leader="none" w:pos="352" w:val="left"/>
        </w:tabs>
        <w:numPr>
          <w:ilvl w:val="1"/>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113 -</w:t>
      </w:r>
    </w:p>
    <w:p>
      <w:pPr>
        <w:sectPr>
          <w:pgSz w:w="11900" w:h="16838" w:orient="portrait"/>
          <w:cols w:equalWidth="0" w:num="1">
            <w:col w:w="11232"/>
          </w:cols>
          <w:pgMar w:left="328" w:top="1422" w:right="339" w:bottom="1440" w:gutter="0" w:footer="0" w:header="0"/>
        </w:sectPr>
      </w:pPr>
    </w:p>
    <w:bookmarkStart w:id="182" w:name="page183"/>
    <w:bookmarkEnd w:id="182"/>
    <w:p>
      <w:pPr>
        <w:spacing w:after="0" w:line="271" w:lineRule="auto"/>
        <w:rPr>
          <w:sz w:val="20"/>
          <w:szCs w:val="20"/>
          <w:color w:val="auto"/>
        </w:rPr>
      </w:pPr>
      <w:r>
        <w:rPr>
          <w:rFonts w:ascii="Times New Roman" w:cs="Times New Roman" w:eastAsia="Times New Roman" w:hAnsi="Times New Roman"/>
          <w:sz w:val="22"/>
          <w:szCs w:val="22"/>
          <w:color w:val="auto"/>
        </w:rPr>
        <w:t>the Closing, Purchaser, on behalf of itself and its Affiliates shall be entitled to waive such privilege only with the prior written consent of the Seller.</w:t>
      </w:r>
    </w:p>
    <w:p>
      <w:pPr>
        <w:spacing w:after="0" w:line="158" w:lineRule="exact"/>
        <w:rPr>
          <w:sz w:val="20"/>
          <w:szCs w:val="20"/>
          <w:color w:val="auto"/>
        </w:rPr>
      </w:pPr>
    </w:p>
    <w:p>
      <w:pPr>
        <w:jc w:val="both"/>
        <w:ind w:firstLine="1304"/>
        <w:spacing w:after="0" w:line="264" w:lineRule="auto"/>
        <w:tabs>
          <w:tab w:leader="none" w:pos="1888"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parties to this Agreement acknowledges and agrees that Existing Counsel may continue to represent any member of the Seller Group in future matters. Accordingly, Purchaser, on behalf of itself and its Affiliates expressly: (i) consents to Existing Counsel’s representation of any member of the Seller Group in any matter, including any post-Closing matter in which the interests of Purchaser or any of its Affiliates, on the one hand, and the Seller Group, on the other hand, are adverse, including any matter relating to the Transactions, and whether or not such matter is one in which Existing Counsel may have previously advised the Seller Group; and (ii) consents to the disclosure by Existing Counsel to the Seller Group of any information learned by Existing Counsel in the course of its representation of the Seller Group, whether or not such information is subject to attorney-client privilege, attorney work product protection, or Existing Counsel’s duty of confidentiality.</w:t>
      </w:r>
    </w:p>
    <w:p>
      <w:pPr>
        <w:spacing w:after="0" w:line="169" w:lineRule="exact"/>
        <w:rPr>
          <w:rFonts w:ascii="Times New Roman" w:cs="Times New Roman" w:eastAsia="Times New Roman" w:hAnsi="Times New Roman"/>
          <w:sz w:val="21"/>
          <w:szCs w:val="21"/>
          <w:color w:val="auto"/>
        </w:rPr>
      </w:pPr>
    </w:p>
    <w:p>
      <w:pPr>
        <w:jc w:val="both"/>
        <w:ind w:firstLine="1304"/>
        <w:spacing w:after="0" w:line="257" w:lineRule="auto"/>
        <w:tabs>
          <w:tab w:leader="none" w:pos="1836"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Purchaser, on behalf of itself and its Affiliates, further covenants and agrees that each shall not assert any claim, and that it hereby waives any claim, against Existing Counsel in respect of legal services provided to or on behalf of the Business or the Transferred Assets by such Existing Counsel in connection with the Acquisition Engagement.</w:t>
      </w:r>
    </w:p>
    <w:p>
      <w:pPr>
        <w:spacing w:after="0" w:line="172" w:lineRule="exact"/>
        <w:rPr>
          <w:rFonts w:ascii="Times New Roman" w:cs="Times New Roman" w:eastAsia="Times New Roman" w:hAnsi="Times New Roman"/>
          <w:sz w:val="22"/>
          <w:szCs w:val="22"/>
          <w:color w:val="auto"/>
        </w:rPr>
      </w:pPr>
    </w:p>
    <w:p>
      <w:pPr>
        <w:jc w:val="both"/>
        <w:ind w:firstLine="1304"/>
        <w:spacing w:after="0" w:line="256" w:lineRule="auto"/>
        <w:tabs>
          <w:tab w:leader="none" w:pos="1767"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Purchaser and its Affiliates that acquire the Transferred Assets shall not have any attorney-client relationship with Existing Counsel from and after the Closing, unless and to the extent Existing Counsel is specifically engaged in writing by Purchaser to represent such entity after the Closing. Any such representation by Existing Counsel after the Closing shall not affect the foregoing provisions hereof.</w:t>
      </w:r>
    </w:p>
    <w:p>
      <w:pPr>
        <w:spacing w:after="0" w:line="176"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01"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Purchaser and the Seller consent to the arrangements in this </w:t>
      </w:r>
      <w:r>
        <w:rPr>
          <w:rFonts w:ascii="Times New Roman" w:cs="Times New Roman" w:eastAsia="Times New Roman" w:hAnsi="Times New Roman"/>
          <w:sz w:val="22"/>
          <w:szCs w:val="22"/>
          <w:u w:val="single" w:color="auto"/>
          <w:color w:val="auto"/>
        </w:rPr>
        <w:t>Section 11.13</w:t>
      </w:r>
      <w:r>
        <w:rPr>
          <w:rFonts w:ascii="Times New Roman" w:cs="Times New Roman" w:eastAsia="Times New Roman" w:hAnsi="Times New Roman"/>
          <w:sz w:val="22"/>
          <w:szCs w:val="22"/>
          <w:color w:val="auto"/>
        </w:rPr>
        <w:t xml:space="preserve"> and agree to take, and to cause their respective Affiliates to take, all steps necessary to implement the intent of this </w:t>
      </w:r>
      <w:r>
        <w:rPr>
          <w:rFonts w:ascii="Times New Roman" w:cs="Times New Roman" w:eastAsia="Times New Roman" w:hAnsi="Times New Roman"/>
          <w:sz w:val="22"/>
          <w:szCs w:val="22"/>
          <w:u w:val="single" w:color="auto"/>
          <w:color w:val="auto"/>
        </w:rPr>
        <w:t>Section 11.13</w:t>
      </w:r>
      <w:r>
        <w:rPr>
          <w:rFonts w:ascii="Times New Roman" w:cs="Times New Roman" w:eastAsia="Times New Roman" w:hAnsi="Times New Roman"/>
          <w:sz w:val="22"/>
          <w:szCs w:val="22"/>
          <w:color w:val="auto"/>
        </w:rPr>
        <w:t xml:space="preserve"> and not to take or cause their respective Affiliates to take positions contrary to the intent of this </w:t>
      </w:r>
      <w:r>
        <w:rPr>
          <w:rFonts w:ascii="Times New Roman" w:cs="Times New Roman" w:eastAsia="Times New Roman" w:hAnsi="Times New Roman"/>
          <w:sz w:val="22"/>
          <w:szCs w:val="22"/>
          <w:u w:val="single" w:color="auto"/>
          <w:color w:val="auto"/>
        </w:rPr>
        <w:t>Section 11.13</w:t>
      </w:r>
      <w:r>
        <w:rPr>
          <w:rFonts w:ascii="Times New Roman" w:cs="Times New Roman" w:eastAsia="Times New Roman" w:hAnsi="Times New Roman"/>
          <w:sz w:val="22"/>
          <w:szCs w:val="22"/>
          <w:color w:val="auto"/>
        </w:rPr>
        <w:t xml:space="preserve">. Purchaser and the Seller further agree that Existing Counsel is a third-party beneficiary of this </w:t>
      </w:r>
      <w:r>
        <w:rPr>
          <w:rFonts w:ascii="Times New Roman" w:cs="Times New Roman" w:eastAsia="Times New Roman" w:hAnsi="Times New Roman"/>
          <w:sz w:val="22"/>
          <w:szCs w:val="22"/>
          <w:u w:val="single" w:color="auto"/>
          <w:color w:val="auto"/>
        </w:rPr>
        <w:t>Section 11.13</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ind w:left="1380"/>
        <w:spacing w:after="0"/>
        <w:tabs>
          <w:tab w:leader="none" w:pos="2760" w:val="left"/>
        </w:tabs>
        <w:rPr>
          <w:sz w:val="20"/>
          <w:szCs w:val="20"/>
          <w:color w:val="auto"/>
        </w:rPr>
      </w:pPr>
      <w:r>
        <w:rPr>
          <w:rFonts w:ascii="Times New Roman" w:cs="Times New Roman" w:eastAsia="Times New Roman" w:hAnsi="Times New Roman"/>
          <w:sz w:val="22"/>
          <w:szCs w:val="22"/>
          <w:color w:val="auto"/>
        </w:rPr>
        <w:t>Section 11.14</w:t>
      </w:r>
      <w:r>
        <w:rPr>
          <w:sz w:val="20"/>
          <w:szCs w:val="20"/>
          <w:color w:val="auto"/>
        </w:rPr>
        <w:tab/>
      </w:r>
      <w:r>
        <w:rPr>
          <w:rFonts w:ascii="Times New Roman" w:cs="Times New Roman" w:eastAsia="Times New Roman" w:hAnsi="Times New Roman"/>
          <w:sz w:val="21"/>
          <w:szCs w:val="21"/>
          <w:u w:val="single" w:color="auto"/>
          <w:color w:val="auto"/>
        </w:rPr>
        <w:t>Exclusivity</w:t>
      </w:r>
    </w:p>
    <w:p>
      <w:pPr>
        <w:spacing w:after="0" w:line="220" w:lineRule="exact"/>
        <w:rPr>
          <w:sz w:val="20"/>
          <w:szCs w:val="20"/>
          <w:color w:val="auto"/>
        </w:rPr>
      </w:pPr>
    </w:p>
    <w:p>
      <w:pPr>
        <w:jc w:val="both"/>
        <w:ind w:firstLine="1304"/>
        <w:spacing w:after="0" w:line="248" w:lineRule="auto"/>
        <w:tabs>
          <w:tab w:leader="none" w:pos="1830"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the date of this Agreement until the earlier of the Closing Date or termination of this Agreement in accordance with its terms, the Seller shall not, and shall cause the Seller Group, their respective Affiliates and their respective Representatives not to, directly or indirectly (i) solicit, initiate or knowingly encourage (including by way of furnishing non-public information), facilitate or participate in any inquiries or the making of any proposal that constitutes, or could reasonably be expected to lead to an Alternative Proposal, (ii) enter into, continue or otherwise participate in any discussions or negotiations regarding, or assist or participate in any effort or attempt by any Person with respect to, any Alternative Proposal. None of the Seller, any member of the Seller Group, their respective Affiliates and their respective Representatives shall release any third party from, or waive any provision of, any confidentiality agreement with respect to the Business to which it is a party and which was entered into with respect to any potential Alternative Proposal. The Seller shall, and shall cause the other members of the Seller Group and their respective Affiliates and Representatives to, with respect to third parties with whom discussions or negotiations with respect to an Alternative Proposal have been terminated on or prior to the date of this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8" w:lineRule="exact"/>
        <w:rPr>
          <w:rFonts w:ascii="Times New Roman" w:cs="Times New Roman" w:eastAsia="Times New Roman" w:hAnsi="Times New Roman"/>
          <w:sz w:val="22"/>
          <w:szCs w:val="22"/>
          <w:color w:val="auto"/>
        </w:rPr>
      </w:pPr>
    </w:p>
    <w:p>
      <w:pPr>
        <w:ind w:left="360" w:hanging="136"/>
        <w:spacing w:after="0"/>
        <w:tabs>
          <w:tab w:leader="none" w:pos="360"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114 -</w:t>
      </w:r>
    </w:p>
    <w:p>
      <w:pPr>
        <w:sectPr>
          <w:pgSz w:w="11900" w:h="16838" w:orient="portrait"/>
          <w:cols w:equalWidth="0" w:num="1">
            <w:col w:w="11240"/>
          </w:cols>
          <w:pgMar w:left="320" w:top="1422" w:right="339" w:bottom="1440" w:gutter="0" w:footer="0" w:header="0"/>
        </w:sectPr>
      </w:pPr>
    </w:p>
    <w:bookmarkStart w:id="183" w:name="page184"/>
    <w:bookmarkEnd w:id="183"/>
    <w:p>
      <w:pPr>
        <w:jc w:val="both"/>
        <w:spacing w:after="0" w:line="257" w:lineRule="auto"/>
        <w:rPr>
          <w:sz w:val="20"/>
          <w:szCs w:val="20"/>
          <w:color w:val="auto"/>
        </w:rPr>
      </w:pPr>
      <w:r>
        <w:rPr>
          <w:rFonts w:ascii="Times New Roman" w:cs="Times New Roman" w:eastAsia="Times New Roman" w:hAnsi="Times New Roman"/>
          <w:sz w:val="22"/>
          <w:szCs w:val="22"/>
          <w:color w:val="auto"/>
        </w:rPr>
        <w:t>Agreement, use its commercially reasonable best efforts to obtain the return or destruction of, in accordance with the terms of the applicable confidentiality agreement, confidential information previously furnished by the Seller or any of its Affiliates or its or their Representatives, with respect to the Business.</w:t>
      </w:r>
    </w:p>
    <w:p>
      <w:pPr>
        <w:spacing w:after="0" w:line="186" w:lineRule="exact"/>
        <w:rPr>
          <w:sz w:val="20"/>
          <w:szCs w:val="20"/>
          <w:color w:val="auto"/>
        </w:rPr>
      </w:pPr>
    </w:p>
    <w:p>
      <w:pPr>
        <w:jc w:val="both"/>
        <w:ind w:firstLine="1304"/>
        <w:spacing w:after="0" w:line="250" w:lineRule="auto"/>
        <w:tabs>
          <w:tab w:leader="none" w:pos="1801"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will promptly notify Purchaser after it or any of its Affiliates has received any proposal, inquiry, offer or request relating to or constituting, or that could reasonably be expected to lead to, an Alternative Proposal, any request for discussions or negotiations, or any request for information relating to the Business in connection with an Alternative Proposal or a potential Alternative Proposal or for access to the properties or books and records thereof in furtherance of or relating to an Alternative Proposal of which the Seller or any of its Affiliates is or becomes aware, or any amendments to the foregoing. Such notice to Purchaser shall indicate the identity of the Person making such proposal and the material terms and conditions of such proposal, if any.</w:t>
      </w:r>
    </w:p>
    <w:p>
      <w:pPr>
        <w:spacing w:after="0" w:line="180" w:lineRule="exact"/>
        <w:rPr>
          <w:sz w:val="20"/>
          <w:szCs w:val="20"/>
          <w:color w:val="auto"/>
        </w:rPr>
      </w:pPr>
    </w:p>
    <w:p>
      <w:pPr>
        <w:jc w:val="both"/>
        <w:ind w:left="80"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11.15 </w:t>
      </w:r>
      <w:r>
        <w:rPr>
          <w:rFonts w:ascii="Times New Roman" w:cs="Times New Roman" w:eastAsia="Times New Roman" w:hAnsi="Times New Roman"/>
          <w:sz w:val="22"/>
          <w:szCs w:val="22"/>
          <w:u w:val="single" w:color="auto"/>
          <w:color w:val="auto"/>
        </w:rPr>
        <w:t>Financing Sources</w:t>
      </w:r>
      <w:r>
        <w:rPr>
          <w:rFonts w:ascii="Times New Roman" w:cs="Times New Roman" w:eastAsia="Times New Roman" w:hAnsi="Times New Roman"/>
          <w:sz w:val="22"/>
          <w:szCs w:val="22"/>
          <w:color w:val="auto"/>
        </w:rPr>
        <w:t xml:space="preserve">. Notwithstanding anything herein to the contrary, no Financing Source shall have any liability of any kind or description whether in law or in equity, whether in tort, contract or otherwise, to Seller or its Affiliates based on, in respect of, or by reason of, this Agreement, the Debt Financing, the Debt Commitment Letters, the transactions contemplated hereby or thereby or the performance or services thereunder or the commitments of such Financing Source or in respect of any oral representations made or alleged to be made in connection herewith or therewith. In no event shall Seller, and Seller agrees not to and to cause each of its Affiliates not to, (i) seek to enforce this Agreement against, make any claims for breach of this Agreement against, or seek to recover monetary damages from, any Financing Source in connection with this Agreement or (ii) seek to enforce the commitments against, make any claims for breach of the commitments of such Financing Source against, or seek to recover monetary damages from, or otherwise sue, the Financing Source in connection with this Agreement, the Debt Financing, the Debt Commitment Letters or any of the transactions contemplated hereby or thereby or the performance or services thereunder or the commitments of such Financing Source or the obligations of Financing Source thereunder. Nothing in this </w:t>
      </w:r>
      <w:r>
        <w:rPr>
          <w:rFonts w:ascii="Times New Roman" w:cs="Times New Roman" w:eastAsia="Times New Roman" w:hAnsi="Times New Roman"/>
          <w:sz w:val="22"/>
          <w:szCs w:val="22"/>
          <w:u w:val="single" w:color="auto"/>
          <w:color w:val="auto"/>
        </w:rPr>
        <w:t>Section 11.15</w:t>
      </w:r>
      <w:r>
        <w:rPr>
          <w:rFonts w:ascii="Times New Roman" w:cs="Times New Roman" w:eastAsia="Times New Roman" w:hAnsi="Times New Roman"/>
          <w:sz w:val="22"/>
          <w:szCs w:val="22"/>
          <w:color w:val="auto"/>
        </w:rPr>
        <w:t xml:space="preserve"> shall affect the rights of Purchaser, or the obligations of any Financing Source, under the Debt Commitment Letters and the Definitive Agreements.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left blank</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- 115 -</w:t>
      </w:r>
    </w:p>
    <w:p>
      <w:pPr>
        <w:sectPr>
          <w:pgSz w:w="11900" w:h="16838" w:orient="portrait"/>
          <w:cols w:equalWidth="0" w:num="1">
            <w:col w:w="11240"/>
          </w:cols>
          <w:pgMar w:left="320" w:top="1422" w:right="339" w:bottom="1440" w:gutter="0" w:footer="0" w:header="0"/>
        </w:sectPr>
      </w:pPr>
    </w:p>
    <w:bookmarkStart w:id="184" w:name="page185"/>
    <w:bookmarkEnd w:id="184"/>
    <w:p>
      <w:pPr>
        <w:ind w:firstLine="1296"/>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duly executed and delivered as of the date first above written.</w:t>
      </w:r>
    </w:p>
    <w:p>
      <w:pPr>
        <w:spacing w:after="0" w:line="39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PURCHASER</w:t>
      </w:r>
    </w:p>
    <w:p>
      <w:pPr>
        <w:spacing w:after="0" w:line="27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G-3 CHICKADEE PURCHASER, LLC</w:t>
      </w:r>
    </w:p>
    <w:p>
      <w:pPr>
        <w:spacing w:after="0" w:line="200" w:lineRule="exact"/>
        <w:rPr>
          <w:sz w:val="20"/>
          <w:szCs w:val="20"/>
          <w:color w:val="auto"/>
        </w:rPr>
      </w:pPr>
    </w:p>
    <w:p>
      <w:pPr>
        <w:spacing w:after="0" w:line="317" w:lineRule="exact"/>
        <w:rPr>
          <w:sz w:val="20"/>
          <w:szCs w:val="20"/>
          <w:color w:val="auto"/>
        </w:rPr>
      </w:pPr>
    </w:p>
    <w:p>
      <w:pPr>
        <w:ind w:left="3900"/>
        <w:spacing w:after="0"/>
        <w:tabs>
          <w:tab w:leader="none" w:pos="4460" w:val="left"/>
        </w:tabs>
        <w:rPr>
          <w:sz w:val="20"/>
          <w:szCs w:val="20"/>
          <w:color w:val="auto"/>
        </w:rPr>
      </w:pPr>
      <w:r>
        <w:rPr>
          <w:rFonts w:ascii="Times New Roman" w:cs="Times New Roman" w:eastAsia="Times New Roman" w:hAnsi="Times New Roman"/>
          <w:sz w:val="22"/>
          <w:szCs w:val="22"/>
          <w:color w:val="auto"/>
        </w:rPr>
        <w:t>By:</w:t>
        <w:tab/>
        <w:t>/s/ Matthew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-13970</wp:posOffset>
            </wp:positionV>
            <wp:extent cx="126111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5">
                      <a:extLst>
                        <a:ext uri="{28A0092B-C50C-407E-A947-70E740481C1C}"/>
                      </a:extLst>
                    </a:blip>
                    <a:srcRect/>
                    <a:stretch>
                      <a:fillRect/>
                    </a:stretch>
                  </pic:blipFill>
                  <pic:spPr bwMode="auto">
                    <a:xfrm>
                      <a:off x="0" y="0"/>
                      <a:ext cx="1261110"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Matthew Wallace</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SELLER</w:t>
      </w:r>
    </w:p>
    <w:p>
      <w:pPr>
        <w:spacing w:after="0" w:line="23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THE GOODYEAR TIRE &amp; RUBBER COMPANY</w:t>
      </w:r>
    </w:p>
    <w:p>
      <w:pPr>
        <w:spacing w:after="0" w:line="2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Christina L. Zamarro</w:t>
      </w:r>
      <w:r>
        <w:rPr>
          <w:rFonts w:ascii="Times New Roman" w:cs="Times New Roman" w:eastAsia="Times New Roman" w:hAnsi="Times New Roman"/>
          <w:sz w:val="22"/>
          <w:szCs w:val="22"/>
          <w:color w:val="auto"/>
        </w:rPr>
        <w:t xml:space="preserve"> _________________</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Christina L. Zamarro</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Asset Purchase Agreement</w:t>
      </w:r>
      <w:r>
        <w:rPr>
          <w:rFonts w:ascii="Times New Roman" w:cs="Times New Roman" w:eastAsia="Times New Roman" w:hAnsi="Times New Roman"/>
          <w:sz w:val="16"/>
          <w:szCs w:val="16"/>
          <w:color w:val="auto"/>
        </w:rPr>
        <w:t>]</w:t>
      </w:r>
    </w:p>
    <w:p>
      <w:pPr>
        <w:sectPr>
          <w:pgSz w:w="11900" w:h="16838" w:orient="portrait"/>
          <w:cols w:equalWidth="0" w:num="1">
            <w:col w:w="11120"/>
          </w:cols>
          <w:pgMar w:left="320" w:top="1422" w:right="45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18"/>
          <w:szCs w:val="18"/>
          <w:b w:val="1"/>
          <w:bCs w:val="1"/>
          <w:color w:val="auto"/>
        </w:rPr>
        <w:t>EXHIBIT 2.2</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AMENDMENT 1 TO ASSET PURCHASE AGREEMENT</w:t>
      </w:r>
    </w:p>
    <w:p>
      <w:pPr>
        <w:spacing w:after="0" w:line="220" w:lineRule="exact"/>
        <w:rPr>
          <w:sz w:val="20"/>
          <w:szCs w:val="20"/>
          <w:color w:val="auto"/>
        </w:rPr>
      </w:pPr>
    </w:p>
    <w:p>
      <w:pPr>
        <w:jc w:val="both"/>
        <w:ind w:firstLine="637"/>
        <w:spacing w:after="0" w:line="257" w:lineRule="auto"/>
        <w:rPr>
          <w:sz w:val="20"/>
          <w:szCs w:val="20"/>
          <w:color w:val="auto"/>
        </w:rPr>
      </w:pPr>
      <w:r>
        <w:rPr>
          <w:rFonts w:ascii="Times New Roman" w:cs="Times New Roman" w:eastAsia="Times New Roman" w:hAnsi="Times New Roman"/>
          <w:sz w:val="20"/>
          <w:szCs w:val="20"/>
          <w:color w:val="auto"/>
        </w:rPr>
        <w:t>This AMENDMENT 1 TO ASSET PURCHASE AGREEMENT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dated as of August 4, 2025, is entered into by and between The Goodyear Tire &amp; Rubber Company, an Ohio corporation (“</w:t>
      </w:r>
      <w:r>
        <w:rPr>
          <w:rFonts w:ascii="Times New Roman" w:cs="Times New Roman" w:eastAsia="Times New Roman" w:hAnsi="Times New Roman"/>
          <w:sz w:val="20"/>
          <w:szCs w:val="20"/>
          <w:u w:val="single" w:color="auto"/>
          <w:color w:val="auto"/>
        </w:rPr>
        <w:t>Seller</w:t>
      </w:r>
      <w:r>
        <w:rPr>
          <w:rFonts w:ascii="Times New Roman" w:cs="Times New Roman" w:eastAsia="Times New Roman" w:hAnsi="Times New Roman"/>
          <w:sz w:val="20"/>
          <w:szCs w:val="20"/>
          <w:color w:val="auto"/>
        </w:rPr>
        <w:t>”), and G-3 Chickadee Purchaser, LLC, a Delaware limited liability company (“</w:t>
      </w:r>
      <w:r>
        <w:rPr>
          <w:rFonts w:ascii="Times New Roman" w:cs="Times New Roman" w:eastAsia="Times New Roman" w:hAnsi="Times New Roman"/>
          <w:sz w:val="20"/>
          <w:szCs w:val="20"/>
          <w:u w:val="single" w:color="auto"/>
          <w:color w:val="auto"/>
        </w:rPr>
        <w:t>Buyer</w:t>
      </w:r>
      <w:r>
        <w:rPr>
          <w:rFonts w:ascii="Times New Roman" w:cs="Times New Roman" w:eastAsia="Times New Roman" w:hAnsi="Times New Roman"/>
          <w:sz w:val="20"/>
          <w:szCs w:val="20"/>
          <w:color w:val="auto"/>
        </w:rPr>
        <w:t>”). Each of Buyer and Seller are sometimes referred to herein individually as a “</w:t>
      </w:r>
      <w:r>
        <w:rPr>
          <w:rFonts w:ascii="Times New Roman" w:cs="Times New Roman" w:eastAsia="Times New Roman" w:hAnsi="Times New Roman"/>
          <w:sz w:val="20"/>
          <w:szCs w:val="20"/>
          <w:u w:val="single" w:color="auto"/>
          <w:color w:val="auto"/>
        </w:rPr>
        <w:t>Party</w:t>
      </w:r>
      <w:r>
        <w:rPr>
          <w:rFonts w:ascii="Times New Roman" w:cs="Times New Roman" w:eastAsia="Times New Roman" w:hAnsi="Times New Roman"/>
          <w:sz w:val="20"/>
          <w:szCs w:val="20"/>
          <w:color w:val="auto"/>
        </w:rPr>
        <w:t>” and, collectively, as the “</w:t>
      </w:r>
      <w:r>
        <w:rPr>
          <w:rFonts w:ascii="Times New Roman" w:cs="Times New Roman" w:eastAsia="Times New Roman" w:hAnsi="Times New Roman"/>
          <w:sz w:val="20"/>
          <w:szCs w:val="20"/>
          <w:u w:val="single" w:color="auto"/>
          <w:color w:val="auto"/>
        </w:rPr>
        <w:t>Parties</w:t>
      </w:r>
      <w:r>
        <w:rPr>
          <w:rFonts w:ascii="Times New Roman" w:cs="Times New Roman" w:eastAsia="Times New Roman" w:hAnsi="Times New Roman"/>
          <w:sz w:val="20"/>
          <w:szCs w:val="20"/>
          <w:color w:val="auto"/>
        </w:rPr>
        <w:t>”. Capitalized terms used but not otherwise defined herein have the meanings ascribed to such terms in the Purchase Agreement (as defined below).</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33" w:lineRule="exact"/>
        <w:rPr>
          <w:sz w:val="20"/>
          <w:szCs w:val="20"/>
          <w:color w:val="auto"/>
        </w:rPr>
      </w:pPr>
    </w:p>
    <w:p>
      <w:pPr>
        <w:jc w:val="both"/>
        <w:ind w:firstLine="637"/>
        <w:spacing w:after="0" w:line="253" w:lineRule="auto"/>
        <w:rPr>
          <w:sz w:val="20"/>
          <w:szCs w:val="20"/>
          <w:color w:val="auto"/>
        </w:rPr>
      </w:pPr>
      <w:r>
        <w:rPr>
          <w:rFonts w:ascii="Times New Roman" w:cs="Times New Roman" w:eastAsia="Times New Roman" w:hAnsi="Times New Roman"/>
          <w:sz w:val="20"/>
          <w:szCs w:val="20"/>
          <w:color w:val="auto"/>
        </w:rPr>
        <w:t>WHEREAS, on May 22, 2025, Buyer and Seller entered into that certain Asset Purchase Agreement (as amended, restated, supplemented or otherwise modified from time to time in accordance with its terms, the “</w:t>
      </w:r>
      <w:r>
        <w:rPr>
          <w:rFonts w:ascii="Times New Roman" w:cs="Times New Roman" w:eastAsia="Times New Roman" w:hAnsi="Times New Roman"/>
          <w:sz w:val="20"/>
          <w:szCs w:val="20"/>
          <w:u w:val="single" w:color="auto"/>
          <w:color w:val="auto"/>
        </w:rPr>
        <w:t>Purchase Agreement</w:t>
      </w:r>
      <w:r>
        <w:rPr>
          <w:rFonts w:ascii="Times New Roman" w:cs="Times New Roman" w:eastAsia="Times New Roman" w:hAnsi="Times New Roman"/>
          <w:sz w:val="20"/>
          <w:szCs w:val="20"/>
          <w:color w:val="auto"/>
        </w:rPr>
        <w:t>”), pursuant to which, among other things, (a) Seller will sell, transfer and assign to Buyer, and Buyer will purchase and acquire from Seller, all of the Seller’s right, title, and interest in, to and under the Transferred Assets and (b) Buyer will assume from the Seller all Assumed Liabilities, in each case, on the terms set forth in the Purchase Agreement;</w:t>
      </w:r>
    </w:p>
    <w:p>
      <w:pPr>
        <w:spacing w:after="0" w:line="57" w:lineRule="exact"/>
        <w:rPr>
          <w:sz w:val="20"/>
          <w:szCs w:val="20"/>
          <w:color w:val="auto"/>
        </w:rPr>
      </w:pPr>
    </w:p>
    <w:p>
      <w:pPr>
        <w:jc w:val="both"/>
        <w:ind w:firstLine="637"/>
        <w:spacing w:after="0" w:line="283" w:lineRule="auto"/>
        <w:rPr>
          <w:sz w:val="20"/>
          <w:szCs w:val="20"/>
          <w:color w:val="auto"/>
        </w:rPr>
      </w:pPr>
      <w:r>
        <w:rPr>
          <w:rFonts w:ascii="Times New Roman" w:cs="Times New Roman" w:eastAsia="Times New Roman" w:hAnsi="Times New Roman"/>
          <w:sz w:val="20"/>
          <w:szCs w:val="20"/>
          <w:color w:val="auto"/>
        </w:rPr>
        <w:t xml:space="preserve">WHEREAS, pursuant to </w:t>
      </w:r>
      <w:r>
        <w:rPr>
          <w:rFonts w:ascii="Times New Roman" w:cs="Times New Roman" w:eastAsia="Times New Roman" w:hAnsi="Times New Roman"/>
          <w:sz w:val="20"/>
          <w:szCs w:val="20"/>
          <w:u w:val="single" w:color="auto"/>
          <w:color w:val="auto"/>
        </w:rPr>
        <w:t>Section 11.02</w:t>
      </w:r>
      <w:r>
        <w:rPr>
          <w:rFonts w:ascii="Times New Roman" w:cs="Times New Roman" w:eastAsia="Times New Roman" w:hAnsi="Times New Roman"/>
          <w:sz w:val="20"/>
          <w:szCs w:val="20"/>
          <w:color w:val="auto"/>
        </w:rPr>
        <w:t xml:space="preserve"> of the Purchase Agreement, the Purchase Agreement may be amended by a written agreement executed and delivered by each Party; and</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WHEREAS, the Parties desire to amend the Purchase Agreement as set forth in this Amendment.</w:t>
      </w:r>
    </w:p>
    <w:p>
      <w:pPr>
        <w:spacing w:after="0" w:line="108" w:lineRule="exact"/>
        <w:rPr>
          <w:sz w:val="20"/>
          <w:szCs w:val="20"/>
          <w:color w:val="auto"/>
        </w:rPr>
      </w:pPr>
    </w:p>
    <w:p>
      <w:pPr>
        <w:jc w:val="both"/>
        <w:ind w:right="20" w:firstLine="637"/>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premises and the mutual promises contained herein and for other good and valuable consideration, the receipt and sufficiency of which are hereby acknowledged, the Parties hereby agree as follows: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AGREEMENTS</w:t>
      </w:r>
    </w:p>
    <w:p>
      <w:pPr>
        <w:spacing w:after="0" w:line="108" w:lineRule="exact"/>
        <w:rPr>
          <w:sz w:val="20"/>
          <w:szCs w:val="20"/>
          <w:color w:val="auto"/>
        </w:rPr>
      </w:pPr>
    </w:p>
    <w:p>
      <w:pPr>
        <w:ind w:left="1300" w:hanging="644"/>
        <w:spacing w:after="0"/>
        <w:tabs>
          <w:tab w:leader="none" w:pos="1300"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Amendments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ind w:left="1280" w:right="3220" w:hanging="300"/>
        <w:spacing w:after="0" w:line="450" w:lineRule="auto"/>
        <w:tabs>
          <w:tab w:leader="none" w:pos="1298" w:val="left"/>
        </w:tabs>
        <w:numPr>
          <w:ilvl w:val="1"/>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7.23</w:t>
      </w:r>
      <w:r>
        <w:rPr>
          <w:rFonts w:ascii="Times New Roman" w:cs="Times New Roman" w:eastAsia="Times New Roman" w:hAnsi="Times New Roman"/>
          <w:sz w:val="20"/>
          <w:szCs w:val="20"/>
          <w:color w:val="auto"/>
        </w:rPr>
        <w:t xml:space="preserve"> of the Purchase Agreement is hereby amended in its entirety as follows: “Section 7.23 </w:t>
      </w:r>
      <w:r>
        <w:rPr>
          <w:rFonts w:ascii="Times New Roman" w:cs="Times New Roman" w:eastAsia="Times New Roman" w:hAnsi="Times New Roman"/>
          <w:sz w:val="20"/>
          <w:szCs w:val="20"/>
          <w:u w:val="single" w:color="auto"/>
          <w:color w:val="auto"/>
        </w:rPr>
        <w:t>Supply Agreement Pricing</w:t>
      </w:r>
      <w:r>
        <w:rPr>
          <w:rFonts w:ascii="Times New Roman" w:cs="Times New Roman" w:eastAsia="Times New Roman" w:hAnsi="Times New Roman"/>
          <w:sz w:val="20"/>
          <w:szCs w:val="20"/>
          <w:color w:val="auto"/>
        </w:rPr>
        <w:t>.</w:t>
      </w:r>
    </w:p>
    <w:p>
      <w:pPr>
        <w:spacing w:after="0" w:line="1" w:lineRule="exact"/>
        <w:rPr>
          <w:rFonts w:ascii="Times New Roman" w:cs="Times New Roman" w:eastAsia="Times New Roman" w:hAnsi="Times New Roman"/>
          <w:sz w:val="20"/>
          <w:szCs w:val="20"/>
          <w:color w:val="auto"/>
        </w:rPr>
      </w:pPr>
    </w:p>
    <w:p>
      <w:pPr>
        <w:ind w:left="660" w:right="360" w:firstLine="622"/>
        <w:spacing w:after="0" w:line="283" w:lineRule="auto"/>
        <w:tabs>
          <w:tab w:leader="none" w:pos="1555" w:val="left"/>
        </w:tabs>
        <w:numPr>
          <w:ilvl w:val="2"/>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Capitalized terms used in this </w:t>
      </w:r>
      <w:r>
        <w:rPr>
          <w:rFonts w:ascii="Times New Roman" w:cs="Times New Roman" w:eastAsia="Times New Roman" w:hAnsi="Times New Roman"/>
          <w:sz w:val="20"/>
          <w:szCs w:val="20"/>
          <w:u w:val="single" w:color="auto"/>
          <w:color w:val="auto"/>
        </w:rPr>
        <w:t>Section 7.23</w:t>
      </w:r>
      <w:r>
        <w:rPr>
          <w:rFonts w:ascii="Times New Roman" w:cs="Times New Roman" w:eastAsia="Times New Roman" w:hAnsi="Times New Roman"/>
          <w:sz w:val="20"/>
          <w:szCs w:val="20"/>
          <w:color w:val="auto"/>
        </w:rPr>
        <w:t>, but not defined in this Agreement, shall have the meanings set forth in the Supply Agreement.</w:t>
      </w:r>
    </w:p>
    <w:p>
      <w:pPr>
        <w:spacing w:after="0" w:line="92" w:lineRule="exact"/>
        <w:rPr>
          <w:rFonts w:ascii="Times New Roman" w:cs="Times New Roman" w:eastAsia="Times New Roman" w:hAnsi="Times New Roman"/>
          <w:sz w:val="20"/>
          <w:szCs w:val="20"/>
          <w:color w:val="auto"/>
        </w:rPr>
      </w:pPr>
    </w:p>
    <w:p>
      <w:pPr>
        <w:jc w:val="both"/>
        <w:ind w:left="660" w:firstLine="622"/>
        <w:spacing w:after="0" w:line="260" w:lineRule="auto"/>
        <w:tabs>
          <w:tab w:leader="none" w:pos="1584" w:val="left"/>
        </w:tabs>
        <w:numPr>
          <w:ilvl w:val="2"/>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terms of this </w:t>
      </w:r>
      <w:r>
        <w:rPr>
          <w:rFonts w:ascii="Times New Roman" w:cs="Times New Roman" w:eastAsia="Times New Roman" w:hAnsi="Times New Roman"/>
          <w:sz w:val="20"/>
          <w:szCs w:val="20"/>
          <w:u w:val="single" w:color="auto"/>
          <w:color w:val="auto"/>
        </w:rPr>
        <w:t>Section 7.23</w:t>
      </w:r>
      <w:r>
        <w:rPr>
          <w:rFonts w:ascii="Times New Roman" w:cs="Times New Roman" w:eastAsia="Times New Roman" w:hAnsi="Times New Roman"/>
          <w:sz w:val="20"/>
          <w:szCs w:val="20"/>
          <w:color w:val="auto"/>
        </w:rPr>
        <w:t xml:space="preserve">, during the period from the date of this Agreement until the Closing Date (or such earlier date on which this Agreement is terminated pursuant to </w:t>
      </w:r>
      <w:r>
        <w:rPr>
          <w:rFonts w:ascii="Times New Roman" w:cs="Times New Roman" w:eastAsia="Times New Roman" w:hAnsi="Times New Roman"/>
          <w:sz w:val="20"/>
          <w:szCs w:val="20"/>
          <w:u w:val="single" w:color="auto"/>
          <w:color w:val="auto"/>
        </w:rPr>
        <w:t>Section 9.01</w:t>
      </w:r>
      <w:r>
        <w:rPr>
          <w:rFonts w:ascii="Times New Roman" w:cs="Times New Roman" w:eastAsia="Times New Roman" w:hAnsi="Times New Roman"/>
          <w:sz w:val="20"/>
          <w:szCs w:val="20"/>
          <w:color w:val="auto"/>
        </w:rPr>
        <w:t>), Purchaser and the Seller shall use their respective reasonable best efforts (unless, with respect to any action, another standard of performance is expressly provided for herein) to promptly take, or cause to be taken, all actions, and do, or cause to be done, and assist and cooperate, or cause to assist and cooperate, with the other parties and their respective Representatives in doing, all things necessary, proper or advisable to calculate the Product Price for each Product as of the Effective Date of the Supply Agreement and in accordance with the Supply Agreement. No later than seven (7) days following the date of this Agreement, Seller shall deliver to Purchaser a schedule of the initial Product Price by Product (the “</w:t>
      </w:r>
      <w:r>
        <w:rPr>
          <w:rFonts w:ascii="Times New Roman" w:cs="Times New Roman" w:eastAsia="Times New Roman" w:hAnsi="Times New Roman"/>
          <w:sz w:val="20"/>
          <w:szCs w:val="20"/>
          <w:u w:val="single" w:color="auto"/>
          <w:color w:val="auto"/>
        </w:rPr>
        <w:t>Price Schedule</w:t>
      </w:r>
      <w:r>
        <w:rPr>
          <w:rFonts w:ascii="Times New Roman" w:cs="Times New Roman" w:eastAsia="Times New Roman" w:hAnsi="Times New Roman"/>
          <w:sz w:val="20"/>
          <w:szCs w:val="20"/>
          <w:color w:val="auto"/>
        </w:rPr>
        <w:t>”) based on the true and accurate Fixed Costs and Variable Costs for production per pound of such Product at the relevant Initial Facility at which such Product is manufactured attributable to the volume of such products manufactured by Goodyear during the prior month or the last month such Product was manufactured, as applicable, and provide reasonable supporting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7" w:right="339" w:bottom="1440" w:gutter="0" w:footer="0" w:header="0"/>
        </w:sectPr>
      </w:pPr>
    </w:p>
    <w:bookmarkStart w:id="186" w:name="page187"/>
    <w:bookmarkEnd w:id="186"/>
    <w:p>
      <w:pPr>
        <w:jc w:val="both"/>
        <w:ind w:left="4"/>
        <w:spacing w:after="0" w:line="264" w:lineRule="auto"/>
        <w:rPr>
          <w:sz w:val="20"/>
          <w:szCs w:val="20"/>
          <w:color w:val="auto"/>
        </w:rPr>
      </w:pPr>
      <w:r>
        <w:rPr>
          <w:rFonts w:ascii="Times New Roman" w:cs="Times New Roman" w:eastAsia="Times New Roman" w:hAnsi="Times New Roman"/>
          <w:sz w:val="20"/>
          <w:szCs w:val="20"/>
          <w:color w:val="auto"/>
        </w:rPr>
        <w:t xml:space="preserve">(including underlying data listed on </w:t>
      </w:r>
      <w:r>
        <w:rPr>
          <w:rFonts w:ascii="Times New Roman" w:cs="Times New Roman" w:eastAsia="Times New Roman" w:hAnsi="Times New Roman"/>
          <w:sz w:val="20"/>
          <w:szCs w:val="20"/>
          <w:u w:val="single" w:color="auto"/>
          <w:color w:val="auto"/>
        </w:rPr>
        <w:t>Annex 7.23(b)</w:t>
      </w:r>
      <w:r>
        <w:rPr>
          <w:rFonts w:ascii="Times New Roman" w:cs="Times New Roman" w:eastAsia="Times New Roman" w:hAnsi="Times New Roman"/>
          <w:sz w:val="20"/>
          <w:szCs w:val="20"/>
          <w:color w:val="auto"/>
        </w:rPr>
        <w:t>) on its calculation of each Product Price (together with the Price Schedule, the “</w:t>
      </w:r>
      <w:r>
        <w:rPr>
          <w:rFonts w:ascii="Times New Roman" w:cs="Times New Roman" w:eastAsia="Times New Roman" w:hAnsi="Times New Roman"/>
          <w:sz w:val="20"/>
          <w:szCs w:val="20"/>
          <w:u w:val="single" w:color="auto"/>
          <w:color w:val="auto"/>
        </w:rPr>
        <w:t>Pro Forma Price Calculation</w:t>
      </w:r>
      <w:r>
        <w:rPr>
          <w:rFonts w:ascii="Times New Roman" w:cs="Times New Roman" w:eastAsia="Times New Roman" w:hAnsi="Times New Roman"/>
          <w:sz w:val="20"/>
          <w:szCs w:val="20"/>
          <w:color w:val="auto"/>
        </w:rPr>
        <w:t>”). During the eighty (80) day period following delivery of the Pro Forma Price Calculation, upon Purchaser’s written request (email sufficient), Seller shall hold a workshop or workshops (in such number as Purchaser may reasonably request and at a mutually acceptable place and time) with Purchaser and its Representatives to discuss in good faith the Pro Forma Price Calculation, including the calculation of the amounts set forth on the Price Schedule.</w:t>
      </w:r>
    </w:p>
    <w:p>
      <w:pPr>
        <w:spacing w:after="0" w:line="112" w:lineRule="exact"/>
        <w:rPr>
          <w:sz w:val="20"/>
          <w:szCs w:val="20"/>
          <w:color w:val="auto"/>
        </w:rPr>
      </w:pPr>
    </w:p>
    <w:p>
      <w:pPr>
        <w:jc w:val="both"/>
        <w:ind w:left="4" w:firstLine="622"/>
        <w:spacing w:after="0" w:line="260" w:lineRule="auto"/>
        <w:tabs>
          <w:tab w:leader="none" w:pos="924" w:val="left"/>
        </w:tabs>
        <w:numPr>
          <w:ilvl w:val="1"/>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 period from the date of delivery of the Pro Forma Price Calculation through such date that is fifteen (15) days following the conclusion of such eighty (80) day period (the period from the date of delivery of the Pro Forma Price Calculation through the expiration of such fifteen (15)-day period, the “</w:t>
      </w:r>
      <w:r>
        <w:rPr>
          <w:rFonts w:ascii="Times New Roman" w:cs="Times New Roman" w:eastAsia="Times New Roman" w:hAnsi="Times New Roman"/>
          <w:sz w:val="20"/>
          <w:szCs w:val="20"/>
          <w:u w:val="single" w:color="auto"/>
          <w:color w:val="auto"/>
        </w:rPr>
        <w:t>Review Period</w:t>
      </w:r>
      <w:r>
        <w:rPr>
          <w:rFonts w:ascii="Times New Roman" w:cs="Times New Roman" w:eastAsia="Times New Roman" w:hAnsi="Times New Roman"/>
          <w:sz w:val="20"/>
          <w:szCs w:val="20"/>
          <w:color w:val="auto"/>
        </w:rPr>
        <w:t xml:space="preserve">”), Purchaser shall have the right to identify any instances in which Purchaser believes the Pro Forma Price Calculation is inconsistent with (i) the Supply Agreement, including: (x) how any proposed costs used to develop the Pro Forma Price Calculation are allocated as either Fixed Cost or Variable Cost; (y) the classification (or misclassification) of costs by category or type; or (z) the allocation of Variable Costs by volume to Products and related allocation of variances between standard and actual costs, or (ii) </w:t>
      </w:r>
      <w:r>
        <w:rPr>
          <w:rFonts w:ascii="Times New Roman" w:cs="Times New Roman" w:eastAsia="Times New Roman" w:hAnsi="Times New Roman"/>
          <w:sz w:val="20"/>
          <w:szCs w:val="20"/>
          <w:u w:val="single" w:color="auto"/>
          <w:color w:val="auto"/>
        </w:rPr>
        <w:t>Section 7.23(b)</w:t>
      </w:r>
      <w:r>
        <w:rPr>
          <w:rFonts w:ascii="Times New Roman" w:cs="Times New Roman" w:eastAsia="Times New Roman" w:hAnsi="Times New Roman"/>
          <w:sz w:val="20"/>
          <w:szCs w:val="20"/>
          <w:color w:val="auto"/>
        </w:rPr>
        <w:t>. During the Review Period, Seller shall, and shall cause its Affiliates and its and their respective Representatives to, promptly provide assistance to Purchaser and its Representatives reasonably necessary for Purchaser and its Representatives to review and otherwise evaluate the sufficiency, accuracy and completeness of the proposed Pro Forma Price Calculation and Seller’s development of the same, including, by way of illustration, by promptly providing and causing its Affiliates and its and their respective Representatives to promptly provide Purchaser and its Representative with access to (i) supporting information and documentation and (ii) relevant internal and external Representatives of Seller and its Affiliates, in each case, upon Purchaser’s written request (email sufficient).</w:t>
      </w:r>
    </w:p>
    <w:p>
      <w:pPr>
        <w:spacing w:after="0" w:line="122" w:lineRule="exact"/>
        <w:rPr>
          <w:rFonts w:ascii="Times New Roman" w:cs="Times New Roman" w:eastAsia="Times New Roman" w:hAnsi="Times New Roman"/>
          <w:sz w:val="20"/>
          <w:szCs w:val="20"/>
          <w:color w:val="auto"/>
        </w:rPr>
      </w:pPr>
    </w:p>
    <w:p>
      <w:pPr>
        <w:jc w:val="both"/>
        <w:ind w:left="4" w:firstLine="622"/>
        <w:spacing w:after="0" w:line="261" w:lineRule="auto"/>
        <w:tabs>
          <w:tab w:leader="none" w:pos="934" w:val="left"/>
        </w:tabs>
        <w:numPr>
          <w:ilvl w:val="1"/>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Seller’s Pro Forma Price Calculation shall become final and binding upon the expiration of the Review Period unless Purchaser delivers to Seller prior to the expiration of the Review Period written notice of disagreement (along with reasonable supporting information) (a “</w:t>
      </w:r>
      <w:r>
        <w:rPr>
          <w:rFonts w:ascii="Times New Roman" w:cs="Times New Roman" w:eastAsia="Times New Roman" w:hAnsi="Times New Roman"/>
          <w:sz w:val="20"/>
          <w:szCs w:val="20"/>
          <w:u w:val="single" w:color="auto"/>
          <w:color w:val="auto"/>
        </w:rPr>
        <w:t>Supply Notice of Disagreement</w:t>
      </w:r>
      <w:r>
        <w:rPr>
          <w:rFonts w:ascii="Times New Roman" w:cs="Times New Roman" w:eastAsia="Times New Roman" w:hAnsi="Times New Roman"/>
          <w:sz w:val="20"/>
          <w:szCs w:val="20"/>
          <w:color w:val="auto"/>
        </w:rPr>
        <w:t xml:space="preserve">”) with respect to the Pro Forma Price Calculation and its specific objections thereto. If a timely Supply Notice of Disagreement is delivered to Seller, then the Pro Forma Price Calculation (as revised in accordance with this sentence) shall become final and binding on the earlier of (i) the date on which Purchaser and Seller resolve in writing any differences they have with respect to the matters specified in the Supply Notice of Disagreement and (ii) the date on which all such disputed matters are finally resolved in writing by the Independent Consultant pursuant to the procedures set forth in </w:t>
      </w:r>
      <w:r>
        <w:rPr>
          <w:rFonts w:ascii="Times New Roman" w:cs="Times New Roman" w:eastAsia="Times New Roman" w:hAnsi="Times New Roman"/>
          <w:sz w:val="20"/>
          <w:szCs w:val="20"/>
          <w:u w:val="single" w:color="auto"/>
          <w:color w:val="auto"/>
        </w:rPr>
        <w:t>Section 7.23(e)</w:t>
      </w:r>
      <w:r>
        <w:rPr>
          <w:rFonts w:ascii="Times New Roman" w:cs="Times New Roman" w:eastAsia="Times New Roman" w:hAnsi="Times New Roman"/>
          <w:sz w:val="20"/>
          <w:szCs w:val="20"/>
          <w:color w:val="auto"/>
        </w:rPr>
        <w:t xml:space="preserve"> below. The Pro Forma Price Calculation as finally determined pursuant to this </w:t>
      </w:r>
      <w:r>
        <w:rPr>
          <w:rFonts w:ascii="Times New Roman" w:cs="Times New Roman" w:eastAsia="Times New Roman" w:hAnsi="Times New Roman"/>
          <w:sz w:val="20"/>
          <w:szCs w:val="20"/>
          <w:u w:val="single" w:color="auto"/>
          <w:color w:val="auto"/>
        </w:rPr>
        <w:t>Section 7.23</w:t>
      </w:r>
      <w:r>
        <w:rPr>
          <w:rFonts w:ascii="Times New Roman" w:cs="Times New Roman" w:eastAsia="Times New Roman" w:hAnsi="Times New Roman"/>
          <w:sz w:val="20"/>
          <w:szCs w:val="20"/>
          <w:color w:val="auto"/>
        </w:rPr>
        <w:t xml:space="preserve"> is hereinafter referred to as the “</w:t>
      </w:r>
      <w:r>
        <w:rPr>
          <w:rFonts w:ascii="Times New Roman" w:cs="Times New Roman" w:eastAsia="Times New Roman" w:hAnsi="Times New Roman"/>
          <w:sz w:val="20"/>
          <w:szCs w:val="20"/>
          <w:u w:val="single" w:color="auto"/>
          <w:color w:val="auto"/>
        </w:rPr>
        <w:t>Final Pro Forma Price Calculation</w:t>
      </w:r>
      <w:r>
        <w:rPr>
          <w:rFonts w:ascii="Times New Roman" w:cs="Times New Roman" w:eastAsia="Times New Roman" w:hAnsi="Times New Roman"/>
          <w:sz w:val="20"/>
          <w:szCs w:val="20"/>
          <w:color w:val="auto"/>
        </w:rPr>
        <w:t>”. During the fourteen (14) day period following the delivery of a Supply Notice of Disagreement, Purchaser and Seller shall work in good faith to resolve in writing any differences that they may have with respect to the matters specified in the Supply Notice of Disagreement, with all such communications, information and documentation being governed by Rule 408 of the Federal Rule of Evidence.</w:t>
      </w:r>
    </w:p>
    <w:p>
      <w:pPr>
        <w:spacing w:after="0" w:line="117" w:lineRule="exact"/>
        <w:rPr>
          <w:rFonts w:ascii="Times New Roman" w:cs="Times New Roman" w:eastAsia="Times New Roman" w:hAnsi="Times New Roman"/>
          <w:sz w:val="20"/>
          <w:szCs w:val="20"/>
          <w:color w:val="auto"/>
        </w:rPr>
      </w:pPr>
    </w:p>
    <w:p>
      <w:pPr>
        <w:ind w:left="904" w:hanging="278"/>
        <w:spacing w:after="0"/>
        <w:tabs>
          <w:tab w:leader="none" w:pos="904" w:val="left"/>
        </w:tabs>
        <w:numPr>
          <w:ilvl w:val="1"/>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parties are unable to reach agreement on the matters specified in the Supply Notice of Disagreement within fourteen</w:t>
      </w:r>
    </w:p>
    <w:p>
      <w:pPr>
        <w:spacing w:after="0" w:line="39" w:lineRule="exact"/>
        <w:rPr>
          <w:rFonts w:ascii="Times New Roman" w:cs="Times New Roman" w:eastAsia="Times New Roman" w:hAnsi="Times New Roman"/>
          <w:sz w:val="19"/>
          <w:szCs w:val="19"/>
          <w:color w:val="auto"/>
        </w:rPr>
      </w:pPr>
    </w:p>
    <w:p>
      <w:pPr>
        <w:ind w:left="4" w:hanging="4"/>
        <w:spacing w:after="0" w:line="267" w:lineRule="auto"/>
        <w:tabs>
          <w:tab w:leader="none" w:pos="410"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after delivery of the Supply Notice of Disagreement, the matter shall promptly (and in any event within two (2) days thereafter) be submitted to Grant Thornton LLP (the “</w:t>
      </w:r>
      <w:r>
        <w:rPr>
          <w:rFonts w:ascii="Times New Roman" w:cs="Times New Roman" w:eastAsia="Times New Roman" w:hAnsi="Times New Roman"/>
          <w:sz w:val="20"/>
          <w:szCs w:val="20"/>
          <w:u w:val="single" w:color="auto"/>
          <w:color w:val="auto"/>
        </w:rPr>
        <w:t>Independent Consultant</w:t>
      </w:r>
      <w:r>
        <w:rPr>
          <w:rFonts w:ascii="Times New Roman" w:cs="Times New Roman" w:eastAsia="Times New Roman" w:hAnsi="Times New Roman"/>
          <w:sz w:val="20"/>
          <w:szCs w:val="20"/>
          <w:color w:val="auto"/>
        </w:rPr>
        <w:t>”), which shall provide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84"/>
          </w:cols>
          <w:pgMar w:left="976" w:top="1426" w:right="339" w:bottom="1440" w:gutter="0" w:footer="0" w:header="0"/>
        </w:sectPr>
      </w:pPr>
    </w:p>
    <w:bookmarkStart w:id="187" w:name="page188"/>
    <w:bookmarkEnd w:id="187"/>
    <w:p>
      <w:pPr>
        <w:jc w:val="both"/>
        <w:ind w:left="4"/>
        <w:spacing w:after="0" w:line="273" w:lineRule="auto"/>
        <w:rPr>
          <w:sz w:val="20"/>
          <w:szCs w:val="20"/>
          <w:color w:val="auto"/>
        </w:rPr>
      </w:pPr>
      <w:r>
        <w:rPr>
          <w:rFonts w:ascii="Times New Roman" w:cs="Times New Roman" w:eastAsia="Times New Roman" w:hAnsi="Times New Roman"/>
          <w:sz w:val="19"/>
          <w:szCs w:val="19"/>
          <w:color w:val="auto"/>
        </w:rPr>
        <w:t xml:space="preserve">analysis of all matters contained in the Supply Notice of Disagreement that remain in dispute. The parties shall instruct the Independent Consultant to render its decision as to such disputed items and the effect of its decision on the Pro Forma Price Calculation not later than thirty-eight (38) days (or such longer period as mutually agreed in writing (email sufficient) by the parties) after the date of such submission;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in no event shall the parties instruct the Independent Consultant to, and in no event will the Independent Consultant, render its decision as to such disputed items and the effect of its decision on the Pro Forma Price Calculation later than October 24, 2025 (the first to occur of such dates, the “</w:t>
      </w:r>
      <w:r>
        <w:rPr>
          <w:rFonts w:ascii="Times New Roman" w:cs="Times New Roman" w:eastAsia="Times New Roman" w:hAnsi="Times New Roman"/>
          <w:sz w:val="19"/>
          <w:szCs w:val="19"/>
          <w:u w:val="single" w:color="auto"/>
          <w:color w:val="auto"/>
        </w:rPr>
        <w:t>Resolution Deadline</w:t>
      </w:r>
      <w:r>
        <w:rPr>
          <w:rFonts w:ascii="Times New Roman" w:cs="Times New Roman" w:eastAsia="Times New Roman" w:hAnsi="Times New Roman"/>
          <w:sz w:val="19"/>
          <w:szCs w:val="19"/>
          <w:color w:val="auto"/>
        </w:rPr>
        <w:t xml:space="preserve">”). Each party shall furnish to the Independent Consultant such relevant documents and information relating to the disputed items, and shall provide interviews, answer questions and otherwise cooperate with the Independent Consultant as the Independent Consultant may reasonably request in connection with its determination of such disputed items (and such documents, information and all other communications shall be simultaneously made or delivered to the other party). In the event either party shall participate in teleconferences or meetings with, or make presentations to, the Independent Consultant, the other party shall be entitled to reasonable advance notice of, and to participate in, such teleconferences, meetings or presentations. Notwithstanding anything herein to the contrary, there shall be no </w:t>
      </w:r>
      <w:r>
        <w:rPr>
          <w:rFonts w:ascii="Times New Roman" w:cs="Times New Roman" w:eastAsia="Times New Roman" w:hAnsi="Times New Roman"/>
          <w:sz w:val="19"/>
          <w:szCs w:val="19"/>
          <w:i w:val="1"/>
          <w:iCs w:val="1"/>
          <w:color w:val="auto"/>
        </w:rPr>
        <w:t>ex parte</w:t>
      </w:r>
      <w:r>
        <w:rPr>
          <w:rFonts w:ascii="Times New Roman" w:cs="Times New Roman" w:eastAsia="Times New Roman" w:hAnsi="Times New Roman"/>
          <w:sz w:val="19"/>
          <w:szCs w:val="19"/>
          <w:color w:val="auto"/>
        </w:rPr>
        <w:t xml:space="preserve"> communications with the Independent Consultant without the other party’s prior written consent. The terms of appointment and engagement of the Independent Consultant shall be as contemplated herein and otherwise agreed upon between the parties in writing. In analyzing any such disputed item, the Independent Consultant (i) shall act in the capacity of an expert and not as an arbitrator, (ii) shall limit its review to matters specifically set forth in the Supply Notice of Disagreement as to a disputed item (other than matters thereafter resolved by mutual written agreement of the parties) and whether or not such disputed item has been determined in accordance with the Supply Agreement and </w:t>
      </w:r>
      <w:r>
        <w:rPr>
          <w:rFonts w:ascii="Times New Roman" w:cs="Times New Roman" w:eastAsia="Times New Roman" w:hAnsi="Times New Roman"/>
          <w:sz w:val="19"/>
          <w:szCs w:val="19"/>
          <w:u w:val="single" w:color="auto"/>
          <w:color w:val="auto"/>
        </w:rPr>
        <w:t>Section 7.23(b)</w:t>
      </w:r>
      <w:r>
        <w:rPr>
          <w:rFonts w:ascii="Times New Roman" w:cs="Times New Roman" w:eastAsia="Times New Roman" w:hAnsi="Times New Roman"/>
          <w:sz w:val="19"/>
          <w:szCs w:val="19"/>
          <w:color w:val="auto"/>
        </w:rPr>
        <w:t xml:space="preserve">, (iii) shall limit its review to what items should be included as components of the Fixed Costs and Variable Costs in accordance with the Supply Agreement and </w:t>
      </w:r>
      <w:r>
        <w:rPr>
          <w:rFonts w:ascii="Times New Roman" w:cs="Times New Roman" w:eastAsia="Times New Roman" w:hAnsi="Times New Roman"/>
          <w:sz w:val="19"/>
          <w:szCs w:val="19"/>
          <w:u w:val="single" w:color="auto"/>
          <w:color w:val="auto"/>
        </w:rPr>
        <w:t>Section 7.23(b)</w:t>
      </w:r>
      <w:r>
        <w:rPr>
          <w:rFonts w:ascii="Times New Roman" w:cs="Times New Roman" w:eastAsia="Times New Roman" w:hAnsi="Times New Roman"/>
          <w:sz w:val="19"/>
          <w:szCs w:val="19"/>
          <w:color w:val="auto"/>
        </w:rPr>
        <w:t xml:space="preserve"> and (iv) shall not assign a value to any disputed item greater than the greatest value for such item claimed by either party or less than the smallest value for such item claimed by either party in the Pro Forma Price Calculation or in the Supply Notice of Disagreement, as applicable. The Independent Consultant is not authorized to, and shall not, make any other determination, including any determination with respect to any matter included in the Pro Forma Price Calculation or the Supply Notice of Disagreement that was not submitted for review to the Independent Consultant. No later than the Resolution Deadline, the Independent Consultant shall prepare and deliver to the parties a report of the disputed items submitted to it pursuant to this </w:t>
      </w:r>
      <w:r>
        <w:rPr>
          <w:rFonts w:ascii="Times New Roman" w:cs="Times New Roman" w:eastAsia="Times New Roman" w:hAnsi="Times New Roman"/>
          <w:sz w:val="19"/>
          <w:szCs w:val="19"/>
          <w:u w:val="single" w:color="auto"/>
          <w:color w:val="auto"/>
        </w:rPr>
        <w:t>Section 7.23(e)</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u w:val="single" w:color="auto"/>
          <w:color w:val="auto"/>
        </w:rPr>
        <w:t>Report</w:t>
      </w:r>
      <w:r>
        <w:rPr>
          <w:rFonts w:ascii="Times New Roman" w:cs="Times New Roman" w:eastAsia="Times New Roman" w:hAnsi="Times New Roman"/>
          <w:sz w:val="19"/>
          <w:szCs w:val="19"/>
          <w:color w:val="auto"/>
        </w:rPr>
        <w:t>”), which shall (i) be in writing,</w:t>
      </w:r>
    </w:p>
    <w:p>
      <w:pPr>
        <w:spacing w:after="0" w:line="234" w:lineRule="exact"/>
        <w:rPr>
          <w:sz w:val="20"/>
          <w:szCs w:val="20"/>
          <w:color w:val="auto"/>
        </w:rPr>
      </w:pPr>
    </w:p>
    <w:p>
      <w:pPr>
        <w:jc w:val="both"/>
        <w:ind w:left="4" w:hanging="4"/>
        <w:spacing w:after="0" w:line="260" w:lineRule="auto"/>
        <w:tabs>
          <w:tab w:leader="none" w:pos="296"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include the Independent Consultant’s calculation of the Fixed Cost and Variable Cost for each applicable Product, (iii) include the Independent Consultant’s analysis and determination of each disputed item submitted to it pursuant to this </w:t>
      </w:r>
      <w:r>
        <w:rPr>
          <w:rFonts w:ascii="Times New Roman" w:cs="Times New Roman" w:eastAsia="Times New Roman" w:hAnsi="Times New Roman"/>
          <w:sz w:val="20"/>
          <w:szCs w:val="20"/>
          <w:u w:val="single" w:color="auto"/>
          <w:color w:val="auto"/>
        </w:rPr>
        <w:t>Section 7.23(e)</w:t>
      </w:r>
      <w:r>
        <w:rPr>
          <w:rFonts w:ascii="Times New Roman" w:cs="Times New Roman" w:eastAsia="Times New Roman" w:hAnsi="Times New Roman"/>
          <w:sz w:val="20"/>
          <w:szCs w:val="20"/>
          <w:color w:val="auto"/>
        </w:rPr>
        <w:t xml:space="preserve"> and</w:t>
      </w:r>
    </w:p>
    <w:p>
      <w:pPr>
        <w:spacing w:after="0" w:line="1" w:lineRule="exact"/>
        <w:rPr>
          <w:rFonts w:ascii="Times New Roman" w:cs="Times New Roman" w:eastAsia="Times New Roman" w:hAnsi="Times New Roman"/>
          <w:sz w:val="20"/>
          <w:szCs w:val="20"/>
          <w:color w:val="auto"/>
        </w:rPr>
      </w:pPr>
    </w:p>
    <w:p>
      <w:pPr>
        <w:jc w:val="both"/>
        <w:ind w:left="4" w:hanging="4"/>
        <w:spacing w:after="0" w:line="260" w:lineRule="auto"/>
        <w:tabs>
          <w:tab w:leader="none" w:pos="357"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 a reasonably detailed report of the Independent Consultant’s reasons for its analysis and determination regarding each such disputed item. The Report (including the Independent Consultant’s final determination of the disputed items contained therein) shall be final and binding on the parties (absent fraud or manifest error) and an order may be entered in respect thereof by a court having jurisdiction over the party against which such determination is to be enforced. All fees and expenses relating to the work, if any, performed by the Independent Consultant shall be borne by Seller and Purchaser fifty-fifty.</w:t>
      </w:r>
    </w:p>
    <w:p>
      <w:pPr>
        <w:spacing w:after="0" w:line="115" w:lineRule="exact"/>
        <w:rPr>
          <w:rFonts w:ascii="Times New Roman" w:cs="Times New Roman" w:eastAsia="Times New Roman" w:hAnsi="Times New Roman"/>
          <w:sz w:val="20"/>
          <w:szCs w:val="20"/>
          <w:color w:val="auto"/>
        </w:rPr>
      </w:pPr>
    </w:p>
    <w:p>
      <w:pPr>
        <w:ind w:left="4" w:firstLine="622"/>
        <w:spacing w:after="0" w:line="283" w:lineRule="auto"/>
        <w:tabs>
          <w:tab w:leader="none" w:pos="883" w:val="left"/>
        </w:tabs>
        <w:numPr>
          <w:ilvl w:val="1"/>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five (5) Business Days (but no less than two (2) Business Days) prior to the Closing Date, the Seller shall provide the Purchaser with the Price Schedule calculated pursuant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84"/>
          </w:cols>
          <w:pgMar w:left="976" w:top="1426" w:right="339" w:bottom="1440" w:gutter="0" w:footer="0" w:header="0"/>
        </w:sectPr>
      </w:pPr>
    </w:p>
    <w:bookmarkStart w:id="188" w:name="page189"/>
    <w:bookmarkEnd w:id="188"/>
    <w:p>
      <w:pPr>
        <w:jc w:val="both"/>
        <w:ind w:left="660"/>
        <w:spacing w:after="0" w:line="277" w:lineRule="auto"/>
        <w:rPr>
          <w:sz w:val="20"/>
          <w:szCs w:val="20"/>
          <w:color w:val="auto"/>
        </w:rPr>
      </w:pPr>
      <w:r>
        <w:rPr>
          <w:rFonts w:ascii="Times New Roman" w:cs="Times New Roman" w:eastAsia="Times New Roman" w:hAnsi="Times New Roman"/>
          <w:sz w:val="19"/>
          <w:szCs w:val="19"/>
          <w:color w:val="auto"/>
        </w:rPr>
        <w:t>to the Final Pro Forma Price Calculation based on the then current Fixed Costs and Variable Costs, and the parties shall update Schedules B-3 and B-4 of the Supply Agreement to reflect any applicable revisions to the Product Price Illustrative Calculation Methodology and Sample Product Price Calculation thereon, and Purchaser shall during the initial quarter of the term of the Supply Agreement invoice Products based on such Price Schedule starting on the Closing Date, and thereafter Purchaser shall update the Price Schedule in accordance with the Supply Agreement, provided, the Final Pro Forma Price Calculation, and any applicable revisions to Schedules B-3 and B-4, shall be purely illustrative in nature with respect to updating of Price Schedule after the Closing Date and is not intended to contradict or override the calculation of Product Price as outlined in Schedules B, B-1 and B-2 of the Supply Agreement, provided, further, and for clarity, nothing herein shall permit Supplier (as defined in the Supply Agreement) the right to revise the Fixed Cost codes listed on Schedule B-2 of the Supply Agreement inconsistent with the Supply Agreement.”</w:t>
      </w:r>
    </w:p>
    <w:p>
      <w:pPr>
        <w:spacing w:after="0" w:line="89" w:lineRule="exact"/>
        <w:rPr>
          <w:sz w:val="20"/>
          <w:szCs w:val="20"/>
          <w:color w:val="auto"/>
        </w:rPr>
      </w:pPr>
    </w:p>
    <w:p>
      <w:pPr>
        <w:jc w:val="both"/>
        <w:ind w:firstLine="656"/>
        <w:spacing w:after="0" w:line="254" w:lineRule="auto"/>
        <w:tabs>
          <w:tab w:leader="none" w:pos="1296"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Limited Amendment</w:t>
      </w:r>
      <w:r>
        <w:rPr>
          <w:rFonts w:ascii="Times New Roman" w:cs="Times New Roman" w:eastAsia="Times New Roman" w:hAnsi="Times New Roman"/>
          <w:sz w:val="20"/>
          <w:szCs w:val="20"/>
          <w:color w:val="auto"/>
        </w:rPr>
        <w:t>. This Amendment shall not constitute a waiver of, or amendment or modification to, any provision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Purchase Agreement not expressly referred to in this Amendment. Except as specifically amended and modified hereby, the Purchase Agreement shall remain unchanged and in full force and effect. References in the Purchase Agreement to “this Agreement”, “hereby” and words of similar import (other than references to the date of the Purchase Agreement) shall refer to the Purchase Agreement as amended and modified by this Amendment.</w:t>
      </w:r>
    </w:p>
    <w:p>
      <w:pPr>
        <w:spacing w:after="0" w:line="187" w:lineRule="exact"/>
        <w:rPr>
          <w:rFonts w:ascii="Times New Roman" w:cs="Times New Roman" w:eastAsia="Times New Roman" w:hAnsi="Times New Roman"/>
          <w:sz w:val="20"/>
          <w:szCs w:val="20"/>
          <w:color w:val="auto"/>
        </w:rPr>
      </w:pPr>
    </w:p>
    <w:p>
      <w:pPr>
        <w:jc w:val="both"/>
        <w:ind w:firstLine="656"/>
        <w:spacing w:after="0" w:line="263" w:lineRule="auto"/>
        <w:tabs>
          <w:tab w:leader="none" w:pos="1296"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Miscellaneous</w:t>
      </w:r>
      <w:r>
        <w:rPr>
          <w:rFonts w:ascii="Times New Roman" w:cs="Times New Roman" w:eastAsia="Times New Roman" w:hAnsi="Times New Roman"/>
          <w:sz w:val="20"/>
          <w:szCs w:val="20"/>
          <w:color w:val="auto"/>
        </w:rPr>
        <w:t>. The provisions of Sections 11.01 (</w:t>
      </w:r>
      <w:r>
        <w:rPr>
          <w:rFonts w:ascii="Times New Roman" w:cs="Times New Roman" w:eastAsia="Times New Roman" w:hAnsi="Times New Roman"/>
          <w:sz w:val="20"/>
          <w:szCs w:val="20"/>
          <w:i w:val="1"/>
          <w:iCs w:val="1"/>
          <w:color w:val="auto"/>
        </w:rPr>
        <w:t>Notices</w:t>
      </w:r>
      <w:r>
        <w:rPr>
          <w:rFonts w:ascii="Times New Roman" w:cs="Times New Roman" w:eastAsia="Times New Roman" w:hAnsi="Times New Roman"/>
          <w:sz w:val="20"/>
          <w:szCs w:val="20"/>
          <w:color w:val="auto"/>
        </w:rPr>
        <w:t>), 11.02 (</w:t>
      </w:r>
      <w:r>
        <w:rPr>
          <w:rFonts w:ascii="Times New Roman" w:cs="Times New Roman" w:eastAsia="Times New Roman" w:hAnsi="Times New Roman"/>
          <w:sz w:val="20"/>
          <w:szCs w:val="20"/>
          <w:i w:val="1"/>
          <w:iCs w:val="1"/>
          <w:color w:val="auto"/>
        </w:rPr>
        <w:t>Amendment</w:t>
      </w:r>
      <w:r>
        <w:rPr>
          <w:rFonts w:ascii="Times New Roman" w:cs="Times New Roman" w:eastAsia="Times New Roman" w:hAnsi="Times New Roman"/>
          <w:sz w:val="20"/>
          <w:szCs w:val="20"/>
          <w:color w:val="auto"/>
        </w:rPr>
        <w:t>), 11.03 (</w:t>
      </w:r>
      <w:r>
        <w:rPr>
          <w:rFonts w:ascii="Times New Roman" w:cs="Times New Roman" w:eastAsia="Times New Roman" w:hAnsi="Times New Roman"/>
          <w:sz w:val="20"/>
          <w:szCs w:val="20"/>
          <w:i w:val="1"/>
          <w:iCs w:val="1"/>
          <w:color w:val="auto"/>
        </w:rPr>
        <w:t>Waiver</w:t>
      </w:r>
      <w:r>
        <w:rPr>
          <w:rFonts w:ascii="Times New Roman" w:cs="Times New Roman" w:eastAsia="Times New Roman" w:hAnsi="Times New Roman"/>
          <w:sz w:val="20"/>
          <w:szCs w:val="20"/>
          <w:color w:val="auto"/>
        </w:rPr>
        <w:t>), 11.04 (</w:t>
      </w:r>
      <w:r>
        <w:rPr>
          <w:rFonts w:ascii="Times New Roman" w:cs="Times New Roman" w:eastAsia="Times New Roman" w:hAnsi="Times New Roman"/>
          <w:sz w:val="20"/>
          <w:szCs w:val="20"/>
          <w:i w:val="1"/>
          <w:iCs w:val="1"/>
          <w:color w:val="auto"/>
        </w:rPr>
        <w:t>Severability</w:t>
      </w:r>
      <w:r>
        <w:rPr>
          <w:rFonts w:ascii="Times New Roman" w:cs="Times New Roman" w:eastAsia="Times New Roman" w:hAnsi="Times New Roman"/>
          <w:sz w:val="20"/>
          <w:szCs w:val="20"/>
          <w:color w:val="auto"/>
        </w:rPr>
        <w:t>), 11.05</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Counterparts</w:t>
      </w:r>
      <w:r>
        <w:rPr>
          <w:rFonts w:ascii="Times New Roman" w:cs="Times New Roman" w:eastAsia="Times New Roman" w:hAnsi="Times New Roman"/>
          <w:sz w:val="20"/>
          <w:szCs w:val="20"/>
          <w:color w:val="auto"/>
        </w:rPr>
        <w:t>), 11.07 (</w:t>
      </w:r>
      <w:r>
        <w:rPr>
          <w:rFonts w:ascii="Times New Roman" w:cs="Times New Roman" w:eastAsia="Times New Roman" w:hAnsi="Times New Roman"/>
          <w:sz w:val="20"/>
          <w:szCs w:val="20"/>
          <w:i w:val="1"/>
          <w:iCs w:val="1"/>
          <w:color w:val="auto"/>
        </w:rPr>
        <w:t>Governing Law</w:t>
      </w:r>
      <w:r>
        <w:rPr>
          <w:rFonts w:ascii="Times New Roman" w:cs="Times New Roman" w:eastAsia="Times New Roman" w:hAnsi="Times New Roman"/>
          <w:sz w:val="20"/>
          <w:szCs w:val="20"/>
          <w:color w:val="auto"/>
        </w:rPr>
        <w:t>), 11.08 (</w:t>
      </w:r>
      <w:r>
        <w:rPr>
          <w:rFonts w:ascii="Times New Roman" w:cs="Times New Roman" w:eastAsia="Times New Roman" w:hAnsi="Times New Roman"/>
          <w:sz w:val="20"/>
          <w:szCs w:val="20"/>
          <w:i w:val="1"/>
          <w:iCs w:val="1"/>
          <w:color w:val="auto"/>
        </w:rPr>
        <w:t>Assignment</w:t>
      </w:r>
      <w:r>
        <w:rPr>
          <w:rFonts w:ascii="Times New Roman" w:cs="Times New Roman" w:eastAsia="Times New Roman" w:hAnsi="Times New Roman"/>
          <w:sz w:val="20"/>
          <w:szCs w:val="20"/>
          <w:color w:val="auto"/>
        </w:rPr>
        <w:t>), and 11.09 (</w:t>
      </w:r>
      <w:r>
        <w:rPr>
          <w:rFonts w:ascii="Times New Roman" w:cs="Times New Roman" w:eastAsia="Times New Roman" w:hAnsi="Times New Roman"/>
          <w:sz w:val="20"/>
          <w:szCs w:val="20"/>
          <w:i w:val="1"/>
          <w:iCs w:val="1"/>
          <w:color w:val="auto"/>
        </w:rPr>
        <w:t>Enforcement; Jurisdiction; Consent to Service of Process; Waiver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Jury Trial</w:t>
      </w:r>
      <w:r>
        <w:rPr>
          <w:rFonts w:ascii="Times New Roman" w:cs="Times New Roman" w:eastAsia="Times New Roman" w:hAnsi="Times New Roman"/>
          <w:sz w:val="20"/>
          <w:szCs w:val="20"/>
          <w:color w:val="auto"/>
        </w:rPr>
        <w:t>) of the Purchase Agreement shall apply</w:t>
      </w:r>
      <w:r>
        <w:rPr>
          <w:rFonts w:ascii="Times New Roman" w:cs="Times New Roman" w:eastAsia="Times New Roman" w:hAnsi="Times New Roman"/>
          <w:sz w:val="20"/>
          <w:szCs w:val="20"/>
          <w:i w:val="1"/>
          <w:iCs w:val="1"/>
          <w:color w:val="auto"/>
        </w:rPr>
        <w:t xml:space="preserve"> mutatis mutandis </w:t>
      </w:r>
      <w:r>
        <w:rPr>
          <w:rFonts w:ascii="Times New Roman" w:cs="Times New Roman" w:eastAsia="Times New Roman" w:hAnsi="Times New Roman"/>
          <w:sz w:val="20"/>
          <w:szCs w:val="20"/>
          <w:color w:val="auto"/>
        </w:rPr>
        <w:t>to this Amendment as if set forth in their entirety herein.</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PAGES FOLLOW</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26" w:right="339" w:bottom="1440" w:gutter="0" w:footer="0" w:header="0"/>
        </w:sectPr>
      </w:pPr>
    </w:p>
    <w:bookmarkStart w:id="189" w:name="page190"/>
    <w:bookmarkEnd w:id="189"/>
    <w:p>
      <w:pPr>
        <w:spacing w:after="0" w:line="118" w:lineRule="exact"/>
        <w:rPr>
          <w:sz w:val="20"/>
          <w:szCs w:val="20"/>
          <w:color w:val="auto"/>
        </w:rPr>
      </w:pPr>
    </w:p>
    <w:p>
      <w:pPr>
        <w:ind w:firstLine="225"/>
        <w:spacing w:after="0" w:line="273"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each of the Parties has caused this Amendment to be duly executed on its behalf as of the day and year first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above written.</w:t>
      </w:r>
    </w:p>
    <w:p>
      <w:pPr>
        <w:spacing w:after="0" w:line="200" w:lineRule="exact"/>
        <w:rPr>
          <w:sz w:val="20"/>
          <w:szCs w:val="20"/>
          <w:color w:val="auto"/>
        </w:rPr>
      </w:pPr>
    </w:p>
    <w:p>
      <w:pPr>
        <w:spacing w:after="0" w:line="28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u w:val="single" w:color="auto"/>
          <w:color w:val="auto"/>
        </w:rPr>
        <w:t>BUYER</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G-3 CHICKADEE PURCHASER, LLC</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900"/>
        <w:spacing w:after="0"/>
        <w:tabs>
          <w:tab w:leader="none" w:pos="43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Matthew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2655570</wp:posOffset>
            </wp:positionH>
            <wp:positionV relativeFrom="paragraph">
              <wp:posOffset>-10795</wp:posOffset>
            </wp:positionV>
            <wp:extent cx="140652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6">
                      <a:extLst>
                        <a:ext uri="{28A0092B-C50C-407E-A947-70E740481C1C}"/>
                      </a:extLst>
                    </a:blip>
                    <a:srcRect/>
                    <a:stretch>
                      <a:fillRect/>
                    </a:stretch>
                  </pic:blipFill>
                  <pic:spPr bwMode="auto">
                    <a:xfrm>
                      <a:off x="0" y="0"/>
                      <a:ext cx="1406525"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Matthew Wallace</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u w:val="single" w:color="auto"/>
          <w:color w:val="auto"/>
        </w:rPr>
        <w:t>SELLER</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59"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0"/>
          <w:szCs w:val="20"/>
          <w:b w:val="1"/>
          <w:bCs w:val="1"/>
          <w:color w:val="auto"/>
        </w:rPr>
        <w:t>THE GOODYEAR TIRE &amp; RUBBER COMPANY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900"/>
        <w:spacing w:after="0"/>
        <w:tabs>
          <w:tab w:leader="none" w:pos="43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Daniel T.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2655570</wp:posOffset>
            </wp:positionH>
            <wp:positionV relativeFrom="paragraph">
              <wp:posOffset>-10795</wp:posOffset>
            </wp:positionV>
            <wp:extent cx="135318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7">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Daniel T. Young</w:t>
      </w:r>
    </w:p>
    <w:p>
      <w:pPr>
        <w:spacing w:after="0" w:line="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Title: Secretary and Associate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Amendment 1 to Asset Purchase Agreement]</w:t>
      </w:r>
    </w:p>
    <w:p>
      <w:pPr>
        <w:sectPr>
          <w:pgSz w:w="11900" w:h="16838" w:orient="portrait"/>
          <w:cols w:equalWidth="0" w:num="1">
            <w:col w:w="11240"/>
          </w:cols>
          <w:pgMar w:left="320" w:top="1440" w:right="33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630555</wp:posOffset>
            </wp:positionV>
            <wp:extent cx="6926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655955</wp:posOffset>
            </wp:positionV>
            <wp:extent cx="6926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9">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AMENDED AND RESTATED FIRST LIEN CREDIT AGREEMENT</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dated as of May 19, 2025</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among</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GOODYEAR TIRE &amp; RUBBER COMPANY,</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Borrower,</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LENDERS Party Hereto, The ISSUING BANKS Party Hereto,</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JPMORGAN CHASE BANK, N.A.,</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Administrative Agent and Collateral Agent</w:t>
      </w:r>
    </w:p>
    <w:p>
      <w:pPr>
        <w:spacing w:after="0" w:line="1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_________________________________________</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JPMORGAN CHASE BANK, N.A.,</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BANK OF AMERICA, N.A.,</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BNP PARIBAS SECURITIES CORP.,</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CITIBANK, N.A.,</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CREDIT AGRICOLE CORPORATE AND INVESTMENT BANK,</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DEUTSCHE BANK SECURITIES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FIFTH THIRD BANK, NATIONAL ASSOCIATION,</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GOLDMAN SACHS BANK USA,</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MUFG BANK, LTD.</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PNC BANK, NATIONAL ASSOCIATION,</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Joint Lead Arrangers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 Joint Bookrunners,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BANK OF AMERICA, N.A.,</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BNP PARIBAS SECURITIES CORP.,</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CITIBANK, N.A.,</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CREDIT AGRICOLE CORPORATE AND INVESTMENT BANK,</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DEUTSCHE BANK SECURITIES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FIFTH THIRD BANK, NATIONAL ASSOCIATION,</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GOLDMAN SACHS BANK USA,</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MUFG BANK, LTD.</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PNC BANK, NATIONAL ASSOCIATION,</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Syndication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337820</wp:posOffset>
            </wp:positionV>
            <wp:extent cx="69265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0">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363220</wp:posOffset>
            </wp:positionV>
            <wp:extent cx="69265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1">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[[6773422v.21]]</w:t>
      </w:r>
    </w:p>
    <w:p>
      <w:pPr>
        <w:sectPr>
          <w:pgSz w:w="11900" w:h="16838" w:orient="portrait"/>
          <w:cols w:equalWidth="0" w:num="1">
            <w:col w:w="11240"/>
          </w:cols>
          <w:pgMar w:left="320" w:top="117" w:right="339" w:bottom="1440" w:gutter="0" w:footer="0" w:header="0"/>
          <w:type w:val="continuous"/>
        </w:sectPr>
      </w:pPr>
    </w:p>
    <w:bookmarkStart w:id="191" w:name="page192"/>
    <w:bookmarkEnd w:id="19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311150</wp:posOffset>
            </wp:positionH>
            <wp:positionV relativeFrom="page">
              <wp:posOffset>972185</wp:posOffset>
            </wp:positionV>
            <wp:extent cx="6926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2">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997585</wp:posOffset>
            </wp:positionV>
            <wp:extent cx="69265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3">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pacing w:after="0" w:line="25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and</w:t>
      </w:r>
    </w:p>
    <w:p>
      <w:pPr>
        <w:spacing w:after="0" w:line="35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color w:val="auto"/>
        </w:rPr>
        <w:t>CAPITAL ONE, NATIONAL ASSOCIATION,</w:t>
      </w:r>
    </w:p>
    <w:p>
      <w:pPr>
        <w:spacing w:after="0" w:line="6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CIBC BANK USA,</w:t>
      </w:r>
    </w:p>
    <w:p>
      <w:pPr>
        <w:spacing w:after="0" w:line="7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FLAGSTAR BANK, N.A.,</w:t>
      </w:r>
    </w:p>
    <w:p>
      <w:pPr>
        <w:spacing w:after="0" w:line="5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THE HUNTINGTON NATIONAL BANK</w:t>
      </w:r>
    </w:p>
    <w:p>
      <w:pPr>
        <w:spacing w:after="0" w:line="5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and</w:t>
      </w:r>
    </w:p>
    <w:p>
      <w:pPr>
        <w:spacing w:after="0" w:line="5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REGIONS BANK,</w:t>
      </w:r>
    </w:p>
    <w:p>
      <w:pPr>
        <w:spacing w:after="0" w:line="5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as 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71120</wp:posOffset>
            </wp:positionV>
            <wp:extent cx="6926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4">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96520</wp:posOffset>
            </wp:positionV>
            <wp:extent cx="6926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5">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0139"/>
          </w:cols>
          <w:pgMar w:left="320" w:top="1440" w:right="1440" w:bottom="1440" w:gutter="0" w:footer="0" w:header="0"/>
        </w:sectPr>
      </w:pPr>
    </w:p>
    <w:bookmarkStart w:id="192" w:name="page193"/>
    <w:bookmarkEnd w:id="192"/>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FF0000"/>
        </w:rPr>
        <w:t>IMPORTANT NOTE:</w:t>
      </w:r>
    </w:p>
    <w:p>
      <w:pPr>
        <w:spacing w:after="0" w:line="22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u w:val="single" w:color="auto"/>
          <w:color w:val="FF0000"/>
        </w:rPr>
        <w:t>EACH PARTY HERETO MUST EXECUTE THIS CREDIT AGREEMENT OUTSIDE THE REPUBLIC OF AUSTRIA AND EACH LENDER MUST BOOK ITS LOAN AND RECEIVE ALL PAYMENTS OUTSIDE THE REPUBLIC OF AUSTRIA. TRANSPORTING OR SENDING THE ORIGINAL OR ANY CERTIFIED COPY OF THIS CREDIT AGREEMENT OR ANY OTHER CREDIT DOCUMENT OR ANY SIGNED REFERENCES THERETO OR ANY NOTICE OR OTHER COMMUNICATION, INCLUDING FAX MESSAGES OR E-MAILS CARRYING AN ELECTRONIC SIGNATURE (WHETHER DIGITALLY, MANUSCRIPT OR OTHERWISE TECHNICALLY REPRODUCED), INTO OR FROM THE REPUBLIC OF AUSTRIA WHICH REFER TO SUCH DOCUMENT OR TO WHICH A COPY OF SUCH DOCUMENT IS ATTACHED MAY RESULT IN THE IMPOSITION OF AN AUSTRIAN STAMP DUTY ON THE CREDIT FACILITY PROVIDED FOR HEREIN, WHICH MAY BE FOR THE ACCOUNT OF THE PARTY WHOSE ACTIONS RESULT IN SUCH IMPOSITION. COMMUNICATIONS REFERENCING SUCH DOCUMENTATION AS OUTLINED ABOVE SHOULD NOT BE ADDRESSED TO RECIPIENTS IN, OR SENT BY PERSONS LOCATED IN, THE REPUBLIC OF AUSTRIA AND PAYMENTS SHOULD NOT BE MADE TO BANK ACCOUNTS IN THE REPUBLIC OF AUSTRIA. SEE ALSO SECTION 9.18 AND A MEMORANDUM FROM AUSTRIAN COUNSEL FOR THE GOODYEAR TIRE &amp; RUBBER COMPANY WHICH IS AVAILABLE UPON REQUEST FROM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09" w:right="339" w:bottom="1440" w:gutter="0" w:footer="0" w:header="0"/>
        </w:sectPr>
      </w:pPr>
    </w:p>
    <w:bookmarkStart w:id="193" w:name="page194"/>
    <w:bookmarkEnd w:id="193"/>
    <w:p>
      <w:pPr>
        <w:spacing w:after="0" w:line="18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u w:val="single" w:color="auto"/>
          <w:color w:val="auto"/>
        </w:rPr>
        <w:t>Table of Contents</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auto"/>
        </w:rPr>
        <w:t>Page</w:t>
      </w:r>
    </w:p>
    <w:p>
      <w:pPr>
        <w:spacing w:after="0" w:line="22" w:lineRule="exact"/>
        <w:rPr>
          <w:sz w:val="20"/>
          <w:szCs w:val="20"/>
          <w:color w:val="auto"/>
        </w:rPr>
      </w:pPr>
    </w:p>
    <w:p>
      <w:pPr>
        <w:spacing w:after="0"/>
        <w:tabs>
          <w:tab w:leader="none" w:pos="1460" w:val="left"/>
          <w:tab w:leader="dot" w:pos="6900" w:val="left"/>
        </w:tabs>
        <w:rPr>
          <w:sz w:val="20"/>
          <w:szCs w:val="20"/>
          <w:color w:val="auto"/>
        </w:rPr>
      </w:pPr>
      <w:r>
        <w:rPr>
          <w:rFonts w:ascii="Times New Roman" w:cs="Times New Roman" w:eastAsia="Times New Roman" w:hAnsi="Times New Roman"/>
          <w:sz w:val="20"/>
          <w:szCs w:val="20"/>
          <w:color w:val="auto"/>
        </w:rPr>
        <w:t>SECTION 1.01.</w:t>
        <w:tab/>
        <w:t>Defined Terms</w:t>
      </w:r>
      <w:r>
        <w:rPr>
          <w:sz w:val="20"/>
          <w:szCs w:val="20"/>
          <w:color w:val="auto"/>
        </w:rPr>
        <w:tab/>
      </w:r>
      <w:r>
        <w:rPr>
          <w:rFonts w:ascii="Times New Roman" w:cs="Times New Roman" w:eastAsia="Times New Roman" w:hAnsi="Times New Roman"/>
          <w:sz w:val="20"/>
          <w:szCs w:val="20"/>
          <w:color w:val="auto"/>
        </w:rPr>
        <w:t>1</w:t>
      </w:r>
    </w:p>
    <w:p>
      <w:pPr>
        <w:spacing w:after="0" w:line="6" w:lineRule="exact"/>
        <w:rPr>
          <w:sz w:val="20"/>
          <w:szCs w:val="20"/>
          <w:color w:val="auto"/>
        </w:rPr>
      </w:pPr>
    </w:p>
    <w:p>
      <w:pPr>
        <w:spacing w:after="0"/>
        <w:tabs>
          <w:tab w:leader="none" w:pos="1460" w:val="left"/>
          <w:tab w:leader="dot" w:pos="6840" w:val="left"/>
        </w:tabs>
        <w:rPr>
          <w:sz w:val="20"/>
          <w:szCs w:val="20"/>
          <w:color w:val="auto"/>
        </w:rPr>
      </w:pPr>
      <w:r>
        <w:rPr>
          <w:rFonts w:ascii="Times New Roman" w:cs="Times New Roman" w:eastAsia="Times New Roman" w:hAnsi="Times New Roman"/>
          <w:sz w:val="20"/>
          <w:szCs w:val="20"/>
          <w:color w:val="auto"/>
        </w:rPr>
        <w:t>SECTION 1.02.</w:t>
        <w:tab/>
        <w:t>Classification of Loans and Borrowings</w:t>
      </w:r>
      <w:r>
        <w:rPr>
          <w:sz w:val="20"/>
          <w:szCs w:val="20"/>
          <w:color w:val="auto"/>
        </w:rPr>
        <w:tab/>
      </w:r>
      <w:r>
        <w:rPr>
          <w:rFonts w:ascii="Times New Roman" w:cs="Times New Roman" w:eastAsia="Times New Roman" w:hAnsi="Times New Roman"/>
          <w:sz w:val="20"/>
          <w:szCs w:val="20"/>
          <w:color w:val="auto"/>
        </w:rPr>
        <w:t>73</w:t>
      </w:r>
    </w:p>
    <w:p>
      <w:pPr>
        <w:spacing w:after="0" w:line="6" w:lineRule="exact"/>
        <w:rPr>
          <w:sz w:val="20"/>
          <w:szCs w:val="20"/>
          <w:color w:val="auto"/>
        </w:rPr>
      </w:pPr>
    </w:p>
    <w:p>
      <w:pPr>
        <w:spacing w:after="0"/>
        <w:tabs>
          <w:tab w:leader="none" w:pos="1460" w:val="left"/>
          <w:tab w:leader="dot" w:pos="6820" w:val="left"/>
        </w:tabs>
        <w:rPr>
          <w:sz w:val="20"/>
          <w:szCs w:val="20"/>
          <w:color w:val="auto"/>
        </w:rPr>
      </w:pPr>
      <w:r>
        <w:rPr>
          <w:rFonts w:ascii="Times New Roman" w:cs="Times New Roman" w:eastAsia="Times New Roman" w:hAnsi="Times New Roman"/>
          <w:sz w:val="20"/>
          <w:szCs w:val="20"/>
          <w:color w:val="auto"/>
        </w:rPr>
        <w:t>SECTION 1.03.</w:t>
        <w:tab/>
        <w:t>Foreign Currency Translation</w:t>
      </w:r>
      <w:r>
        <w:rPr>
          <w:sz w:val="20"/>
          <w:szCs w:val="20"/>
          <w:color w:val="auto"/>
        </w:rPr>
        <w:tab/>
      </w:r>
      <w:r>
        <w:rPr>
          <w:rFonts w:ascii="Times New Roman" w:cs="Times New Roman" w:eastAsia="Times New Roman" w:hAnsi="Times New Roman"/>
          <w:sz w:val="20"/>
          <w:szCs w:val="20"/>
          <w:color w:val="auto"/>
        </w:rPr>
        <w:t>74</w:t>
      </w:r>
    </w:p>
    <w:p>
      <w:pPr>
        <w:spacing w:after="0" w:line="6" w:lineRule="exact"/>
        <w:rPr>
          <w:sz w:val="20"/>
          <w:szCs w:val="20"/>
          <w:color w:val="auto"/>
        </w:rPr>
      </w:pPr>
    </w:p>
    <w:p>
      <w:pPr>
        <w:spacing w:after="0"/>
        <w:tabs>
          <w:tab w:leader="none" w:pos="1460" w:val="left"/>
          <w:tab w:leader="dot" w:pos="6780" w:val="left"/>
        </w:tabs>
        <w:rPr>
          <w:sz w:val="20"/>
          <w:szCs w:val="20"/>
          <w:color w:val="auto"/>
        </w:rPr>
      </w:pPr>
      <w:r>
        <w:rPr>
          <w:rFonts w:ascii="Times New Roman" w:cs="Times New Roman" w:eastAsia="Times New Roman" w:hAnsi="Times New Roman"/>
          <w:sz w:val="20"/>
          <w:szCs w:val="20"/>
          <w:color w:val="auto"/>
        </w:rPr>
        <w:t>SECTION 1.04.</w:t>
        <w:tab/>
        <w:t>Terms Generally</w:t>
      </w:r>
      <w:r>
        <w:rPr>
          <w:sz w:val="20"/>
          <w:szCs w:val="20"/>
          <w:color w:val="auto"/>
        </w:rPr>
        <w:tab/>
      </w:r>
      <w:r>
        <w:rPr>
          <w:rFonts w:ascii="Times New Roman" w:cs="Times New Roman" w:eastAsia="Times New Roman" w:hAnsi="Times New Roman"/>
          <w:sz w:val="20"/>
          <w:szCs w:val="20"/>
          <w:color w:val="auto"/>
        </w:rPr>
        <w:t>74</w:t>
      </w:r>
    </w:p>
    <w:p>
      <w:pPr>
        <w:spacing w:after="0" w:line="13" w:lineRule="exact"/>
        <w:rPr>
          <w:sz w:val="20"/>
          <w:szCs w:val="20"/>
          <w:color w:val="auto"/>
        </w:rPr>
      </w:pPr>
    </w:p>
    <w:p>
      <w:pPr>
        <w:spacing w:after="0"/>
        <w:tabs>
          <w:tab w:leader="none" w:pos="1460" w:val="left"/>
          <w:tab w:leader="dot" w:pos="6800" w:val="left"/>
        </w:tabs>
        <w:rPr>
          <w:sz w:val="20"/>
          <w:szCs w:val="20"/>
          <w:color w:val="auto"/>
        </w:rPr>
      </w:pPr>
      <w:r>
        <w:rPr>
          <w:rFonts w:ascii="Times New Roman" w:cs="Times New Roman" w:eastAsia="Times New Roman" w:hAnsi="Times New Roman"/>
          <w:sz w:val="20"/>
          <w:szCs w:val="20"/>
          <w:color w:val="auto"/>
        </w:rPr>
        <w:t>SECTION 1.05.</w:t>
        <w:tab/>
        <w:t>Accounting Terms; GAAP</w:t>
      </w:r>
      <w:r>
        <w:rPr>
          <w:sz w:val="20"/>
          <w:szCs w:val="20"/>
          <w:color w:val="auto"/>
        </w:rPr>
        <w:tab/>
      </w:r>
      <w:r>
        <w:rPr>
          <w:rFonts w:ascii="Times New Roman" w:cs="Times New Roman" w:eastAsia="Times New Roman" w:hAnsi="Times New Roman"/>
          <w:sz w:val="20"/>
          <w:szCs w:val="20"/>
          <w:color w:val="auto"/>
        </w:rPr>
        <w:t>74</w:t>
      </w:r>
    </w:p>
    <w:p>
      <w:pPr>
        <w:spacing w:after="0" w:line="6" w:lineRule="exact"/>
        <w:rPr>
          <w:sz w:val="20"/>
          <w:szCs w:val="20"/>
          <w:color w:val="auto"/>
        </w:rPr>
      </w:pPr>
    </w:p>
    <w:p>
      <w:pPr>
        <w:spacing w:after="0"/>
        <w:tabs>
          <w:tab w:leader="none" w:pos="1460" w:val="left"/>
          <w:tab w:leader="dot" w:pos="6840" w:val="left"/>
        </w:tabs>
        <w:rPr>
          <w:sz w:val="20"/>
          <w:szCs w:val="20"/>
          <w:color w:val="auto"/>
        </w:rPr>
      </w:pPr>
      <w:r>
        <w:rPr>
          <w:rFonts w:ascii="Times New Roman" w:cs="Times New Roman" w:eastAsia="Times New Roman" w:hAnsi="Times New Roman"/>
          <w:sz w:val="20"/>
          <w:szCs w:val="20"/>
          <w:color w:val="auto"/>
        </w:rPr>
        <w:t>SECTION 1.06.</w:t>
        <w:tab/>
        <w:t>Excluded Swap Obligations</w:t>
      </w:r>
      <w:r>
        <w:rPr>
          <w:sz w:val="20"/>
          <w:szCs w:val="20"/>
          <w:color w:val="auto"/>
        </w:rPr>
        <w:tab/>
      </w:r>
      <w:r>
        <w:rPr>
          <w:rFonts w:ascii="Times New Roman" w:cs="Times New Roman" w:eastAsia="Times New Roman" w:hAnsi="Times New Roman"/>
          <w:sz w:val="20"/>
          <w:szCs w:val="20"/>
          <w:color w:val="auto"/>
        </w:rPr>
        <w:t>75</w:t>
      </w:r>
    </w:p>
    <w:p>
      <w:pPr>
        <w:spacing w:after="0" w:line="6" w:lineRule="exact"/>
        <w:rPr>
          <w:sz w:val="20"/>
          <w:szCs w:val="20"/>
          <w:color w:val="auto"/>
        </w:rPr>
      </w:pPr>
    </w:p>
    <w:p>
      <w:pPr>
        <w:spacing w:after="0"/>
        <w:tabs>
          <w:tab w:leader="none" w:pos="1460" w:val="left"/>
          <w:tab w:leader="dot" w:pos="6840" w:val="left"/>
        </w:tabs>
        <w:rPr>
          <w:sz w:val="20"/>
          <w:szCs w:val="20"/>
          <w:color w:val="auto"/>
        </w:rPr>
      </w:pPr>
      <w:r>
        <w:rPr>
          <w:rFonts w:ascii="Times New Roman" w:cs="Times New Roman" w:eastAsia="Times New Roman" w:hAnsi="Times New Roman"/>
          <w:sz w:val="20"/>
          <w:szCs w:val="20"/>
          <w:color w:val="auto"/>
        </w:rPr>
        <w:t>SECTION 1.07.</w:t>
        <w:tab/>
        <w:t>Interest Rates; Benchmark Notification</w:t>
      </w:r>
      <w:r>
        <w:rPr>
          <w:sz w:val="20"/>
          <w:szCs w:val="20"/>
          <w:color w:val="auto"/>
        </w:rPr>
        <w:tab/>
      </w:r>
      <w:r>
        <w:rPr>
          <w:rFonts w:ascii="Times New Roman" w:cs="Times New Roman" w:eastAsia="Times New Roman" w:hAnsi="Times New Roman"/>
          <w:sz w:val="20"/>
          <w:szCs w:val="20"/>
          <w:color w:val="auto"/>
        </w:rPr>
        <w:t>75</w:t>
      </w:r>
    </w:p>
    <w:p>
      <w:pPr>
        <w:spacing w:after="0" w:line="6" w:lineRule="exact"/>
        <w:rPr>
          <w:sz w:val="20"/>
          <w:szCs w:val="20"/>
          <w:color w:val="auto"/>
        </w:rPr>
      </w:pPr>
    </w:p>
    <w:p>
      <w:pPr>
        <w:spacing w:after="0"/>
        <w:tabs>
          <w:tab w:leader="none" w:pos="1460" w:val="left"/>
          <w:tab w:leader="dot" w:pos="6820" w:val="left"/>
        </w:tabs>
        <w:rPr>
          <w:sz w:val="20"/>
          <w:szCs w:val="20"/>
          <w:color w:val="auto"/>
        </w:rPr>
      </w:pPr>
      <w:r>
        <w:rPr>
          <w:rFonts w:ascii="Times New Roman" w:cs="Times New Roman" w:eastAsia="Times New Roman" w:hAnsi="Times New Roman"/>
          <w:sz w:val="20"/>
          <w:szCs w:val="20"/>
          <w:color w:val="auto"/>
        </w:rPr>
        <w:t>SECTION 1.08.</w:t>
        <w:tab/>
        <w:t>Divisions</w:t>
      </w:r>
      <w:r>
        <w:rPr>
          <w:sz w:val="20"/>
          <w:szCs w:val="20"/>
          <w:color w:val="auto"/>
        </w:rPr>
        <w:tab/>
      </w:r>
      <w:r>
        <w:rPr>
          <w:rFonts w:ascii="Times New Roman" w:cs="Times New Roman" w:eastAsia="Times New Roman" w:hAnsi="Times New Roman"/>
          <w:sz w:val="20"/>
          <w:szCs w:val="20"/>
          <w:color w:val="auto"/>
        </w:rPr>
        <w:t>75</w:t>
      </w:r>
    </w:p>
    <w:p>
      <w:pPr>
        <w:spacing w:after="0" w:line="20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0"/>
          <w:szCs w:val="20"/>
          <w:color w:val="auto"/>
        </w:rPr>
        <w:t>ARTICLE II</w:t>
      </w:r>
    </w:p>
    <w:p>
      <w:pPr>
        <w:spacing w:after="0" w:line="24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auto"/>
        </w:rPr>
        <w:t>The Credits</w:t>
      </w:r>
    </w:p>
    <w:p>
      <w:pPr>
        <w:spacing w:after="0" w:line="108" w:lineRule="exact"/>
        <w:rPr>
          <w:sz w:val="20"/>
          <w:szCs w:val="20"/>
          <w:color w:val="auto"/>
        </w:rPr>
      </w:pPr>
    </w:p>
    <w:p>
      <w:pPr>
        <w:spacing w:after="0"/>
        <w:tabs>
          <w:tab w:leader="none" w:pos="1460" w:val="left"/>
          <w:tab w:leader="dot" w:pos="6840" w:val="left"/>
        </w:tabs>
        <w:rPr>
          <w:sz w:val="20"/>
          <w:szCs w:val="20"/>
          <w:color w:val="auto"/>
        </w:rPr>
      </w:pPr>
      <w:r>
        <w:rPr>
          <w:rFonts w:ascii="Times New Roman" w:cs="Times New Roman" w:eastAsia="Times New Roman" w:hAnsi="Times New Roman"/>
          <w:sz w:val="20"/>
          <w:szCs w:val="20"/>
          <w:color w:val="auto"/>
        </w:rPr>
        <w:t>SECTION 2.01.</w:t>
        <w:tab/>
        <w:t>Loans and Borrowings</w:t>
      </w:r>
      <w:r>
        <w:rPr>
          <w:sz w:val="20"/>
          <w:szCs w:val="20"/>
          <w:color w:val="auto"/>
        </w:rPr>
        <w:tab/>
      </w:r>
      <w:r>
        <w:rPr>
          <w:rFonts w:ascii="Times New Roman" w:cs="Times New Roman" w:eastAsia="Times New Roman" w:hAnsi="Times New Roman"/>
          <w:sz w:val="18"/>
          <w:szCs w:val="18"/>
          <w:color w:val="auto"/>
        </w:rPr>
        <w:t>76</w:t>
      </w:r>
    </w:p>
    <w:p>
      <w:pPr>
        <w:spacing w:after="0" w:line="28" w:lineRule="exact"/>
        <w:rPr>
          <w:sz w:val="20"/>
          <w:szCs w:val="20"/>
          <w:color w:val="auto"/>
        </w:rPr>
      </w:pPr>
    </w:p>
    <w:p>
      <w:pPr>
        <w:spacing w:after="0"/>
        <w:tabs>
          <w:tab w:leader="none" w:pos="1460" w:val="left"/>
          <w:tab w:leader="dot" w:pos="6840" w:val="left"/>
        </w:tabs>
        <w:rPr>
          <w:sz w:val="20"/>
          <w:szCs w:val="20"/>
          <w:color w:val="auto"/>
        </w:rPr>
      </w:pPr>
      <w:r>
        <w:rPr>
          <w:rFonts w:ascii="Times New Roman" w:cs="Times New Roman" w:eastAsia="Times New Roman" w:hAnsi="Times New Roman"/>
          <w:sz w:val="20"/>
          <w:szCs w:val="20"/>
          <w:color w:val="auto"/>
        </w:rPr>
        <w:t>SECTION 2.02.</w:t>
        <w:tab/>
        <w:t>Requests for Borrowing</w:t>
      </w:r>
      <w:r>
        <w:rPr>
          <w:sz w:val="20"/>
          <w:szCs w:val="20"/>
          <w:color w:val="auto"/>
        </w:rPr>
        <w:tab/>
      </w:r>
      <w:r>
        <w:rPr>
          <w:rFonts w:ascii="Times New Roman" w:cs="Times New Roman" w:eastAsia="Times New Roman" w:hAnsi="Times New Roman"/>
          <w:sz w:val="18"/>
          <w:szCs w:val="18"/>
          <w:color w:val="auto"/>
        </w:rPr>
        <w:t>76</w:t>
      </w:r>
    </w:p>
    <w:p>
      <w:pPr>
        <w:spacing w:after="0" w:line="6" w:lineRule="exact"/>
        <w:rPr>
          <w:sz w:val="20"/>
          <w:szCs w:val="20"/>
          <w:color w:val="auto"/>
        </w:rPr>
      </w:pPr>
    </w:p>
    <w:p>
      <w:pPr>
        <w:spacing w:after="0"/>
        <w:tabs>
          <w:tab w:leader="none" w:pos="1460" w:val="left"/>
          <w:tab w:leader="dot" w:pos="6840" w:val="left"/>
        </w:tabs>
        <w:rPr>
          <w:sz w:val="20"/>
          <w:szCs w:val="20"/>
          <w:color w:val="auto"/>
        </w:rPr>
      </w:pPr>
      <w:r>
        <w:rPr>
          <w:rFonts w:ascii="Times New Roman" w:cs="Times New Roman" w:eastAsia="Times New Roman" w:hAnsi="Times New Roman"/>
          <w:sz w:val="20"/>
          <w:szCs w:val="20"/>
          <w:color w:val="auto"/>
        </w:rPr>
        <w:t>SECTION 2.03.</w:t>
        <w:tab/>
        <w:t>Letters of Credit</w:t>
      </w:r>
      <w:r>
        <w:rPr>
          <w:sz w:val="20"/>
          <w:szCs w:val="20"/>
          <w:color w:val="auto"/>
        </w:rPr>
        <w:tab/>
      </w:r>
      <w:r>
        <w:rPr>
          <w:rFonts w:ascii="Times New Roman" w:cs="Times New Roman" w:eastAsia="Times New Roman" w:hAnsi="Times New Roman"/>
          <w:sz w:val="18"/>
          <w:szCs w:val="18"/>
          <w:color w:val="auto"/>
        </w:rPr>
        <w:t>77</w:t>
      </w:r>
    </w:p>
    <w:p>
      <w:pPr>
        <w:spacing w:after="0" w:line="6" w:lineRule="exact"/>
        <w:rPr>
          <w:sz w:val="20"/>
          <w:szCs w:val="20"/>
          <w:color w:val="auto"/>
        </w:rPr>
      </w:pPr>
    </w:p>
    <w:p>
      <w:pPr>
        <w:spacing w:after="0"/>
        <w:tabs>
          <w:tab w:leader="none" w:pos="1460" w:val="left"/>
          <w:tab w:leader="dot" w:pos="6800" w:val="left"/>
        </w:tabs>
        <w:rPr>
          <w:sz w:val="20"/>
          <w:szCs w:val="20"/>
          <w:color w:val="auto"/>
        </w:rPr>
      </w:pPr>
      <w:r>
        <w:rPr>
          <w:rFonts w:ascii="Times New Roman" w:cs="Times New Roman" w:eastAsia="Times New Roman" w:hAnsi="Times New Roman"/>
          <w:sz w:val="20"/>
          <w:szCs w:val="20"/>
          <w:color w:val="auto"/>
        </w:rPr>
        <w:t>SECTION 2.04.</w:t>
        <w:tab/>
        <w:t>Swingline Loans</w:t>
      </w:r>
      <w:r>
        <w:rPr>
          <w:sz w:val="20"/>
          <w:szCs w:val="20"/>
          <w:color w:val="auto"/>
        </w:rPr>
        <w:tab/>
      </w:r>
      <w:r>
        <w:rPr>
          <w:rFonts w:ascii="Times New Roman" w:cs="Times New Roman" w:eastAsia="Times New Roman" w:hAnsi="Times New Roman"/>
          <w:sz w:val="20"/>
          <w:szCs w:val="20"/>
          <w:color w:val="auto"/>
        </w:rPr>
        <w:t>85</w:t>
      </w:r>
    </w:p>
    <w:p>
      <w:pPr>
        <w:spacing w:after="0" w:line="13" w:lineRule="exact"/>
        <w:rPr>
          <w:sz w:val="20"/>
          <w:szCs w:val="20"/>
          <w:color w:val="auto"/>
        </w:rPr>
      </w:pPr>
    </w:p>
    <w:p>
      <w:pPr>
        <w:spacing w:after="0"/>
        <w:tabs>
          <w:tab w:leader="none" w:pos="1460" w:val="left"/>
          <w:tab w:leader="dot" w:pos="6840" w:val="left"/>
        </w:tabs>
        <w:rPr>
          <w:sz w:val="20"/>
          <w:szCs w:val="20"/>
          <w:color w:val="auto"/>
        </w:rPr>
      </w:pPr>
      <w:r>
        <w:rPr>
          <w:rFonts w:ascii="Times New Roman" w:cs="Times New Roman" w:eastAsia="Times New Roman" w:hAnsi="Times New Roman"/>
          <w:sz w:val="20"/>
          <w:szCs w:val="20"/>
          <w:color w:val="auto"/>
        </w:rPr>
        <w:t>SECTION 2.05.</w:t>
        <w:tab/>
        <w:t>Funding of Borrowings</w:t>
      </w:r>
      <w:r>
        <w:rPr>
          <w:sz w:val="20"/>
          <w:szCs w:val="20"/>
          <w:color w:val="auto"/>
        </w:rPr>
        <w:tab/>
      </w:r>
      <w:r>
        <w:rPr>
          <w:rFonts w:ascii="Times New Roman" w:cs="Times New Roman" w:eastAsia="Times New Roman" w:hAnsi="Times New Roman"/>
          <w:sz w:val="20"/>
          <w:szCs w:val="20"/>
          <w:color w:val="auto"/>
        </w:rPr>
        <w:t>87</w:t>
      </w:r>
    </w:p>
    <w:p>
      <w:pPr>
        <w:spacing w:after="0" w:line="6" w:lineRule="exact"/>
        <w:rPr>
          <w:sz w:val="20"/>
          <w:szCs w:val="20"/>
          <w:color w:val="auto"/>
        </w:rPr>
      </w:pPr>
    </w:p>
    <w:p>
      <w:pPr>
        <w:spacing w:after="0"/>
        <w:tabs>
          <w:tab w:leader="none" w:pos="1460" w:val="left"/>
          <w:tab w:leader="dot" w:pos="6860" w:val="left"/>
        </w:tabs>
        <w:rPr>
          <w:sz w:val="20"/>
          <w:szCs w:val="20"/>
          <w:color w:val="auto"/>
        </w:rPr>
      </w:pPr>
      <w:r>
        <w:rPr>
          <w:rFonts w:ascii="Times New Roman" w:cs="Times New Roman" w:eastAsia="Times New Roman" w:hAnsi="Times New Roman"/>
          <w:sz w:val="20"/>
          <w:szCs w:val="20"/>
          <w:color w:val="auto"/>
        </w:rPr>
        <w:t>SECTION 2.06.</w:t>
        <w:tab/>
        <w:t>Interest Elections</w:t>
      </w:r>
      <w:r>
        <w:rPr>
          <w:sz w:val="20"/>
          <w:szCs w:val="20"/>
          <w:color w:val="auto"/>
        </w:rPr>
        <w:tab/>
      </w:r>
      <w:r>
        <w:rPr>
          <w:rFonts w:ascii="Times New Roman" w:cs="Times New Roman" w:eastAsia="Times New Roman" w:hAnsi="Times New Roman"/>
          <w:sz w:val="18"/>
          <w:szCs w:val="18"/>
          <w:color w:val="auto"/>
        </w:rPr>
        <w:t>87</w:t>
      </w:r>
    </w:p>
    <w:p>
      <w:pPr>
        <w:spacing w:after="0" w:line="6" w:lineRule="exact"/>
        <w:rPr>
          <w:sz w:val="20"/>
          <w:szCs w:val="20"/>
          <w:color w:val="auto"/>
        </w:rPr>
      </w:pPr>
    </w:p>
    <w:p>
      <w:pPr>
        <w:spacing w:after="0"/>
        <w:tabs>
          <w:tab w:leader="none" w:pos="1460" w:val="left"/>
          <w:tab w:leader="dot" w:pos="6800" w:val="left"/>
        </w:tabs>
        <w:rPr>
          <w:sz w:val="20"/>
          <w:szCs w:val="20"/>
          <w:color w:val="auto"/>
        </w:rPr>
      </w:pPr>
      <w:r>
        <w:rPr>
          <w:rFonts w:ascii="Times New Roman" w:cs="Times New Roman" w:eastAsia="Times New Roman" w:hAnsi="Times New Roman"/>
          <w:sz w:val="20"/>
          <w:szCs w:val="20"/>
          <w:color w:val="auto"/>
        </w:rPr>
        <w:t>SECTION 2.07.</w:t>
        <w:tab/>
        <w:t>Reductions of Commitments</w:t>
      </w:r>
      <w:r>
        <w:rPr>
          <w:sz w:val="20"/>
          <w:szCs w:val="20"/>
          <w:color w:val="auto"/>
        </w:rPr>
        <w:tab/>
      </w:r>
      <w:r>
        <w:rPr>
          <w:rFonts w:ascii="Times New Roman" w:cs="Times New Roman" w:eastAsia="Times New Roman" w:hAnsi="Times New Roman"/>
          <w:sz w:val="20"/>
          <w:szCs w:val="20"/>
          <w:color w:val="auto"/>
        </w:rPr>
        <w:t>89</w:t>
      </w:r>
    </w:p>
    <w:p>
      <w:pPr>
        <w:spacing w:after="0" w:line="6" w:lineRule="exact"/>
        <w:rPr>
          <w:sz w:val="20"/>
          <w:szCs w:val="20"/>
          <w:color w:val="auto"/>
        </w:rPr>
      </w:pPr>
    </w:p>
    <w:p>
      <w:pPr>
        <w:spacing w:after="0"/>
        <w:tabs>
          <w:tab w:leader="none" w:pos="1460" w:val="left"/>
          <w:tab w:leader="dot" w:pos="6820" w:val="left"/>
        </w:tabs>
        <w:rPr>
          <w:sz w:val="20"/>
          <w:szCs w:val="20"/>
          <w:color w:val="auto"/>
        </w:rPr>
      </w:pPr>
      <w:r>
        <w:rPr>
          <w:rFonts w:ascii="Times New Roman" w:cs="Times New Roman" w:eastAsia="Times New Roman" w:hAnsi="Times New Roman"/>
          <w:sz w:val="20"/>
          <w:szCs w:val="20"/>
          <w:color w:val="auto"/>
        </w:rPr>
        <w:t>SECTION 2.08.</w:t>
        <w:tab/>
        <w:t>Repayment of Loans; Evidence of Debt</w:t>
      </w:r>
      <w:r>
        <w:rPr>
          <w:sz w:val="20"/>
          <w:szCs w:val="20"/>
          <w:color w:val="auto"/>
        </w:rPr>
        <w:tab/>
      </w:r>
      <w:r>
        <w:rPr>
          <w:rFonts w:ascii="Times New Roman" w:cs="Times New Roman" w:eastAsia="Times New Roman" w:hAnsi="Times New Roman"/>
          <w:sz w:val="20"/>
          <w:szCs w:val="20"/>
          <w:color w:val="auto"/>
        </w:rPr>
        <w:t>89</w:t>
      </w:r>
    </w:p>
    <w:p>
      <w:pPr>
        <w:spacing w:after="0" w:line="6" w:lineRule="exact"/>
        <w:rPr>
          <w:sz w:val="20"/>
          <w:szCs w:val="20"/>
          <w:color w:val="auto"/>
        </w:rPr>
      </w:pPr>
    </w:p>
    <w:p>
      <w:pPr>
        <w:spacing w:after="0"/>
        <w:tabs>
          <w:tab w:leader="none" w:pos="1460" w:val="left"/>
          <w:tab w:leader="dot" w:pos="6820" w:val="left"/>
        </w:tabs>
        <w:rPr>
          <w:sz w:val="20"/>
          <w:szCs w:val="20"/>
          <w:color w:val="auto"/>
        </w:rPr>
      </w:pPr>
      <w:r>
        <w:rPr>
          <w:rFonts w:ascii="Times New Roman" w:cs="Times New Roman" w:eastAsia="Times New Roman" w:hAnsi="Times New Roman"/>
          <w:sz w:val="20"/>
          <w:szCs w:val="20"/>
          <w:color w:val="auto"/>
        </w:rPr>
        <w:t>SECTION 2.09.</w:t>
        <w:tab/>
        <w:t>Prepayment of Loans</w:t>
      </w:r>
      <w:r>
        <w:rPr>
          <w:sz w:val="20"/>
          <w:szCs w:val="20"/>
          <w:color w:val="auto"/>
        </w:rPr>
        <w:tab/>
      </w:r>
      <w:r>
        <w:rPr>
          <w:rFonts w:ascii="Times New Roman" w:cs="Times New Roman" w:eastAsia="Times New Roman" w:hAnsi="Times New Roman"/>
          <w:sz w:val="20"/>
          <w:szCs w:val="20"/>
          <w:color w:val="auto"/>
        </w:rPr>
        <w:t>90</w:t>
      </w:r>
    </w:p>
    <w:p>
      <w:pPr>
        <w:spacing w:after="0" w:line="6" w:lineRule="exact"/>
        <w:rPr>
          <w:sz w:val="20"/>
          <w:szCs w:val="20"/>
          <w:color w:val="auto"/>
        </w:rPr>
      </w:pPr>
    </w:p>
    <w:p>
      <w:pPr>
        <w:spacing w:after="0"/>
        <w:tabs>
          <w:tab w:leader="none" w:pos="1460" w:val="left"/>
          <w:tab w:leader="dot" w:pos="6820" w:val="left"/>
        </w:tabs>
        <w:rPr>
          <w:sz w:val="20"/>
          <w:szCs w:val="20"/>
          <w:color w:val="auto"/>
        </w:rPr>
      </w:pPr>
      <w:r>
        <w:rPr>
          <w:rFonts w:ascii="Times New Roman" w:cs="Times New Roman" w:eastAsia="Times New Roman" w:hAnsi="Times New Roman"/>
          <w:sz w:val="20"/>
          <w:szCs w:val="20"/>
          <w:color w:val="auto"/>
        </w:rPr>
        <w:t>SECTION 2.10.</w:t>
        <w:tab/>
        <w:t>Fees</w:t>
      </w:r>
      <w:r>
        <w:rPr>
          <w:sz w:val="20"/>
          <w:szCs w:val="20"/>
          <w:color w:val="auto"/>
        </w:rPr>
        <w:tab/>
      </w:r>
      <w:r>
        <w:rPr>
          <w:rFonts w:ascii="Times New Roman" w:cs="Times New Roman" w:eastAsia="Times New Roman" w:hAnsi="Times New Roman"/>
          <w:sz w:val="20"/>
          <w:szCs w:val="20"/>
          <w:color w:val="auto"/>
        </w:rPr>
        <w:t>91</w:t>
      </w:r>
    </w:p>
    <w:p>
      <w:pPr>
        <w:spacing w:after="0" w:line="6" w:lineRule="exact"/>
        <w:rPr>
          <w:sz w:val="20"/>
          <w:szCs w:val="20"/>
          <w:color w:val="auto"/>
        </w:rPr>
      </w:pPr>
    </w:p>
    <w:p>
      <w:pPr>
        <w:spacing w:after="0"/>
        <w:tabs>
          <w:tab w:leader="none" w:pos="1460" w:val="left"/>
          <w:tab w:leader="dot" w:pos="6800" w:val="left"/>
        </w:tabs>
        <w:rPr>
          <w:sz w:val="20"/>
          <w:szCs w:val="20"/>
          <w:color w:val="auto"/>
        </w:rPr>
      </w:pPr>
      <w:r>
        <w:rPr>
          <w:rFonts w:ascii="Times New Roman" w:cs="Times New Roman" w:eastAsia="Times New Roman" w:hAnsi="Times New Roman"/>
          <w:sz w:val="20"/>
          <w:szCs w:val="20"/>
          <w:color w:val="auto"/>
        </w:rPr>
        <w:t>SECTION 2.11.</w:t>
        <w:tab/>
        <w:t>Interest</w:t>
      </w:r>
      <w:r>
        <w:rPr>
          <w:sz w:val="20"/>
          <w:szCs w:val="20"/>
          <w:color w:val="auto"/>
        </w:rPr>
        <w:tab/>
      </w:r>
      <w:r>
        <w:rPr>
          <w:rFonts w:ascii="Times New Roman" w:cs="Times New Roman" w:eastAsia="Times New Roman" w:hAnsi="Times New Roman"/>
          <w:sz w:val="20"/>
          <w:szCs w:val="20"/>
          <w:color w:val="auto"/>
        </w:rPr>
        <w:t>93</w:t>
      </w:r>
    </w:p>
    <w:p>
      <w:pPr>
        <w:spacing w:after="0" w:line="13" w:lineRule="exact"/>
        <w:rPr>
          <w:sz w:val="20"/>
          <w:szCs w:val="20"/>
          <w:color w:val="auto"/>
        </w:rPr>
      </w:pPr>
    </w:p>
    <w:p>
      <w:pPr>
        <w:spacing w:after="0"/>
        <w:tabs>
          <w:tab w:leader="none" w:pos="1460" w:val="left"/>
          <w:tab w:leader="dot" w:pos="6820" w:val="left"/>
        </w:tabs>
        <w:rPr>
          <w:sz w:val="20"/>
          <w:szCs w:val="20"/>
          <w:color w:val="auto"/>
        </w:rPr>
      </w:pPr>
      <w:r>
        <w:rPr>
          <w:rFonts w:ascii="Times New Roman" w:cs="Times New Roman" w:eastAsia="Times New Roman" w:hAnsi="Times New Roman"/>
          <w:sz w:val="20"/>
          <w:szCs w:val="20"/>
          <w:color w:val="auto"/>
        </w:rPr>
        <w:t>SECTION 2.12.</w:t>
        <w:tab/>
        <w:t>Alternate Rate of Interest</w:t>
      </w:r>
      <w:r>
        <w:rPr>
          <w:sz w:val="20"/>
          <w:szCs w:val="20"/>
          <w:color w:val="auto"/>
        </w:rPr>
        <w:tab/>
      </w:r>
      <w:r>
        <w:rPr>
          <w:rFonts w:ascii="Times New Roman" w:cs="Times New Roman" w:eastAsia="Times New Roman" w:hAnsi="Times New Roman"/>
          <w:sz w:val="20"/>
          <w:szCs w:val="20"/>
          <w:color w:val="auto"/>
        </w:rPr>
        <w:t>93</w:t>
      </w:r>
    </w:p>
    <w:p>
      <w:pPr>
        <w:spacing w:after="0" w:line="6" w:lineRule="exact"/>
        <w:rPr>
          <w:sz w:val="20"/>
          <w:szCs w:val="20"/>
          <w:color w:val="auto"/>
        </w:rPr>
      </w:pPr>
    </w:p>
    <w:p>
      <w:pPr>
        <w:spacing w:after="0"/>
        <w:tabs>
          <w:tab w:leader="none" w:pos="1460" w:val="left"/>
          <w:tab w:leader="dot" w:pos="6820" w:val="left"/>
        </w:tabs>
        <w:rPr>
          <w:sz w:val="20"/>
          <w:szCs w:val="20"/>
          <w:color w:val="auto"/>
        </w:rPr>
      </w:pPr>
      <w:r>
        <w:rPr>
          <w:rFonts w:ascii="Times New Roman" w:cs="Times New Roman" w:eastAsia="Times New Roman" w:hAnsi="Times New Roman"/>
          <w:sz w:val="20"/>
          <w:szCs w:val="20"/>
          <w:color w:val="auto"/>
        </w:rPr>
        <w:t>SECTION 2.13.</w:t>
        <w:tab/>
        <w:t>Increased Costs</w:t>
      </w:r>
      <w:r>
        <w:rPr>
          <w:sz w:val="20"/>
          <w:szCs w:val="20"/>
          <w:color w:val="auto"/>
        </w:rPr>
        <w:tab/>
      </w:r>
      <w:r>
        <w:rPr>
          <w:rFonts w:ascii="Times New Roman" w:cs="Times New Roman" w:eastAsia="Times New Roman" w:hAnsi="Times New Roman"/>
          <w:sz w:val="20"/>
          <w:szCs w:val="20"/>
          <w:color w:val="auto"/>
        </w:rPr>
        <w:t>97</w:t>
      </w:r>
    </w:p>
    <w:p>
      <w:pPr>
        <w:spacing w:after="0" w:line="6" w:lineRule="exact"/>
        <w:rPr>
          <w:sz w:val="20"/>
          <w:szCs w:val="20"/>
          <w:color w:val="auto"/>
        </w:rPr>
      </w:pPr>
    </w:p>
    <w:p>
      <w:pPr>
        <w:spacing w:after="0"/>
        <w:tabs>
          <w:tab w:leader="none" w:pos="1460" w:val="left"/>
          <w:tab w:leader="dot" w:pos="6840" w:val="left"/>
        </w:tabs>
        <w:rPr>
          <w:sz w:val="20"/>
          <w:szCs w:val="20"/>
          <w:color w:val="auto"/>
        </w:rPr>
      </w:pPr>
      <w:r>
        <w:rPr>
          <w:rFonts w:ascii="Times New Roman" w:cs="Times New Roman" w:eastAsia="Times New Roman" w:hAnsi="Times New Roman"/>
          <w:sz w:val="20"/>
          <w:szCs w:val="20"/>
          <w:color w:val="auto"/>
        </w:rPr>
        <w:t>SECTION 2.14.</w:t>
        <w:tab/>
        <w:t>Break Funding Payments</w:t>
      </w:r>
      <w:r>
        <w:rPr>
          <w:sz w:val="20"/>
          <w:szCs w:val="20"/>
          <w:color w:val="auto"/>
        </w:rPr>
        <w:tab/>
      </w:r>
      <w:r>
        <w:rPr>
          <w:rFonts w:ascii="Times New Roman" w:cs="Times New Roman" w:eastAsia="Times New Roman" w:hAnsi="Times New Roman"/>
          <w:sz w:val="18"/>
          <w:szCs w:val="18"/>
          <w:color w:val="auto"/>
        </w:rPr>
        <w:t>98</w:t>
      </w:r>
    </w:p>
    <w:p>
      <w:pPr>
        <w:spacing w:after="0" w:line="6" w:lineRule="exact"/>
        <w:rPr>
          <w:sz w:val="20"/>
          <w:szCs w:val="20"/>
          <w:color w:val="auto"/>
        </w:rPr>
      </w:pPr>
    </w:p>
    <w:p>
      <w:pPr>
        <w:spacing w:after="0"/>
        <w:tabs>
          <w:tab w:leader="none" w:pos="1460" w:val="left"/>
          <w:tab w:leader="dot" w:pos="6820" w:val="left"/>
        </w:tabs>
        <w:rPr>
          <w:sz w:val="20"/>
          <w:szCs w:val="20"/>
          <w:color w:val="auto"/>
        </w:rPr>
      </w:pPr>
      <w:r>
        <w:rPr>
          <w:rFonts w:ascii="Times New Roman" w:cs="Times New Roman" w:eastAsia="Times New Roman" w:hAnsi="Times New Roman"/>
          <w:sz w:val="20"/>
          <w:szCs w:val="20"/>
          <w:color w:val="auto"/>
        </w:rPr>
        <w:t>SECTION 2.15.</w:t>
        <w:tab/>
        <w:t>Taxes</w:t>
      </w:r>
      <w:r>
        <w:rPr>
          <w:sz w:val="20"/>
          <w:szCs w:val="20"/>
          <w:color w:val="auto"/>
        </w:rPr>
        <w:tab/>
      </w:r>
      <w:r>
        <w:rPr>
          <w:rFonts w:ascii="Times New Roman" w:cs="Times New Roman" w:eastAsia="Times New Roman" w:hAnsi="Times New Roman"/>
          <w:sz w:val="20"/>
          <w:szCs w:val="20"/>
          <w:color w:val="auto"/>
        </w:rPr>
        <w:t>99</w:t>
      </w:r>
    </w:p>
    <w:p>
      <w:pPr>
        <w:spacing w:after="0" w:line="6" w:lineRule="exact"/>
        <w:rPr>
          <w:sz w:val="20"/>
          <w:szCs w:val="20"/>
          <w:color w:val="auto"/>
        </w:rPr>
      </w:pPr>
    </w:p>
    <w:p>
      <w:pPr>
        <w:spacing w:after="0"/>
        <w:tabs>
          <w:tab w:leader="none" w:pos="1460" w:val="left"/>
          <w:tab w:leader="dot" w:pos="6700" w:val="left"/>
        </w:tabs>
        <w:rPr>
          <w:sz w:val="20"/>
          <w:szCs w:val="20"/>
          <w:color w:val="auto"/>
        </w:rPr>
      </w:pPr>
      <w:r>
        <w:rPr>
          <w:rFonts w:ascii="Times New Roman" w:cs="Times New Roman" w:eastAsia="Times New Roman" w:hAnsi="Times New Roman"/>
          <w:sz w:val="20"/>
          <w:szCs w:val="20"/>
          <w:color w:val="auto"/>
        </w:rPr>
        <w:t>SECTION 2.16.</w:t>
        <w:tab/>
        <w:t>Payments Generally; Pro Rata Treatment; Sharing of Setoffs</w:t>
      </w:r>
      <w:r>
        <w:rPr>
          <w:sz w:val="20"/>
          <w:szCs w:val="20"/>
          <w:color w:val="auto"/>
        </w:rPr>
        <w:tab/>
      </w:r>
      <w:r>
        <w:rPr>
          <w:rFonts w:ascii="Times New Roman" w:cs="Times New Roman" w:eastAsia="Times New Roman" w:hAnsi="Times New Roman"/>
          <w:sz w:val="20"/>
          <w:szCs w:val="20"/>
          <w:color w:val="auto"/>
        </w:rPr>
        <w:t>101</w:t>
      </w:r>
    </w:p>
    <w:p>
      <w:pPr>
        <w:spacing w:after="0" w:line="13" w:lineRule="exact"/>
        <w:rPr>
          <w:sz w:val="20"/>
          <w:szCs w:val="20"/>
          <w:color w:val="auto"/>
        </w:rPr>
      </w:pPr>
    </w:p>
    <w:p>
      <w:pPr>
        <w:spacing w:after="0"/>
        <w:tabs>
          <w:tab w:leader="none" w:pos="1460" w:val="left"/>
          <w:tab w:leader="dot" w:pos="6740" w:val="left"/>
        </w:tabs>
        <w:rPr>
          <w:sz w:val="20"/>
          <w:szCs w:val="20"/>
          <w:color w:val="auto"/>
        </w:rPr>
      </w:pPr>
      <w:r>
        <w:rPr>
          <w:rFonts w:ascii="Times New Roman" w:cs="Times New Roman" w:eastAsia="Times New Roman" w:hAnsi="Times New Roman"/>
          <w:sz w:val="20"/>
          <w:szCs w:val="20"/>
          <w:color w:val="auto"/>
        </w:rPr>
        <w:t>SECTION 2.17.</w:t>
        <w:tab/>
        <w:t>Mitigation Obligations; Replacement of Lenders</w:t>
      </w:r>
      <w:r>
        <w:rPr>
          <w:sz w:val="20"/>
          <w:szCs w:val="20"/>
          <w:color w:val="auto"/>
        </w:rPr>
        <w:tab/>
      </w:r>
      <w:r>
        <w:rPr>
          <w:rFonts w:ascii="Times New Roman" w:cs="Times New Roman" w:eastAsia="Times New Roman" w:hAnsi="Times New Roman"/>
          <w:sz w:val="20"/>
          <w:szCs w:val="20"/>
          <w:color w:val="auto"/>
        </w:rPr>
        <w:t>103</w:t>
      </w:r>
    </w:p>
    <w:p>
      <w:pPr>
        <w:spacing w:after="0" w:line="6" w:lineRule="exact"/>
        <w:rPr>
          <w:sz w:val="20"/>
          <w:szCs w:val="20"/>
          <w:color w:val="auto"/>
        </w:rPr>
      </w:pPr>
    </w:p>
    <w:p>
      <w:pPr>
        <w:spacing w:after="0"/>
        <w:tabs>
          <w:tab w:leader="none" w:pos="1460" w:val="left"/>
          <w:tab w:leader="dot" w:pos="6700" w:val="left"/>
        </w:tabs>
        <w:rPr>
          <w:sz w:val="20"/>
          <w:szCs w:val="20"/>
          <w:color w:val="auto"/>
        </w:rPr>
      </w:pPr>
      <w:r>
        <w:rPr>
          <w:rFonts w:ascii="Times New Roman" w:cs="Times New Roman" w:eastAsia="Times New Roman" w:hAnsi="Times New Roman"/>
          <w:sz w:val="20"/>
          <w:szCs w:val="20"/>
          <w:color w:val="auto"/>
        </w:rPr>
        <w:t>SECTION 2.18.</w:t>
        <w:tab/>
        <w:t>Defaulting Lenders</w:t>
      </w:r>
      <w:r>
        <w:rPr>
          <w:sz w:val="20"/>
          <w:szCs w:val="20"/>
          <w:color w:val="auto"/>
        </w:rPr>
        <w:tab/>
      </w:r>
      <w:r>
        <w:rPr>
          <w:rFonts w:ascii="Times New Roman" w:cs="Times New Roman" w:eastAsia="Times New Roman" w:hAnsi="Times New Roman"/>
          <w:sz w:val="20"/>
          <w:szCs w:val="20"/>
          <w:color w:val="auto"/>
        </w:rPr>
        <w:t>104</w:t>
      </w:r>
    </w:p>
    <w:p>
      <w:pPr>
        <w:spacing w:after="0" w:line="6" w:lineRule="exact"/>
        <w:rPr>
          <w:sz w:val="20"/>
          <w:szCs w:val="20"/>
          <w:color w:val="auto"/>
        </w:rPr>
      </w:pPr>
    </w:p>
    <w:p>
      <w:pPr>
        <w:spacing w:after="0"/>
        <w:tabs>
          <w:tab w:leader="none" w:pos="1460" w:val="left"/>
          <w:tab w:leader="dot" w:pos="6740" w:val="left"/>
        </w:tabs>
        <w:rPr>
          <w:sz w:val="20"/>
          <w:szCs w:val="20"/>
          <w:color w:val="auto"/>
        </w:rPr>
      </w:pPr>
      <w:r>
        <w:rPr>
          <w:rFonts w:ascii="Times New Roman" w:cs="Times New Roman" w:eastAsia="Times New Roman" w:hAnsi="Times New Roman"/>
          <w:sz w:val="20"/>
          <w:szCs w:val="20"/>
          <w:color w:val="auto"/>
        </w:rPr>
        <w:t>SECTION 2.19.</w:t>
        <w:tab/>
        <w:t>Extension Requests</w:t>
      </w:r>
      <w:r>
        <w:rPr>
          <w:sz w:val="20"/>
          <w:szCs w:val="20"/>
          <w:color w:val="auto"/>
        </w:rPr>
        <w:tab/>
      </w:r>
      <w:r>
        <w:rPr>
          <w:rFonts w:ascii="Times New Roman" w:cs="Times New Roman" w:eastAsia="Times New Roman" w:hAnsi="Times New Roman"/>
          <w:sz w:val="18"/>
          <w:szCs w:val="18"/>
          <w:color w:val="auto"/>
        </w:rPr>
        <w:t>107</w:t>
      </w:r>
    </w:p>
    <w:p>
      <w:pPr>
        <w:spacing w:after="0" w:line="6" w:lineRule="exact"/>
        <w:rPr>
          <w:sz w:val="20"/>
          <w:szCs w:val="20"/>
          <w:color w:val="auto"/>
        </w:rPr>
      </w:pPr>
    </w:p>
    <w:p>
      <w:pPr>
        <w:spacing w:after="0"/>
        <w:tabs>
          <w:tab w:leader="none" w:pos="1460" w:val="left"/>
          <w:tab w:leader="dot" w:pos="6700" w:val="left"/>
        </w:tabs>
        <w:rPr>
          <w:sz w:val="20"/>
          <w:szCs w:val="20"/>
          <w:color w:val="auto"/>
        </w:rPr>
      </w:pPr>
      <w:r>
        <w:rPr>
          <w:rFonts w:ascii="Times New Roman" w:cs="Times New Roman" w:eastAsia="Times New Roman" w:hAnsi="Times New Roman"/>
          <w:sz w:val="20"/>
          <w:szCs w:val="20"/>
          <w:color w:val="auto"/>
        </w:rPr>
        <w:t>SECTION 2.20.</w:t>
        <w:tab/>
        <w:t>Commitment Increases</w:t>
      </w:r>
      <w:r>
        <w:rPr>
          <w:sz w:val="20"/>
          <w:szCs w:val="20"/>
          <w:color w:val="auto"/>
        </w:rPr>
        <w:tab/>
      </w:r>
      <w:r>
        <w:rPr>
          <w:rFonts w:ascii="Times New Roman" w:cs="Times New Roman" w:eastAsia="Times New Roman" w:hAnsi="Times New Roman"/>
          <w:sz w:val="20"/>
          <w:szCs w:val="20"/>
          <w:color w:val="auto"/>
        </w:rPr>
        <w:t>108</w:t>
      </w:r>
    </w:p>
    <w:p>
      <w:pPr>
        <w:spacing w:after="0" w:line="20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ARTICLE III</w:t>
      </w:r>
    </w:p>
    <w:p>
      <w:pPr>
        <w:spacing w:after="0" w:line="24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Representations and Warranties</w:t>
      </w:r>
    </w:p>
    <w:p>
      <w:pPr>
        <w:spacing w:after="0" w:line="108" w:lineRule="exact"/>
        <w:rPr>
          <w:sz w:val="20"/>
          <w:szCs w:val="20"/>
          <w:color w:val="auto"/>
        </w:rPr>
      </w:pPr>
    </w:p>
    <w:p>
      <w:pPr>
        <w:spacing w:after="0"/>
        <w:tabs>
          <w:tab w:leader="none" w:pos="1460" w:val="left"/>
          <w:tab w:leader="dot" w:pos="6740" w:val="left"/>
        </w:tabs>
        <w:rPr>
          <w:sz w:val="20"/>
          <w:szCs w:val="20"/>
          <w:color w:val="auto"/>
        </w:rPr>
      </w:pPr>
      <w:r>
        <w:rPr>
          <w:rFonts w:ascii="Times New Roman" w:cs="Times New Roman" w:eastAsia="Times New Roman" w:hAnsi="Times New Roman"/>
          <w:sz w:val="20"/>
          <w:szCs w:val="20"/>
          <w:color w:val="auto"/>
        </w:rPr>
        <w:t>SECTION 3.01.</w:t>
        <w:tab/>
        <w:t>Organization; Powers</w:t>
      </w:r>
      <w:r>
        <w:rPr>
          <w:sz w:val="20"/>
          <w:szCs w:val="20"/>
          <w:color w:val="auto"/>
        </w:rPr>
        <w:tab/>
      </w:r>
      <w:r>
        <w:rPr>
          <w:rFonts w:ascii="Times New Roman" w:cs="Times New Roman" w:eastAsia="Times New Roman" w:hAnsi="Times New Roman"/>
          <w:sz w:val="20"/>
          <w:szCs w:val="20"/>
          <w:color w:val="auto"/>
        </w:rPr>
        <w:t>109</w:t>
      </w:r>
    </w:p>
    <w:p>
      <w:pPr>
        <w:spacing w:after="0" w:line="28" w:lineRule="exact"/>
        <w:rPr>
          <w:sz w:val="20"/>
          <w:szCs w:val="20"/>
          <w:color w:val="auto"/>
        </w:rPr>
      </w:pPr>
    </w:p>
    <w:p>
      <w:pPr>
        <w:spacing w:after="0"/>
        <w:tabs>
          <w:tab w:leader="none" w:pos="1460" w:val="left"/>
          <w:tab w:leader="dot" w:pos="6700" w:val="left"/>
        </w:tabs>
        <w:rPr>
          <w:sz w:val="20"/>
          <w:szCs w:val="20"/>
          <w:color w:val="auto"/>
        </w:rPr>
      </w:pPr>
      <w:r>
        <w:rPr>
          <w:rFonts w:ascii="Times New Roman" w:cs="Times New Roman" w:eastAsia="Times New Roman" w:hAnsi="Times New Roman"/>
          <w:sz w:val="20"/>
          <w:szCs w:val="20"/>
          <w:color w:val="auto"/>
        </w:rPr>
        <w:t>SECTION 3.02.</w:t>
        <w:tab/>
        <w:t>Authorization; Enforceability</w:t>
      </w:r>
      <w:r>
        <w:rPr>
          <w:sz w:val="20"/>
          <w:szCs w:val="20"/>
          <w:color w:val="auto"/>
        </w:rPr>
        <w:tab/>
      </w:r>
      <w:r>
        <w:rPr>
          <w:rFonts w:ascii="Times New Roman" w:cs="Times New Roman" w:eastAsia="Times New Roman" w:hAnsi="Times New Roman"/>
          <w:sz w:val="20"/>
          <w:szCs w:val="20"/>
          <w:color w:val="auto"/>
        </w:rPr>
        <w:t>109</w:t>
      </w:r>
    </w:p>
    <w:p>
      <w:pPr>
        <w:spacing w:after="0" w:line="6" w:lineRule="exact"/>
        <w:rPr>
          <w:sz w:val="20"/>
          <w:szCs w:val="20"/>
          <w:color w:val="auto"/>
        </w:rPr>
      </w:pPr>
    </w:p>
    <w:p>
      <w:pPr>
        <w:spacing w:after="0"/>
        <w:tabs>
          <w:tab w:leader="none" w:pos="1460" w:val="left"/>
          <w:tab w:leader="dot" w:pos="6720" w:val="left"/>
        </w:tabs>
        <w:rPr>
          <w:sz w:val="20"/>
          <w:szCs w:val="20"/>
          <w:color w:val="auto"/>
        </w:rPr>
      </w:pPr>
      <w:r>
        <w:rPr>
          <w:rFonts w:ascii="Times New Roman" w:cs="Times New Roman" w:eastAsia="Times New Roman" w:hAnsi="Times New Roman"/>
          <w:sz w:val="20"/>
          <w:szCs w:val="20"/>
          <w:color w:val="auto"/>
        </w:rPr>
        <w:t>SECTION 3.03.</w:t>
        <w:tab/>
        <w:t>Governmental Approvals; No Conflicts</w:t>
      </w:r>
      <w:r>
        <w:rPr>
          <w:sz w:val="20"/>
          <w:szCs w:val="20"/>
          <w:color w:val="auto"/>
        </w:rPr>
        <w:tab/>
      </w:r>
      <w:r>
        <w:rPr>
          <w:rFonts w:ascii="Times New Roman" w:cs="Times New Roman" w:eastAsia="Times New Roman" w:hAnsi="Times New Roman"/>
          <w:sz w:val="20"/>
          <w:szCs w:val="20"/>
          <w:color w:val="auto"/>
        </w:rPr>
        <w:t>109</w:t>
      </w:r>
    </w:p>
    <w:p>
      <w:pPr>
        <w:spacing w:after="0" w:line="6" w:lineRule="exact"/>
        <w:rPr>
          <w:sz w:val="20"/>
          <w:szCs w:val="20"/>
          <w:color w:val="auto"/>
        </w:rPr>
      </w:pPr>
    </w:p>
    <w:p>
      <w:pPr>
        <w:spacing w:after="0"/>
        <w:tabs>
          <w:tab w:leader="none" w:pos="1460" w:val="left"/>
          <w:tab w:leader="dot" w:pos="6740" w:val="left"/>
        </w:tabs>
        <w:rPr>
          <w:sz w:val="20"/>
          <w:szCs w:val="20"/>
          <w:color w:val="auto"/>
        </w:rPr>
      </w:pPr>
      <w:r>
        <w:rPr>
          <w:rFonts w:ascii="Times New Roman" w:cs="Times New Roman" w:eastAsia="Times New Roman" w:hAnsi="Times New Roman"/>
          <w:sz w:val="20"/>
          <w:szCs w:val="20"/>
          <w:color w:val="auto"/>
        </w:rPr>
        <w:t>SECTION 3.04.</w:t>
        <w:tab/>
        <w:t>Financial Statements; No Material Adverse Change</w:t>
      </w:r>
      <w:r>
        <w:rPr>
          <w:sz w:val="20"/>
          <w:szCs w:val="20"/>
          <w:color w:val="auto"/>
        </w:rPr>
        <w:tab/>
      </w:r>
      <w:r>
        <w:rPr>
          <w:rFonts w:ascii="Times New Roman" w:cs="Times New Roman" w:eastAsia="Times New Roman" w:hAnsi="Times New Roman"/>
          <w:sz w:val="18"/>
          <w:szCs w:val="18"/>
          <w:color w:val="auto"/>
        </w:rPr>
        <w:t>110</w:t>
      </w:r>
    </w:p>
    <w:p>
      <w:pPr>
        <w:spacing w:after="0" w:line="13" w:lineRule="exact"/>
        <w:rPr>
          <w:sz w:val="20"/>
          <w:szCs w:val="20"/>
          <w:color w:val="auto"/>
        </w:rPr>
      </w:pPr>
    </w:p>
    <w:p>
      <w:pPr>
        <w:spacing w:after="0"/>
        <w:tabs>
          <w:tab w:leader="none" w:pos="1460" w:val="left"/>
          <w:tab w:leader="dot" w:pos="6740" w:val="left"/>
        </w:tabs>
        <w:rPr>
          <w:sz w:val="20"/>
          <w:szCs w:val="20"/>
          <w:color w:val="auto"/>
        </w:rPr>
      </w:pPr>
      <w:r>
        <w:rPr>
          <w:rFonts w:ascii="Times New Roman" w:cs="Times New Roman" w:eastAsia="Times New Roman" w:hAnsi="Times New Roman"/>
          <w:sz w:val="20"/>
          <w:szCs w:val="20"/>
          <w:color w:val="auto"/>
        </w:rPr>
        <w:t>SECTION 3.05.</w:t>
        <w:tab/>
        <w:t>Litigation and Environmental Matters</w:t>
      </w:r>
      <w:r>
        <w:rPr>
          <w:sz w:val="20"/>
          <w:szCs w:val="20"/>
          <w:color w:val="auto"/>
        </w:rPr>
        <w:tab/>
      </w:r>
      <w:r>
        <w:rPr>
          <w:rFonts w:ascii="Times New Roman" w:cs="Times New Roman" w:eastAsia="Times New Roman" w:hAnsi="Times New Roman"/>
          <w:sz w:val="18"/>
          <w:szCs w:val="18"/>
          <w:color w:val="auto"/>
        </w:rPr>
        <w:t>110</w:t>
      </w:r>
    </w:p>
    <w:p>
      <w:pPr>
        <w:spacing w:after="0" w:line="6" w:lineRule="exact"/>
        <w:rPr>
          <w:sz w:val="20"/>
          <w:szCs w:val="20"/>
          <w:color w:val="auto"/>
        </w:rPr>
      </w:pPr>
    </w:p>
    <w:p>
      <w:pPr>
        <w:spacing w:after="0"/>
        <w:tabs>
          <w:tab w:leader="none" w:pos="1460" w:val="left"/>
          <w:tab w:leader="dot" w:pos="6720" w:val="left"/>
        </w:tabs>
        <w:rPr>
          <w:sz w:val="20"/>
          <w:szCs w:val="20"/>
          <w:color w:val="auto"/>
        </w:rPr>
      </w:pPr>
      <w:r>
        <w:rPr>
          <w:rFonts w:ascii="Times New Roman" w:cs="Times New Roman" w:eastAsia="Times New Roman" w:hAnsi="Times New Roman"/>
          <w:sz w:val="20"/>
          <w:szCs w:val="20"/>
          <w:color w:val="auto"/>
        </w:rPr>
        <w:t>SECTION 3.06.</w:t>
        <w:tab/>
        <w:t>Compliance with Laws and Agreements</w:t>
      </w:r>
      <w:r>
        <w:rPr>
          <w:sz w:val="20"/>
          <w:szCs w:val="20"/>
          <w:color w:val="auto"/>
        </w:rPr>
        <w:tab/>
      </w:r>
      <w:r>
        <w:rPr>
          <w:rFonts w:ascii="Times New Roman" w:cs="Times New Roman" w:eastAsia="Times New Roman" w:hAnsi="Times New Roman"/>
          <w:sz w:val="18"/>
          <w:szCs w:val="18"/>
          <w:color w:val="auto"/>
        </w:rPr>
        <w:t>111</w:t>
      </w:r>
    </w:p>
    <w:p>
      <w:pPr>
        <w:spacing w:after="0" w:line="6" w:lineRule="exact"/>
        <w:rPr>
          <w:sz w:val="20"/>
          <w:szCs w:val="20"/>
          <w:color w:val="auto"/>
        </w:rPr>
      </w:pPr>
    </w:p>
    <w:p>
      <w:pPr>
        <w:spacing w:after="0"/>
        <w:tabs>
          <w:tab w:leader="none" w:pos="1460" w:val="left"/>
          <w:tab w:leader="dot" w:pos="6720" w:val="left"/>
        </w:tabs>
        <w:rPr>
          <w:sz w:val="20"/>
          <w:szCs w:val="20"/>
          <w:color w:val="auto"/>
        </w:rPr>
      </w:pPr>
      <w:r>
        <w:rPr>
          <w:rFonts w:ascii="Times New Roman" w:cs="Times New Roman" w:eastAsia="Times New Roman" w:hAnsi="Times New Roman"/>
          <w:sz w:val="20"/>
          <w:szCs w:val="20"/>
          <w:color w:val="auto"/>
        </w:rPr>
        <w:t>SECTION 3.07.</w:t>
        <w:tab/>
        <w:t>Investment Company Status</w:t>
      </w:r>
      <w:r>
        <w:rPr>
          <w:sz w:val="20"/>
          <w:szCs w:val="20"/>
          <w:color w:val="auto"/>
        </w:rPr>
        <w:tab/>
      </w:r>
      <w:r>
        <w:rPr>
          <w:rFonts w:ascii="Times New Roman" w:cs="Times New Roman" w:eastAsia="Times New Roman" w:hAnsi="Times New Roman"/>
          <w:sz w:val="18"/>
          <w:szCs w:val="18"/>
          <w:color w:val="auto"/>
        </w:rPr>
        <w:t>111</w:t>
      </w:r>
    </w:p>
    <w:p>
      <w:pPr>
        <w:spacing w:after="0" w:line="6" w:lineRule="exact"/>
        <w:rPr>
          <w:sz w:val="20"/>
          <w:szCs w:val="20"/>
          <w:color w:val="auto"/>
        </w:rPr>
      </w:pPr>
    </w:p>
    <w:p>
      <w:pPr>
        <w:spacing w:after="0"/>
        <w:tabs>
          <w:tab w:leader="none" w:pos="1460" w:val="left"/>
          <w:tab w:leader="dot" w:pos="6740" w:val="left"/>
        </w:tabs>
        <w:rPr>
          <w:sz w:val="20"/>
          <w:szCs w:val="20"/>
          <w:color w:val="auto"/>
        </w:rPr>
      </w:pPr>
      <w:r>
        <w:rPr>
          <w:rFonts w:ascii="Times New Roman" w:cs="Times New Roman" w:eastAsia="Times New Roman" w:hAnsi="Times New Roman"/>
          <w:sz w:val="20"/>
          <w:szCs w:val="20"/>
          <w:color w:val="auto"/>
        </w:rPr>
        <w:t>SECTION 3.08.</w:t>
        <w:tab/>
        <w:t>ERISA and Canadian Pension Plans</w:t>
      </w:r>
      <w:r>
        <w:rPr>
          <w:sz w:val="20"/>
          <w:szCs w:val="20"/>
          <w:color w:val="auto"/>
        </w:rPr>
        <w:tab/>
      </w:r>
      <w:r>
        <w:rPr>
          <w:rFonts w:ascii="Times New Roman" w:cs="Times New Roman" w:eastAsia="Times New Roman" w:hAnsi="Times New Roman"/>
          <w:sz w:val="20"/>
          <w:szCs w:val="20"/>
          <w:color w:val="auto"/>
        </w:rPr>
        <w:t>111</w:t>
      </w:r>
    </w:p>
    <w:p>
      <w:pPr>
        <w:spacing w:after="0" w:line="6" w:lineRule="exact"/>
        <w:rPr>
          <w:sz w:val="20"/>
          <w:szCs w:val="20"/>
          <w:color w:val="auto"/>
        </w:rPr>
      </w:pPr>
    </w:p>
    <w:p>
      <w:pPr>
        <w:spacing w:after="0"/>
        <w:tabs>
          <w:tab w:leader="none" w:pos="1460" w:val="left"/>
          <w:tab w:leader="dot" w:pos="6720" w:val="left"/>
        </w:tabs>
        <w:rPr>
          <w:sz w:val="20"/>
          <w:szCs w:val="20"/>
          <w:color w:val="auto"/>
        </w:rPr>
      </w:pPr>
      <w:r>
        <w:rPr>
          <w:rFonts w:ascii="Times New Roman" w:cs="Times New Roman" w:eastAsia="Times New Roman" w:hAnsi="Times New Roman"/>
          <w:sz w:val="20"/>
          <w:szCs w:val="20"/>
          <w:color w:val="auto"/>
        </w:rPr>
        <w:t>SECTION 3.09.</w:t>
        <w:tab/>
        <w:t>Disclosure</w:t>
      </w:r>
      <w:r>
        <w:rPr>
          <w:sz w:val="20"/>
          <w:szCs w:val="20"/>
          <w:color w:val="auto"/>
        </w:rPr>
        <w:tab/>
      </w:r>
      <w:r>
        <w:rPr>
          <w:rFonts w:ascii="Times New Roman" w:cs="Times New Roman" w:eastAsia="Times New Roman" w:hAnsi="Times New Roman"/>
          <w:sz w:val="18"/>
          <w:szCs w:val="18"/>
          <w:color w:val="auto"/>
        </w:rPr>
        <w:t>111</w:t>
      </w:r>
    </w:p>
    <w:p>
      <w:pPr>
        <w:spacing w:after="0" w:line="13" w:lineRule="exact"/>
        <w:rPr>
          <w:sz w:val="20"/>
          <w:szCs w:val="20"/>
          <w:color w:val="auto"/>
        </w:rPr>
      </w:pPr>
    </w:p>
    <w:p>
      <w:pPr>
        <w:spacing w:after="0"/>
        <w:tabs>
          <w:tab w:leader="none" w:pos="1460" w:val="left"/>
          <w:tab w:leader="dot" w:pos="6760" w:val="left"/>
        </w:tabs>
        <w:rPr>
          <w:sz w:val="20"/>
          <w:szCs w:val="20"/>
          <w:color w:val="auto"/>
        </w:rPr>
      </w:pPr>
      <w:r>
        <w:rPr>
          <w:rFonts w:ascii="Times New Roman" w:cs="Times New Roman" w:eastAsia="Times New Roman" w:hAnsi="Times New Roman"/>
          <w:sz w:val="20"/>
          <w:szCs w:val="20"/>
          <w:color w:val="auto"/>
        </w:rPr>
        <w:t>SECTION 3.10.</w:t>
        <w:tab/>
        <w:t>Security Interests</w:t>
      </w:r>
      <w:r>
        <w:rPr>
          <w:sz w:val="20"/>
          <w:szCs w:val="20"/>
          <w:color w:val="auto"/>
        </w:rPr>
        <w:tab/>
      </w:r>
      <w:r>
        <w:rPr>
          <w:rFonts w:ascii="Times New Roman" w:cs="Times New Roman" w:eastAsia="Times New Roman" w:hAnsi="Times New Roman"/>
          <w:sz w:val="18"/>
          <w:szCs w:val="18"/>
          <w:color w:val="auto"/>
        </w:rPr>
        <w:t>112</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[[6773422v.21]]</w:t>
      </w:r>
    </w:p>
    <w:p>
      <w:pPr>
        <w:sectPr>
          <w:pgSz w:w="11900" w:h="16838" w:orient="portrait"/>
          <w:cols w:equalWidth="0" w:num="1">
            <w:col w:w="11240"/>
          </w:cols>
          <w:pgMar w:left="320" w:top="1440" w:right="339" w:bottom="1440" w:gutter="0" w:footer="0" w:header="0"/>
          <w:type w:val="continuous"/>
        </w:sectPr>
      </w:pPr>
    </w:p>
    <w:bookmarkStart w:id="194" w:name="page195"/>
    <w:bookmarkEnd w:id="194"/>
    <w:p>
      <w:pPr>
        <w:spacing w:after="0"/>
        <w:tabs>
          <w:tab w:leader="none" w:pos="1460" w:val="left"/>
          <w:tab w:leader="dot" w:pos="6720" w:val="left"/>
        </w:tabs>
        <w:rPr>
          <w:sz w:val="20"/>
          <w:szCs w:val="20"/>
          <w:color w:val="auto"/>
        </w:rPr>
      </w:pPr>
      <w:r>
        <w:rPr>
          <w:rFonts w:ascii="Times New Roman" w:cs="Times New Roman" w:eastAsia="Times New Roman" w:hAnsi="Times New Roman"/>
          <w:sz w:val="20"/>
          <w:szCs w:val="20"/>
          <w:color w:val="auto"/>
        </w:rPr>
        <w:t>SECTION 3.11.</w:t>
        <w:tab/>
        <w:t>Use of Proceeds and Letters of Credit</w:t>
      </w:r>
      <w:r>
        <w:rPr>
          <w:sz w:val="20"/>
          <w:szCs w:val="20"/>
          <w:color w:val="auto"/>
        </w:rPr>
        <w:tab/>
      </w:r>
      <w:r>
        <w:rPr>
          <w:rFonts w:ascii="Times New Roman" w:cs="Times New Roman" w:eastAsia="Times New Roman" w:hAnsi="Times New Roman"/>
          <w:sz w:val="18"/>
          <w:szCs w:val="18"/>
          <w:color w:val="auto"/>
        </w:rPr>
        <w:t>113</w:t>
      </w:r>
    </w:p>
    <w:p>
      <w:pPr>
        <w:spacing w:after="0" w:line="28" w:lineRule="exact"/>
        <w:rPr>
          <w:sz w:val="20"/>
          <w:szCs w:val="20"/>
          <w:color w:val="auto"/>
        </w:rPr>
      </w:pPr>
    </w:p>
    <w:p>
      <w:pPr>
        <w:spacing w:after="0"/>
        <w:tabs>
          <w:tab w:leader="none" w:pos="1460" w:val="left"/>
          <w:tab w:leader="dot" w:pos="6700" w:val="left"/>
        </w:tabs>
        <w:rPr>
          <w:sz w:val="20"/>
          <w:szCs w:val="20"/>
          <w:color w:val="auto"/>
        </w:rPr>
      </w:pPr>
      <w:r>
        <w:rPr>
          <w:rFonts w:ascii="Times New Roman" w:cs="Times New Roman" w:eastAsia="Times New Roman" w:hAnsi="Times New Roman"/>
          <w:sz w:val="20"/>
          <w:szCs w:val="20"/>
          <w:color w:val="auto"/>
        </w:rPr>
        <w:t>SECTION 3.12.</w:t>
        <w:tab/>
        <w:t>Anti-Corruption Laws and Sanctions</w:t>
      </w:r>
      <w:r>
        <w:rPr>
          <w:sz w:val="20"/>
          <w:szCs w:val="20"/>
          <w:color w:val="auto"/>
        </w:rPr>
        <w:tab/>
      </w:r>
      <w:r>
        <w:rPr>
          <w:rFonts w:ascii="Times New Roman" w:cs="Times New Roman" w:eastAsia="Times New Roman" w:hAnsi="Times New Roman"/>
          <w:sz w:val="18"/>
          <w:szCs w:val="18"/>
          <w:color w:val="auto"/>
        </w:rPr>
        <w:t>113</w:t>
      </w:r>
    </w:p>
    <w:p>
      <w:pPr>
        <w:spacing w:after="0" w:line="20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ARTICLE IV</w:t>
      </w:r>
    </w:p>
    <w:p>
      <w:pPr>
        <w:spacing w:after="0" w:line="24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color w:val="auto"/>
        </w:rPr>
        <w:t>Conditions</w:t>
      </w:r>
    </w:p>
    <w:p>
      <w:pPr>
        <w:spacing w:after="0" w:line="108" w:lineRule="exact"/>
        <w:rPr>
          <w:sz w:val="20"/>
          <w:szCs w:val="20"/>
          <w:color w:val="auto"/>
        </w:rPr>
      </w:pPr>
    </w:p>
    <w:p>
      <w:pPr>
        <w:spacing w:after="0"/>
        <w:tabs>
          <w:tab w:leader="none" w:pos="1460" w:val="left"/>
          <w:tab w:leader="dot" w:pos="6720" w:val="left"/>
        </w:tabs>
        <w:rPr>
          <w:sz w:val="20"/>
          <w:szCs w:val="20"/>
          <w:color w:val="auto"/>
        </w:rPr>
      </w:pPr>
      <w:r>
        <w:rPr>
          <w:rFonts w:ascii="Times New Roman" w:cs="Times New Roman" w:eastAsia="Times New Roman" w:hAnsi="Times New Roman"/>
          <w:sz w:val="20"/>
          <w:szCs w:val="20"/>
          <w:color w:val="auto"/>
        </w:rPr>
        <w:t>SECTION 4.01.</w:t>
        <w:tab/>
        <w:t>Restatement Date</w:t>
      </w:r>
      <w:r>
        <w:rPr>
          <w:sz w:val="20"/>
          <w:szCs w:val="20"/>
          <w:color w:val="auto"/>
        </w:rPr>
        <w:tab/>
      </w:r>
      <w:r>
        <w:rPr>
          <w:rFonts w:ascii="Times New Roman" w:cs="Times New Roman" w:eastAsia="Times New Roman" w:hAnsi="Times New Roman"/>
          <w:sz w:val="20"/>
          <w:szCs w:val="20"/>
          <w:color w:val="auto"/>
        </w:rPr>
        <w:t>114</w:t>
      </w:r>
    </w:p>
    <w:p>
      <w:pPr>
        <w:spacing w:after="0" w:line="28" w:lineRule="exact"/>
        <w:rPr>
          <w:sz w:val="20"/>
          <w:szCs w:val="20"/>
          <w:color w:val="auto"/>
        </w:rPr>
      </w:pPr>
    </w:p>
    <w:p>
      <w:pPr>
        <w:spacing w:after="0"/>
        <w:tabs>
          <w:tab w:leader="none" w:pos="1460" w:val="left"/>
          <w:tab w:leader="dot" w:pos="6720" w:val="left"/>
        </w:tabs>
        <w:rPr>
          <w:sz w:val="20"/>
          <w:szCs w:val="20"/>
          <w:color w:val="auto"/>
        </w:rPr>
      </w:pPr>
      <w:r>
        <w:rPr>
          <w:rFonts w:ascii="Times New Roman" w:cs="Times New Roman" w:eastAsia="Times New Roman" w:hAnsi="Times New Roman"/>
          <w:sz w:val="20"/>
          <w:szCs w:val="20"/>
          <w:color w:val="auto"/>
        </w:rPr>
        <w:t>SECTION 4.02.</w:t>
        <w:tab/>
        <w:t>Each Credit Event</w:t>
      </w:r>
      <w:r>
        <w:rPr>
          <w:sz w:val="20"/>
          <w:szCs w:val="20"/>
          <w:color w:val="auto"/>
        </w:rPr>
        <w:tab/>
      </w:r>
      <w:r>
        <w:rPr>
          <w:rFonts w:ascii="Times New Roman" w:cs="Times New Roman" w:eastAsia="Times New Roman" w:hAnsi="Times New Roman"/>
          <w:sz w:val="20"/>
          <w:szCs w:val="20"/>
          <w:color w:val="auto"/>
        </w:rPr>
        <w:t>117</w:t>
      </w:r>
    </w:p>
    <w:p>
      <w:pPr>
        <w:spacing w:after="0" w:line="21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0"/>
          <w:szCs w:val="20"/>
          <w:color w:val="auto"/>
        </w:rPr>
        <w:t>ARTICLE V</w:t>
      </w:r>
    </w:p>
    <w:p>
      <w:pPr>
        <w:spacing w:after="0" w:line="22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color w:val="auto"/>
        </w:rPr>
        <w:t>Affirmative Covenants</w:t>
      </w:r>
    </w:p>
    <w:p>
      <w:pPr>
        <w:spacing w:after="0" w:line="121" w:lineRule="exact"/>
        <w:rPr>
          <w:sz w:val="20"/>
          <w:szCs w:val="20"/>
          <w:color w:val="auto"/>
        </w:rPr>
      </w:pPr>
    </w:p>
    <w:p>
      <w:pPr>
        <w:spacing w:after="0"/>
        <w:tabs>
          <w:tab w:leader="none" w:pos="1460" w:val="left"/>
          <w:tab w:leader="dot" w:pos="6740" w:val="left"/>
        </w:tabs>
        <w:rPr>
          <w:sz w:val="20"/>
          <w:szCs w:val="20"/>
          <w:color w:val="auto"/>
        </w:rPr>
      </w:pPr>
      <w:r>
        <w:rPr>
          <w:rFonts w:ascii="Times New Roman" w:cs="Times New Roman" w:eastAsia="Times New Roman" w:hAnsi="Times New Roman"/>
          <w:sz w:val="20"/>
          <w:szCs w:val="20"/>
          <w:color w:val="auto"/>
        </w:rPr>
        <w:t>SECTION 5.01.</w:t>
        <w:tab/>
        <w:t>Financial Statements and Other Information</w:t>
      </w:r>
      <w:r>
        <w:rPr>
          <w:sz w:val="20"/>
          <w:szCs w:val="20"/>
          <w:color w:val="auto"/>
        </w:rPr>
        <w:tab/>
      </w:r>
      <w:r>
        <w:rPr>
          <w:rFonts w:ascii="Times New Roman" w:cs="Times New Roman" w:eastAsia="Times New Roman" w:hAnsi="Times New Roman"/>
          <w:sz w:val="18"/>
          <w:szCs w:val="18"/>
          <w:color w:val="auto"/>
        </w:rPr>
        <w:t>119</w:t>
      </w:r>
    </w:p>
    <w:p>
      <w:pPr>
        <w:spacing w:after="0" w:line="22" w:lineRule="exact"/>
        <w:rPr>
          <w:sz w:val="20"/>
          <w:szCs w:val="20"/>
          <w:color w:val="auto"/>
        </w:rPr>
      </w:pPr>
    </w:p>
    <w:p>
      <w:pPr>
        <w:spacing w:after="0"/>
        <w:tabs>
          <w:tab w:leader="none" w:pos="1460" w:val="left"/>
          <w:tab w:leader="dot" w:pos="6720" w:val="left"/>
        </w:tabs>
        <w:rPr>
          <w:sz w:val="20"/>
          <w:szCs w:val="20"/>
          <w:color w:val="auto"/>
        </w:rPr>
      </w:pPr>
      <w:r>
        <w:rPr>
          <w:rFonts w:ascii="Times New Roman" w:cs="Times New Roman" w:eastAsia="Times New Roman" w:hAnsi="Times New Roman"/>
          <w:sz w:val="20"/>
          <w:szCs w:val="20"/>
          <w:color w:val="auto"/>
        </w:rPr>
        <w:t>SECTION 5.02.</w:t>
        <w:tab/>
        <w:t>Notices of Defaults</w:t>
      </w:r>
      <w:r>
        <w:rPr>
          <w:sz w:val="20"/>
          <w:szCs w:val="20"/>
          <w:color w:val="auto"/>
        </w:rPr>
        <w:tab/>
      </w:r>
      <w:r>
        <w:rPr>
          <w:rFonts w:ascii="Times New Roman" w:cs="Times New Roman" w:eastAsia="Times New Roman" w:hAnsi="Times New Roman"/>
          <w:sz w:val="20"/>
          <w:szCs w:val="20"/>
          <w:color w:val="auto"/>
        </w:rPr>
        <w:t>121</w:t>
      </w:r>
    </w:p>
    <w:p>
      <w:pPr>
        <w:spacing w:after="0" w:line="6" w:lineRule="exact"/>
        <w:rPr>
          <w:sz w:val="20"/>
          <w:szCs w:val="20"/>
          <w:color w:val="auto"/>
        </w:rPr>
      </w:pPr>
    </w:p>
    <w:p>
      <w:pPr>
        <w:spacing w:after="0"/>
        <w:tabs>
          <w:tab w:leader="none" w:pos="1460" w:val="left"/>
          <w:tab w:leader="dot" w:pos="6740" w:val="left"/>
        </w:tabs>
        <w:rPr>
          <w:sz w:val="20"/>
          <w:szCs w:val="20"/>
          <w:color w:val="auto"/>
        </w:rPr>
      </w:pPr>
      <w:r>
        <w:rPr>
          <w:rFonts w:ascii="Times New Roman" w:cs="Times New Roman" w:eastAsia="Times New Roman" w:hAnsi="Times New Roman"/>
          <w:sz w:val="20"/>
          <w:szCs w:val="20"/>
          <w:color w:val="auto"/>
        </w:rPr>
        <w:t>SECTION 5.03.</w:t>
        <w:tab/>
        <w:t>Existence; Conduct of Business</w:t>
      </w:r>
      <w:r>
        <w:rPr>
          <w:sz w:val="20"/>
          <w:szCs w:val="20"/>
          <w:color w:val="auto"/>
        </w:rPr>
        <w:tab/>
      </w:r>
      <w:r>
        <w:rPr>
          <w:rFonts w:ascii="Times New Roman" w:cs="Times New Roman" w:eastAsia="Times New Roman" w:hAnsi="Times New Roman"/>
          <w:sz w:val="20"/>
          <w:szCs w:val="20"/>
          <w:color w:val="auto"/>
        </w:rPr>
        <w:t>121</w:t>
      </w:r>
    </w:p>
    <w:p>
      <w:pPr>
        <w:spacing w:after="0" w:line="13" w:lineRule="exact"/>
        <w:rPr>
          <w:sz w:val="20"/>
          <w:szCs w:val="20"/>
          <w:color w:val="auto"/>
        </w:rPr>
      </w:pPr>
    </w:p>
    <w:p>
      <w:pPr>
        <w:spacing w:after="0"/>
        <w:tabs>
          <w:tab w:leader="none" w:pos="1460" w:val="left"/>
          <w:tab w:leader="dot" w:pos="6720" w:val="left"/>
        </w:tabs>
        <w:rPr>
          <w:sz w:val="20"/>
          <w:szCs w:val="20"/>
          <w:color w:val="auto"/>
        </w:rPr>
      </w:pPr>
      <w:r>
        <w:rPr>
          <w:rFonts w:ascii="Times New Roman" w:cs="Times New Roman" w:eastAsia="Times New Roman" w:hAnsi="Times New Roman"/>
          <w:sz w:val="20"/>
          <w:szCs w:val="20"/>
          <w:color w:val="auto"/>
        </w:rPr>
        <w:t>SECTION 5.04.</w:t>
        <w:tab/>
        <w:t>Maintenance of Properties</w:t>
      </w:r>
      <w:r>
        <w:rPr>
          <w:sz w:val="20"/>
          <w:szCs w:val="20"/>
          <w:color w:val="auto"/>
        </w:rPr>
        <w:tab/>
      </w:r>
      <w:r>
        <w:rPr>
          <w:rFonts w:ascii="Times New Roman" w:cs="Times New Roman" w:eastAsia="Times New Roman" w:hAnsi="Times New Roman"/>
          <w:sz w:val="20"/>
          <w:szCs w:val="20"/>
          <w:color w:val="auto"/>
        </w:rPr>
        <w:t>121</w:t>
      </w:r>
    </w:p>
    <w:p>
      <w:pPr>
        <w:spacing w:after="0" w:line="6" w:lineRule="exact"/>
        <w:rPr>
          <w:sz w:val="20"/>
          <w:szCs w:val="20"/>
          <w:color w:val="auto"/>
        </w:rPr>
      </w:pPr>
    </w:p>
    <w:p>
      <w:pPr>
        <w:spacing w:after="0"/>
        <w:tabs>
          <w:tab w:leader="none" w:pos="1460" w:val="left"/>
          <w:tab w:leader="dot" w:pos="6720" w:val="left"/>
        </w:tabs>
        <w:rPr>
          <w:sz w:val="20"/>
          <w:szCs w:val="20"/>
          <w:color w:val="auto"/>
        </w:rPr>
      </w:pPr>
      <w:r>
        <w:rPr>
          <w:rFonts w:ascii="Times New Roman" w:cs="Times New Roman" w:eastAsia="Times New Roman" w:hAnsi="Times New Roman"/>
          <w:sz w:val="20"/>
          <w:szCs w:val="20"/>
          <w:color w:val="auto"/>
        </w:rPr>
        <w:t>SECTION 5.05.</w:t>
        <w:tab/>
        <w:t>Books and Records; Inspection and Audit Rights</w:t>
      </w:r>
      <w:r>
        <w:rPr>
          <w:sz w:val="20"/>
          <w:szCs w:val="20"/>
          <w:color w:val="auto"/>
        </w:rPr>
        <w:tab/>
      </w:r>
      <w:r>
        <w:rPr>
          <w:rFonts w:ascii="Times New Roman" w:cs="Times New Roman" w:eastAsia="Times New Roman" w:hAnsi="Times New Roman"/>
          <w:sz w:val="20"/>
          <w:szCs w:val="20"/>
          <w:color w:val="auto"/>
        </w:rPr>
        <w:t>121</w:t>
      </w:r>
    </w:p>
    <w:p>
      <w:pPr>
        <w:spacing w:after="0" w:line="6" w:lineRule="exact"/>
        <w:rPr>
          <w:sz w:val="20"/>
          <w:szCs w:val="20"/>
          <w:color w:val="auto"/>
        </w:rPr>
      </w:pPr>
    </w:p>
    <w:p>
      <w:pPr>
        <w:spacing w:after="0"/>
        <w:tabs>
          <w:tab w:leader="none" w:pos="1460" w:val="left"/>
          <w:tab w:leader="dot" w:pos="6720" w:val="left"/>
        </w:tabs>
        <w:rPr>
          <w:sz w:val="20"/>
          <w:szCs w:val="20"/>
          <w:color w:val="auto"/>
        </w:rPr>
      </w:pPr>
      <w:r>
        <w:rPr>
          <w:rFonts w:ascii="Times New Roman" w:cs="Times New Roman" w:eastAsia="Times New Roman" w:hAnsi="Times New Roman"/>
          <w:sz w:val="20"/>
          <w:szCs w:val="20"/>
          <w:color w:val="auto"/>
        </w:rPr>
        <w:t>SECTION 5.06.</w:t>
        <w:tab/>
        <w:t>Compliance with Laws</w:t>
      </w:r>
      <w:r>
        <w:rPr>
          <w:sz w:val="20"/>
          <w:szCs w:val="20"/>
          <w:color w:val="auto"/>
        </w:rPr>
        <w:tab/>
      </w:r>
      <w:r>
        <w:rPr>
          <w:rFonts w:ascii="Times New Roman" w:cs="Times New Roman" w:eastAsia="Times New Roman" w:hAnsi="Times New Roman"/>
          <w:sz w:val="20"/>
          <w:szCs w:val="20"/>
          <w:color w:val="auto"/>
        </w:rPr>
        <w:t>122</w:t>
      </w:r>
    </w:p>
    <w:p>
      <w:pPr>
        <w:spacing w:after="0" w:line="6" w:lineRule="exact"/>
        <w:rPr>
          <w:sz w:val="20"/>
          <w:szCs w:val="20"/>
          <w:color w:val="auto"/>
        </w:rPr>
      </w:pPr>
    </w:p>
    <w:p>
      <w:pPr>
        <w:spacing w:after="0"/>
        <w:tabs>
          <w:tab w:leader="none" w:pos="1460" w:val="left"/>
          <w:tab w:leader="dot" w:pos="6740" w:val="left"/>
        </w:tabs>
        <w:rPr>
          <w:sz w:val="20"/>
          <w:szCs w:val="20"/>
          <w:color w:val="auto"/>
        </w:rPr>
      </w:pPr>
      <w:r>
        <w:rPr>
          <w:rFonts w:ascii="Times New Roman" w:cs="Times New Roman" w:eastAsia="Times New Roman" w:hAnsi="Times New Roman"/>
          <w:sz w:val="20"/>
          <w:szCs w:val="20"/>
          <w:color w:val="auto"/>
        </w:rPr>
        <w:t>SECTION 5.07.</w:t>
        <w:tab/>
        <w:t>Insurance</w:t>
      </w:r>
      <w:r>
        <w:rPr>
          <w:sz w:val="20"/>
          <w:szCs w:val="20"/>
          <w:color w:val="auto"/>
        </w:rPr>
        <w:tab/>
      </w:r>
      <w:r>
        <w:rPr>
          <w:rFonts w:ascii="Times New Roman" w:cs="Times New Roman" w:eastAsia="Times New Roman" w:hAnsi="Times New Roman"/>
          <w:sz w:val="20"/>
          <w:szCs w:val="20"/>
          <w:color w:val="auto"/>
        </w:rPr>
        <w:t>123</w:t>
      </w:r>
    </w:p>
    <w:p>
      <w:pPr>
        <w:spacing w:after="0" w:line="6" w:lineRule="exact"/>
        <w:rPr>
          <w:sz w:val="20"/>
          <w:szCs w:val="20"/>
          <w:color w:val="auto"/>
        </w:rPr>
      </w:pPr>
    </w:p>
    <w:p>
      <w:pPr>
        <w:spacing w:after="0"/>
        <w:tabs>
          <w:tab w:leader="none" w:pos="1460" w:val="left"/>
          <w:tab w:leader="dot" w:pos="6740" w:val="left"/>
        </w:tabs>
        <w:rPr>
          <w:sz w:val="20"/>
          <w:szCs w:val="20"/>
          <w:color w:val="auto"/>
        </w:rPr>
      </w:pPr>
      <w:r>
        <w:rPr>
          <w:rFonts w:ascii="Times New Roman" w:cs="Times New Roman" w:eastAsia="Times New Roman" w:hAnsi="Times New Roman"/>
          <w:sz w:val="20"/>
          <w:szCs w:val="20"/>
          <w:color w:val="auto"/>
        </w:rPr>
        <w:t>SECTION 5.08.</w:t>
        <w:tab/>
        <w:t>Guarantees and Collateral</w:t>
      </w:r>
      <w:r>
        <w:rPr>
          <w:sz w:val="20"/>
          <w:szCs w:val="20"/>
          <w:color w:val="auto"/>
        </w:rPr>
        <w:tab/>
      </w:r>
      <w:r>
        <w:rPr>
          <w:rFonts w:ascii="Times New Roman" w:cs="Times New Roman" w:eastAsia="Times New Roman" w:hAnsi="Times New Roman"/>
          <w:sz w:val="20"/>
          <w:szCs w:val="20"/>
          <w:color w:val="auto"/>
        </w:rPr>
        <w:t>123</w:t>
      </w:r>
    </w:p>
    <w:p>
      <w:pPr>
        <w:spacing w:after="0" w:line="13" w:lineRule="exact"/>
        <w:rPr>
          <w:sz w:val="20"/>
          <w:szCs w:val="20"/>
          <w:color w:val="auto"/>
        </w:rPr>
      </w:pPr>
    </w:p>
    <w:p>
      <w:pPr>
        <w:spacing w:after="0"/>
        <w:tabs>
          <w:tab w:leader="none" w:pos="1460" w:val="left"/>
          <w:tab w:leader="dot" w:pos="6700" w:val="left"/>
        </w:tabs>
        <w:rPr>
          <w:sz w:val="20"/>
          <w:szCs w:val="20"/>
          <w:color w:val="auto"/>
        </w:rPr>
      </w:pPr>
      <w:r>
        <w:rPr>
          <w:rFonts w:ascii="Times New Roman" w:cs="Times New Roman" w:eastAsia="Times New Roman" w:hAnsi="Times New Roman"/>
          <w:sz w:val="20"/>
          <w:szCs w:val="20"/>
          <w:color w:val="auto"/>
        </w:rPr>
        <w:t>SECTION 5.09.</w:t>
        <w:tab/>
        <w:t>Borrowing Base Certificate</w:t>
      </w:r>
      <w:r>
        <w:rPr>
          <w:sz w:val="20"/>
          <w:szCs w:val="20"/>
          <w:color w:val="auto"/>
        </w:rPr>
        <w:tab/>
      </w:r>
      <w:r>
        <w:rPr>
          <w:rFonts w:ascii="Times New Roman" w:cs="Times New Roman" w:eastAsia="Times New Roman" w:hAnsi="Times New Roman"/>
          <w:sz w:val="20"/>
          <w:szCs w:val="20"/>
          <w:color w:val="auto"/>
        </w:rPr>
        <w:t>125</w:t>
      </w:r>
    </w:p>
    <w:p>
      <w:pPr>
        <w:spacing w:after="0" w:line="20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ARTICLE VI</w:t>
      </w:r>
    </w:p>
    <w:p>
      <w:pPr>
        <w:spacing w:after="0" w:line="24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Negative Covenants</w:t>
      </w:r>
    </w:p>
    <w:p>
      <w:pPr>
        <w:spacing w:after="0" w:line="108" w:lineRule="exact"/>
        <w:rPr>
          <w:sz w:val="20"/>
          <w:szCs w:val="20"/>
          <w:color w:val="auto"/>
        </w:rPr>
      </w:pPr>
    </w:p>
    <w:p>
      <w:pPr>
        <w:spacing w:after="0"/>
        <w:tabs>
          <w:tab w:leader="none" w:pos="1460" w:val="left"/>
          <w:tab w:leader="dot" w:pos="6740" w:val="left"/>
        </w:tabs>
        <w:rPr>
          <w:sz w:val="20"/>
          <w:szCs w:val="20"/>
          <w:color w:val="auto"/>
        </w:rPr>
      </w:pPr>
      <w:r>
        <w:rPr>
          <w:rFonts w:ascii="Times New Roman" w:cs="Times New Roman" w:eastAsia="Times New Roman" w:hAnsi="Times New Roman"/>
          <w:sz w:val="20"/>
          <w:szCs w:val="20"/>
          <w:color w:val="auto"/>
        </w:rPr>
        <w:t>SECTION 6.01.</w:t>
        <w:tab/>
        <w:t>Limitation on Indebtedness</w:t>
      </w:r>
      <w:r>
        <w:rPr>
          <w:sz w:val="20"/>
          <w:szCs w:val="20"/>
          <w:color w:val="auto"/>
        </w:rPr>
        <w:tab/>
      </w:r>
      <w:r>
        <w:rPr>
          <w:rFonts w:ascii="Times New Roman" w:cs="Times New Roman" w:eastAsia="Times New Roman" w:hAnsi="Times New Roman"/>
          <w:sz w:val="20"/>
          <w:szCs w:val="20"/>
          <w:color w:val="auto"/>
        </w:rPr>
        <w:t>126</w:t>
      </w:r>
    </w:p>
    <w:p>
      <w:pPr>
        <w:spacing w:after="0" w:line="28" w:lineRule="exact"/>
        <w:rPr>
          <w:sz w:val="20"/>
          <w:szCs w:val="20"/>
          <w:color w:val="auto"/>
        </w:rPr>
      </w:pPr>
    </w:p>
    <w:p>
      <w:pPr>
        <w:spacing w:after="0"/>
        <w:tabs>
          <w:tab w:leader="none" w:pos="1460" w:val="left"/>
          <w:tab w:leader="dot" w:pos="6740" w:val="left"/>
        </w:tabs>
        <w:rPr>
          <w:sz w:val="20"/>
          <w:szCs w:val="20"/>
          <w:color w:val="auto"/>
        </w:rPr>
      </w:pPr>
      <w:r>
        <w:rPr>
          <w:rFonts w:ascii="Times New Roman" w:cs="Times New Roman" w:eastAsia="Times New Roman" w:hAnsi="Times New Roman"/>
          <w:sz w:val="20"/>
          <w:szCs w:val="20"/>
          <w:color w:val="auto"/>
        </w:rPr>
        <w:t>SECTION 6.02.</w:t>
        <w:tab/>
        <w:t>Limitation on Restricted Payments</w:t>
      </w:r>
      <w:r>
        <w:rPr>
          <w:sz w:val="20"/>
          <w:szCs w:val="20"/>
          <w:color w:val="auto"/>
        </w:rPr>
        <w:tab/>
      </w:r>
      <w:r>
        <w:rPr>
          <w:rFonts w:ascii="Times New Roman" w:cs="Times New Roman" w:eastAsia="Times New Roman" w:hAnsi="Times New Roman"/>
          <w:sz w:val="20"/>
          <w:szCs w:val="20"/>
          <w:color w:val="auto"/>
        </w:rPr>
        <w:t>129</w:t>
      </w:r>
    </w:p>
    <w:p>
      <w:pPr>
        <w:spacing w:after="0" w:line="6"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6.03.</w:t>
      </w:r>
      <w:r>
        <w:rPr>
          <w:sz w:val="20"/>
          <w:szCs w:val="20"/>
          <w:color w:val="auto"/>
        </w:rPr>
        <w:tab/>
      </w:r>
      <w:r>
        <w:rPr>
          <w:rFonts w:ascii="Times New Roman" w:cs="Times New Roman" w:eastAsia="Times New Roman" w:hAnsi="Times New Roman"/>
          <w:sz w:val="18"/>
          <w:szCs w:val="18"/>
          <w:color w:val="auto"/>
        </w:rPr>
        <w:t>Limitation on Restrictions on Distributions from Restricted Subsidiaries</w:t>
      </w:r>
      <w:r>
        <w:rPr>
          <w:rFonts w:ascii="Times New Roman" w:cs="Times New Roman" w:eastAsia="Times New Roman" w:hAnsi="Times New Roman"/>
          <w:sz w:val="19"/>
          <w:szCs w:val="19"/>
          <w:color w:val="auto"/>
        </w:rPr>
        <w:t>..133</w:t>
      </w:r>
    </w:p>
    <w:p>
      <w:pPr>
        <w:spacing w:after="0" w:line="6" w:lineRule="exact"/>
        <w:rPr>
          <w:sz w:val="20"/>
          <w:szCs w:val="20"/>
          <w:color w:val="auto"/>
        </w:rPr>
      </w:pPr>
    </w:p>
    <w:p>
      <w:pPr>
        <w:spacing w:after="0"/>
        <w:tabs>
          <w:tab w:leader="none" w:pos="1460" w:val="left"/>
          <w:tab w:leader="dot" w:pos="6720" w:val="left"/>
        </w:tabs>
        <w:rPr>
          <w:sz w:val="20"/>
          <w:szCs w:val="20"/>
          <w:color w:val="auto"/>
        </w:rPr>
      </w:pPr>
      <w:r>
        <w:rPr>
          <w:rFonts w:ascii="Times New Roman" w:cs="Times New Roman" w:eastAsia="Times New Roman" w:hAnsi="Times New Roman"/>
          <w:sz w:val="20"/>
          <w:szCs w:val="20"/>
          <w:color w:val="auto"/>
        </w:rPr>
        <w:t>SECTION 6.04.</w:t>
        <w:tab/>
        <w:t>Limitation on Sales of Assets and Subsidiary Stock</w:t>
      </w:r>
      <w:r>
        <w:rPr>
          <w:sz w:val="20"/>
          <w:szCs w:val="20"/>
          <w:color w:val="auto"/>
        </w:rPr>
        <w:tab/>
      </w:r>
      <w:r>
        <w:rPr>
          <w:rFonts w:ascii="Times New Roman" w:cs="Times New Roman" w:eastAsia="Times New Roman" w:hAnsi="Times New Roman"/>
          <w:sz w:val="20"/>
          <w:szCs w:val="20"/>
          <w:color w:val="auto"/>
        </w:rPr>
        <w:t>135</w:t>
      </w:r>
    </w:p>
    <w:p>
      <w:pPr>
        <w:spacing w:after="0" w:line="13" w:lineRule="exact"/>
        <w:rPr>
          <w:sz w:val="20"/>
          <w:szCs w:val="20"/>
          <w:color w:val="auto"/>
        </w:rPr>
      </w:pPr>
    </w:p>
    <w:p>
      <w:pPr>
        <w:spacing w:after="0"/>
        <w:tabs>
          <w:tab w:leader="none" w:pos="1460" w:val="left"/>
          <w:tab w:leader="dot" w:pos="6720" w:val="left"/>
        </w:tabs>
        <w:rPr>
          <w:sz w:val="20"/>
          <w:szCs w:val="20"/>
          <w:color w:val="auto"/>
        </w:rPr>
      </w:pPr>
      <w:r>
        <w:rPr>
          <w:rFonts w:ascii="Times New Roman" w:cs="Times New Roman" w:eastAsia="Times New Roman" w:hAnsi="Times New Roman"/>
          <w:sz w:val="20"/>
          <w:szCs w:val="20"/>
          <w:color w:val="auto"/>
        </w:rPr>
        <w:t>SECTION 6.05.</w:t>
        <w:tab/>
        <w:t>Limitation on Transactions with Affiliates</w:t>
      </w:r>
      <w:r>
        <w:rPr>
          <w:sz w:val="20"/>
          <w:szCs w:val="20"/>
          <w:color w:val="auto"/>
        </w:rPr>
        <w:tab/>
      </w:r>
      <w:r>
        <w:rPr>
          <w:rFonts w:ascii="Times New Roman" w:cs="Times New Roman" w:eastAsia="Times New Roman" w:hAnsi="Times New Roman"/>
          <w:sz w:val="20"/>
          <w:szCs w:val="20"/>
          <w:color w:val="auto"/>
        </w:rPr>
        <w:t>136</w:t>
      </w:r>
    </w:p>
    <w:p>
      <w:pPr>
        <w:spacing w:after="0" w:line="6" w:lineRule="exact"/>
        <w:rPr>
          <w:sz w:val="20"/>
          <w:szCs w:val="20"/>
          <w:color w:val="auto"/>
        </w:rPr>
      </w:pPr>
    </w:p>
    <w:p>
      <w:pPr>
        <w:spacing w:after="0"/>
        <w:tabs>
          <w:tab w:leader="none" w:pos="1460" w:val="left"/>
          <w:tab w:leader="dot" w:pos="6740" w:val="left"/>
        </w:tabs>
        <w:rPr>
          <w:sz w:val="20"/>
          <w:szCs w:val="20"/>
          <w:color w:val="auto"/>
        </w:rPr>
      </w:pPr>
      <w:r>
        <w:rPr>
          <w:rFonts w:ascii="Times New Roman" w:cs="Times New Roman" w:eastAsia="Times New Roman" w:hAnsi="Times New Roman"/>
          <w:sz w:val="20"/>
          <w:szCs w:val="20"/>
          <w:color w:val="auto"/>
        </w:rPr>
        <w:t>SECTION 6.06.</w:t>
        <w:tab/>
        <w:t>Limitation on Liens</w:t>
      </w:r>
      <w:r>
        <w:rPr>
          <w:sz w:val="20"/>
          <w:szCs w:val="20"/>
          <w:color w:val="auto"/>
        </w:rPr>
        <w:tab/>
      </w:r>
      <w:r>
        <w:rPr>
          <w:rFonts w:ascii="Times New Roman" w:cs="Times New Roman" w:eastAsia="Times New Roman" w:hAnsi="Times New Roman"/>
          <w:sz w:val="20"/>
          <w:szCs w:val="20"/>
          <w:color w:val="auto"/>
        </w:rPr>
        <w:t>137</w:t>
      </w:r>
    </w:p>
    <w:p>
      <w:pPr>
        <w:spacing w:after="0" w:line="6" w:lineRule="exact"/>
        <w:rPr>
          <w:sz w:val="20"/>
          <w:szCs w:val="20"/>
          <w:color w:val="auto"/>
        </w:rPr>
      </w:pPr>
    </w:p>
    <w:p>
      <w:pPr>
        <w:spacing w:after="0"/>
        <w:tabs>
          <w:tab w:leader="none" w:pos="1460" w:val="left"/>
          <w:tab w:leader="dot" w:pos="6720" w:val="left"/>
        </w:tabs>
        <w:rPr>
          <w:sz w:val="20"/>
          <w:szCs w:val="20"/>
          <w:color w:val="auto"/>
        </w:rPr>
      </w:pPr>
      <w:r>
        <w:rPr>
          <w:rFonts w:ascii="Times New Roman" w:cs="Times New Roman" w:eastAsia="Times New Roman" w:hAnsi="Times New Roman"/>
          <w:sz w:val="20"/>
          <w:szCs w:val="20"/>
          <w:color w:val="auto"/>
        </w:rPr>
        <w:t>SECTION 6.07.</w:t>
        <w:tab/>
        <w:t>Limitation on Sale/Leaseback Transactions</w:t>
      </w:r>
      <w:r>
        <w:rPr>
          <w:sz w:val="20"/>
          <w:szCs w:val="20"/>
          <w:color w:val="auto"/>
        </w:rPr>
        <w:tab/>
      </w:r>
      <w:r>
        <w:rPr>
          <w:rFonts w:ascii="Times New Roman" w:cs="Times New Roman" w:eastAsia="Times New Roman" w:hAnsi="Times New Roman"/>
          <w:sz w:val="18"/>
          <w:szCs w:val="18"/>
          <w:color w:val="auto"/>
        </w:rPr>
        <w:t>141</w:t>
      </w:r>
    </w:p>
    <w:p>
      <w:pPr>
        <w:spacing w:after="0" w:line="6" w:lineRule="exact"/>
        <w:rPr>
          <w:sz w:val="20"/>
          <w:szCs w:val="20"/>
          <w:color w:val="auto"/>
        </w:rPr>
      </w:pPr>
    </w:p>
    <w:p>
      <w:pPr>
        <w:spacing w:after="0"/>
        <w:tabs>
          <w:tab w:leader="none" w:pos="1460" w:val="left"/>
          <w:tab w:leader="dot" w:pos="6740" w:val="left"/>
        </w:tabs>
        <w:rPr>
          <w:sz w:val="20"/>
          <w:szCs w:val="20"/>
          <w:color w:val="auto"/>
        </w:rPr>
      </w:pPr>
      <w:r>
        <w:rPr>
          <w:rFonts w:ascii="Times New Roman" w:cs="Times New Roman" w:eastAsia="Times New Roman" w:hAnsi="Times New Roman"/>
          <w:sz w:val="20"/>
          <w:szCs w:val="20"/>
          <w:color w:val="auto"/>
        </w:rPr>
        <w:t>SECTION 6.08.</w:t>
        <w:tab/>
        <w:t>Fundamental Changes</w:t>
      </w:r>
      <w:r>
        <w:rPr>
          <w:sz w:val="20"/>
          <w:szCs w:val="20"/>
          <w:color w:val="auto"/>
        </w:rPr>
        <w:tab/>
      </w:r>
      <w:r>
        <w:rPr>
          <w:rFonts w:ascii="Times New Roman" w:cs="Times New Roman" w:eastAsia="Times New Roman" w:hAnsi="Times New Roman"/>
          <w:sz w:val="20"/>
          <w:szCs w:val="20"/>
          <w:color w:val="auto"/>
        </w:rPr>
        <w:t>141</w:t>
      </w:r>
    </w:p>
    <w:p>
      <w:pPr>
        <w:spacing w:after="0" w:line="6" w:lineRule="exact"/>
        <w:rPr>
          <w:sz w:val="20"/>
          <w:szCs w:val="20"/>
          <w:color w:val="auto"/>
        </w:rPr>
      </w:pPr>
    </w:p>
    <w:p>
      <w:pPr>
        <w:spacing w:after="0"/>
        <w:tabs>
          <w:tab w:leader="none" w:pos="1460" w:val="left"/>
          <w:tab w:leader="dot" w:pos="6720" w:val="left"/>
        </w:tabs>
        <w:rPr>
          <w:sz w:val="20"/>
          <w:szCs w:val="20"/>
          <w:color w:val="auto"/>
        </w:rPr>
      </w:pPr>
      <w:r>
        <w:rPr>
          <w:rFonts w:ascii="Times New Roman" w:cs="Times New Roman" w:eastAsia="Times New Roman" w:hAnsi="Times New Roman"/>
          <w:sz w:val="20"/>
          <w:szCs w:val="20"/>
          <w:color w:val="auto"/>
        </w:rPr>
        <w:t>SECTION 6.09.</w:t>
        <w:tab/>
        <w:t>Consolidated Coverage Ratio</w:t>
      </w:r>
      <w:r>
        <w:rPr>
          <w:sz w:val="20"/>
          <w:szCs w:val="20"/>
          <w:color w:val="auto"/>
        </w:rPr>
        <w:tab/>
      </w:r>
      <w:r>
        <w:rPr>
          <w:rFonts w:ascii="Times New Roman" w:cs="Times New Roman" w:eastAsia="Times New Roman" w:hAnsi="Times New Roman"/>
          <w:sz w:val="20"/>
          <w:szCs w:val="20"/>
          <w:color w:val="auto"/>
        </w:rPr>
        <w:t>142</w:t>
      </w:r>
    </w:p>
    <w:p>
      <w:pPr>
        <w:spacing w:after="0" w:line="13" w:lineRule="exact"/>
        <w:rPr>
          <w:sz w:val="20"/>
          <w:szCs w:val="20"/>
          <w:color w:val="auto"/>
        </w:rPr>
      </w:pPr>
    </w:p>
    <w:p>
      <w:pPr>
        <w:spacing w:after="0"/>
        <w:tabs>
          <w:tab w:leader="none" w:pos="1460" w:val="left"/>
          <w:tab w:leader="dot" w:pos="6700" w:val="left"/>
        </w:tabs>
        <w:rPr>
          <w:sz w:val="20"/>
          <w:szCs w:val="20"/>
          <w:color w:val="auto"/>
        </w:rPr>
      </w:pPr>
      <w:r>
        <w:rPr>
          <w:rFonts w:ascii="Times New Roman" w:cs="Times New Roman" w:eastAsia="Times New Roman" w:hAnsi="Times New Roman"/>
          <w:sz w:val="20"/>
          <w:szCs w:val="20"/>
          <w:color w:val="auto"/>
        </w:rPr>
        <w:t>SECTION 6.10.</w:t>
        <w:tab/>
        <w:t>Anti-Corruption Laws and Sanctions</w:t>
      </w:r>
      <w:r>
        <w:rPr>
          <w:sz w:val="20"/>
          <w:szCs w:val="20"/>
          <w:color w:val="auto"/>
        </w:rPr>
        <w:tab/>
      </w:r>
      <w:r>
        <w:rPr>
          <w:rFonts w:ascii="Times New Roman" w:cs="Times New Roman" w:eastAsia="Times New Roman" w:hAnsi="Times New Roman"/>
          <w:sz w:val="20"/>
          <w:szCs w:val="20"/>
          <w:color w:val="auto"/>
        </w:rPr>
        <w:t>142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2"/>
          <w:szCs w:val="22"/>
          <w:color w:val="auto"/>
        </w:rPr>
        <w:t>ii</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0139"/>
          </w:cols>
          <w:pgMar w:left="320" w:top="1413" w:right="1440" w:bottom="1440" w:gutter="0" w:footer="0" w:header="0"/>
        </w:sectPr>
      </w:pPr>
    </w:p>
    <w:bookmarkStart w:id="195" w:name="page196"/>
    <w:bookmarkEnd w:id="195"/>
    <w:p>
      <w:pPr>
        <w:spacing w:after="0" w:line="18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color w:val="auto"/>
        </w:rPr>
        <w:t>ARTICLE VII</w:t>
      </w:r>
    </w:p>
    <w:p>
      <w:pPr>
        <w:spacing w:after="0" w:line="24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Events of Default</w:t>
      </w:r>
    </w:p>
    <w:p>
      <w:pPr>
        <w:spacing w:after="0" w:line="108" w:lineRule="exact"/>
        <w:rPr>
          <w:sz w:val="20"/>
          <w:szCs w:val="20"/>
          <w:color w:val="auto"/>
        </w:rPr>
      </w:pPr>
    </w:p>
    <w:p>
      <w:pPr>
        <w:spacing w:after="0"/>
        <w:tabs>
          <w:tab w:leader="none" w:pos="1460" w:val="left"/>
          <w:tab w:leader="dot" w:pos="6720" w:val="left"/>
        </w:tabs>
        <w:rPr>
          <w:sz w:val="20"/>
          <w:szCs w:val="20"/>
          <w:color w:val="auto"/>
        </w:rPr>
      </w:pPr>
      <w:r>
        <w:rPr>
          <w:rFonts w:ascii="Times New Roman" w:cs="Times New Roman" w:eastAsia="Times New Roman" w:hAnsi="Times New Roman"/>
          <w:sz w:val="20"/>
          <w:szCs w:val="20"/>
          <w:color w:val="auto"/>
        </w:rPr>
        <w:t>SECTION 7.01.</w:t>
        <w:tab/>
        <w:t>Events of Default</w:t>
      </w:r>
      <w:r>
        <w:rPr>
          <w:sz w:val="20"/>
          <w:szCs w:val="20"/>
          <w:color w:val="auto"/>
        </w:rPr>
        <w:tab/>
      </w:r>
      <w:r>
        <w:rPr>
          <w:rFonts w:ascii="Times New Roman" w:cs="Times New Roman" w:eastAsia="Times New Roman" w:hAnsi="Times New Roman"/>
          <w:sz w:val="20"/>
          <w:szCs w:val="20"/>
          <w:color w:val="auto"/>
        </w:rPr>
        <w:t>143</w:t>
      </w:r>
    </w:p>
    <w:p>
      <w:pPr>
        <w:spacing w:after="0" w:line="22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color w:val="auto"/>
        </w:rPr>
        <w:t>ARTICLE VIII</w:t>
      </w:r>
    </w:p>
    <w:p>
      <w:pPr>
        <w:spacing w:after="0" w:line="22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auto"/>
        </w:rPr>
        <w:t>The Agents</w:t>
      </w:r>
    </w:p>
    <w:p>
      <w:pPr>
        <w:spacing w:after="0" w:line="22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ARTICLE IX</w:t>
      </w:r>
    </w:p>
    <w:p>
      <w:pPr>
        <w:spacing w:after="0" w:line="24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color w:val="auto"/>
        </w:rPr>
        <w:t>Miscellaneous</w:t>
      </w:r>
    </w:p>
    <w:p>
      <w:pPr>
        <w:spacing w:after="0" w:line="108" w:lineRule="exact"/>
        <w:rPr>
          <w:sz w:val="20"/>
          <w:szCs w:val="20"/>
          <w:color w:val="auto"/>
        </w:rPr>
      </w:pPr>
    </w:p>
    <w:p>
      <w:pPr>
        <w:spacing w:after="0"/>
        <w:tabs>
          <w:tab w:leader="none" w:pos="1460" w:val="left"/>
          <w:tab w:leader="dot" w:pos="6720" w:val="left"/>
        </w:tabs>
        <w:rPr>
          <w:sz w:val="20"/>
          <w:szCs w:val="20"/>
          <w:color w:val="auto"/>
        </w:rPr>
      </w:pPr>
      <w:r>
        <w:rPr>
          <w:rFonts w:ascii="Times New Roman" w:cs="Times New Roman" w:eastAsia="Times New Roman" w:hAnsi="Times New Roman"/>
          <w:sz w:val="20"/>
          <w:szCs w:val="20"/>
          <w:color w:val="auto"/>
        </w:rPr>
        <w:t>SECTION 9.01.</w:t>
        <w:tab/>
        <w:t>Notices</w:t>
      </w:r>
      <w:r>
        <w:rPr>
          <w:sz w:val="20"/>
          <w:szCs w:val="20"/>
          <w:color w:val="auto"/>
        </w:rPr>
        <w:tab/>
      </w:r>
      <w:r>
        <w:rPr>
          <w:rFonts w:ascii="Times New Roman" w:cs="Times New Roman" w:eastAsia="Times New Roman" w:hAnsi="Times New Roman"/>
          <w:sz w:val="20"/>
          <w:szCs w:val="20"/>
          <w:color w:val="auto"/>
        </w:rPr>
        <w:t>151</w:t>
      </w:r>
    </w:p>
    <w:p>
      <w:pPr>
        <w:spacing w:after="0" w:line="28" w:lineRule="exact"/>
        <w:rPr>
          <w:sz w:val="20"/>
          <w:szCs w:val="20"/>
          <w:color w:val="auto"/>
        </w:rPr>
      </w:pPr>
    </w:p>
    <w:p>
      <w:pPr>
        <w:spacing w:after="0"/>
        <w:tabs>
          <w:tab w:leader="none" w:pos="1460" w:val="left"/>
          <w:tab w:leader="dot" w:pos="6720" w:val="left"/>
        </w:tabs>
        <w:rPr>
          <w:sz w:val="20"/>
          <w:szCs w:val="20"/>
          <w:color w:val="auto"/>
        </w:rPr>
      </w:pPr>
      <w:r>
        <w:rPr>
          <w:rFonts w:ascii="Times New Roman" w:cs="Times New Roman" w:eastAsia="Times New Roman" w:hAnsi="Times New Roman"/>
          <w:sz w:val="20"/>
          <w:szCs w:val="20"/>
          <w:color w:val="auto"/>
        </w:rPr>
        <w:t>SECTION 9.02.</w:t>
        <w:tab/>
        <w:t>Waivers; Amendments</w:t>
      </w:r>
      <w:r>
        <w:rPr>
          <w:sz w:val="20"/>
          <w:szCs w:val="20"/>
          <w:color w:val="auto"/>
        </w:rPr>
        <w:tab/>
      </w:r>
      <w:r>
        <w:rPr>
          <w:rFonts w:ascii="Times New Roman" w:cs="Times New Roman" w:eastAsia="Times New Roman" w:hAnsi="Times New Roman"/>
          <w:sz w:val="20"/>
          <w:szCs w:val="20"/>
          <w:color w:val="auto"/>
        </w:rPr>
        <w:t>152</w:t>
      </w:r>
    </w:p>
    <w:p>
      <w:pPr>
        <w:spacing w:after="0" w:line="6" w:lineRule="exact"/>
        <w:rPr>
          <w:sz w:val="20"/>
          <w:szCs w:val="20"/>
          <w:color w:val="auto"/>
        </w:rPr>
      </w:pPr>
    </w:p>
    <w:p>
      <w:pPr>
        <w:spacing w:after="0"/>
        <w:tabs>
          <w:tab w:leader="none" w:pos="1460" w:val="left"/>
          <w:tab w:leader="dot" w:pos="6740" w:val="left"/>
        </w:tabs>
        <w:rPr>
          <w:sz w:val="20"/>
          <w:szCs w:val="20"/>
          <w:color w:val="auto"/>
        </w:rPr>
      </w:pPr>
      <w:r>
        <w:rPr>
          <w:rFonts w:ascii="Times New Roman" w:cs="Times New Roman" w:eastAsia="Times New Roman" w:hAnsi="Times New Roman"/>
          <w:sz w:val="20"/>
          <w:szCs w:val="20"/>
          <w:color w:val="auto"/>
        </w:rPr>
        <w:t>SECTION 9.03.</w:t>
        <w:tab/>
        <w:t>Expenses; Limitation of Liability; Indemnity</w:t>
      </w:r>
      <w:r>
        <w:rPr>
          <w:sz w:val="20"/>
          <w:szCs w:val="20"/>
          <w:color w:val="auto"/>
        </w:rPr>
        <w:tab/>
      </w:r>
      <w:r>
        <w:rPr>
          <w:rFonts w:ascii="Times New Roman" w:cs="Times New Roman" w:eastAsia="Times New Roman" w:hAnsi="Times New Roman"/>
          <w:sz w:val="20"/>
          <w:szCs w:val="20"/>
          <w:color w:val="auto"/>
        </w:rPr>
        <w:t>154</w:t>
      </w:r>
    </w:p>
    <w:p>
      <w:pPr>
        <w:spacing w:after="0" w:line="6" w:lineRule="exact"/>
        <w:rPr>
          <w:sz w:val="20"/>
          <w:szCs w:val="20"/>
          <w:color w:val="auto"/>
        </w:rPr>
      </w:pPr>
    </w:p>
    <w:p>
      <w:pPr>
        <w:spacing w:after="0"/>
        <w:tabs>
          <w:tab w:leader="none" w:pos="1460" w:val="left"/>
          <w:tab w:leader="dot" w:pos="6700" w:val="left"/>
        </w:tabs>
        <w:rPr>
          <w:sz w:val="20"/>
          <w:szCs w:val="20"/>
          <w:color w:val="auto"/>
        </w:rPr>
      </w:pPr>
      <w:r>
        <w:rPr>
          <w:rFonts w:ascii="Times New Roman" w:cs="Times New Roman" w:eastAsia="Times New Roman" w:hAnsi="Times New Roman"/>
          <w:sz w:val="20"/>
          <w:szCs w:val="20"/>
          <w:color w:val="auto"/>
        </w:rPr>
        <w:t>SECTION 9.04.</w:t>
        <w:tab/>
        <w:t>Successors and Assigns</w:t>
      </w:r>
      <w:r>
        <w:rPr>
          <w:sz w:val="20"/>
          <w:szCs w:val="20"/>
          <w:color w:val="auto"/>
        </w:rPr>
        <w:tab/>
      </w:r>
      <w:r>
        <w:rPr>
          <w:rFonts w:ascii="Times New Roman" w:cs="Times New Roman" w:eastAsia="Times New Roman" w:hAnsi="Times New Roman"/>
          <w:sz w:val="20"/>
          <w:szCs w:val="20"/>
          <w:color w:val="auto"/>
        </w:rPr>
        <w:t>156</w:t>
      </w:r>
    </w:p>
    <w:p>
      <w:pPr>
        <w:spacing w:after="0" w:line="13" w:lineRule="exact"/>
        <w:rPr>
          <w:sz w:val="20"/>
          <w:szCs w:val="20"/>
          <w:color w:val="auto"/>
        </w:rPr>
      </w:pPr>
    </w:p>
    <w:p>
      <w:pPr>
        <w:spacing w:after="0"/>
        <w:tabs>
          <w:tab w:leader="none" w:pos="1460" w:val="left"/>
          <w:tab w:leader="dot" w:pos="6740" w:val="left"/>
        </w:tabs>
        <w:rPr>
          <w:sz w:val="20"/>
          <w:szCs w:val="20"/>
          <w:color w:val="auto"/>
        </w:rPr>
      </w:pPr>
      <w:r>
        <w:rPr>
          <w:rFonts w:ascii="Times New Roman" w:cs="Times New Roman" w:eastAsia="Times New Roman" w:hAnsi="Times New Roman"/>
          <w:sz w:val="20"/>
          <w:szCs w:val="20"/>
          <w:color w:val="auto"/>
        </w:rPr>
        <w:t>SECTION 9.05.</w:t>
        <w:tab/>
        <w:t>Survival</w:t>
      </w:r>
      <w:r>
        <w:rPr>
          <w:sz w:val="20"/>
          <w:szCs w:val="20"/>
          <w:color w:val="auto"/>
        </w:rPr>
        <w:tab/>
      </w:r>
      <w:r>
        <w:rPr>
          <w:rFonts w:ascii="Times New Roman" w:cs="Times New Roman" w:eastAsia="Times New Roman" w:hAnsi="Times New Roman"/>
          <w:sz w:val="20"/>
          <w:szCs w:val="20"/>
          <w:color w:val="auto"/>
        </w:rPr>
        <w:t>161</w:t>
      </w:r>
    </w:p>
    <w:p>
      <w:pPr>
        <w:spacing w:after="0" w:line="6" w:lineRule="exact"/>
        <w:rPr>
          <w:sz w:val="20"/>
          <w:szCs w:val="20"/>
          <w:color w:val="auto"/>
        </w:rPr>
      </w:pPr>
    </w:p>
    <w:p>
      <w:pPr>
        <w:spacing w:after="0"/>
        <w:tabs>
          <w:tab w:leader="none" w:pos="1460" w:val="left"/>
          <w:tab w:leader="dot" w:pos="6740" w:val="left"/>
        </w:tabs>
        <w:rPr>
          <w:sz w:val="20"/>
          <w:szCs w:val="20"/>
          <w:color w:val="auto"/>
        </w:rPr>
      </w:pPr>
      <w:r>
        <w:rPr>
          <w:rFonts w:ascii="Times New Roman" w:cs="Times New Roman" w:eastAsia="Times New Roman" w:hAnsi="Times New Roman"/>
          <w:sz w:val="20"/>
          <w:szCs w:val="20"/>
          <w:color w:val="auto"/>
        </w:rPr>
        <w:t>SECTION 9.06.</w:t>
        <w:tab/>
        <w:t>Counterparts; Integration; Effectiveness; Issuing Banks</w:t>
      </w:r>
      <w:r>
        <w:rPr>
          <w:sz w:val="20"/>
          <w:szCs w:val="20"/>
          <w:color w:val="auto"/>
        </w:rPr>
        <w:tab/>
      </w:r>
      <w:r>
        <w:rPr>
          <w:rFonts w:ascii="Times New Roman" w:cs="Times New Roman" w:eastAsia="Times New Roman" w:hAnsi="Times New Roman"/>
          <w:sz w:val="20"/>
          <w:szCs w:val="20"/>
          <w:color w:val="auto"/>
        </w:rPr>
        <w:t>161</w:t>
      </w:r>
    </w:p>
    <w:p>
      <w:pPr>
        <w:spacing w:after="0" w:line="6" w:lineRule="exact"/>
        <w:rPr>
          <w:sz w:val="20"/>
          <w:szCs w:val="20"/>
          <w:color w:val="auto"/>
        </w:rPr>
      </w:pPr>
    </w:p>
    <w:p>
      <w:pPr>
        <w:spacing w:after="0"/>
        <w:tabs>
          <w:tab w:leader="none" w:pos="1460" w:val="left"/>
          <w:tab w:leader="dot" w:pos="6720" w:val="left"/>
        </w:tabs>
        <w:rPr>
          <w:sz w:val="20"/>
          <w:szCs w:val="20"/>
          <w:color w:val="auto"/>
        </w:rPr>
      </w:pPr>
      <w:r>
        <w:rPr>
          <w:rFonts w:ascii="Times New Roman" w:cs="Times New Roman" w:eastAsia="Times New Roman" w:hAnsi="Times New Roman"/>
          <w:sz w:val="20"/>
          <w:szCs w:val="20"/>
          <w:color w:val="auto"/>
        </w:rPr>
        <w:t>SECTION 9.07.</w:t>
        <w:tab/>
        <w:t>Severability</w:t>
      </w:r>
      <w:r>
        <w:rPr>
          <w:sz w:val="20"/>
          <w:szCs w:val="20"/>
          <w:color w:val="auto"/>
        </w:rPr>
        <w:tab/>
      </w:r>
      <w:r>
        <w:rPr>
          <w:rFonts w:ascii="Times New Roman" w:cs="Times New Roman" w:eastAsia="Times New Roman" w:hAnsi="Times New Roman"/>
          <w:sz w:val="18"/>
          <w:szCs w:val="18"/>
          <w:color w:val="auto"/>
        </w:rPr>
        <w:t>163</w:t>
      </w:r>
    </w:p>
    <w:p>
      <w:pPr>
        <w:spacing w:after="0" w:line="6" w:lineRule="exact"/>
        <w:rPr>
          <w:sz w:val="20"/>
          <w:szCs w:val="20"/>
          <w:color w:val="auto"/>
        </w:rPr>
      </w:pPr>
    </w:p>
    <w:p>
      <w:pPr>
        <w:spacing w:after="0"/>
        <w:tabs>
          <w:tab w:leader="none" w:pos="1460" w:val="left"/>
          <w:tab w:leader="dot" w:pos="6700" w:val="left"/>
        </w:tabs>
        <w:rPr>
          <w:sz w:val="20"/>
          <w:szCs w:val="20"/>
          <w:color w:val="auto"/>
        </w:rPr>
      </w:pPr>
      <w:r>
        <w:rPr>
          <w:rFonts w:ascii="Times New Roman" w:cs="Times New Roman" w:eastAsia="Times New Roman" w:hAnsi="Times New Roman"/>
          <w:sz w:val="20"/>
          <w:szCs w:val="20"/>
          <w:color w:val="auto"/>
        </w:rPr>
        <w:t>SECTION 9.08.</w:t>
        <w:tab/>
        <w:t>Right of Setoff</w:t>
      </w:r>
      <w:r>
        <w:rPr>
          <w:sz w:val="20"/>
          <w:szCs w:val="20"/>
          <w:color w:val="auto"/>
        </w:rPr>
        <w:tab/>
      </w:r>
      <w:r>
        <w:rPr>
          <w:rFonts w:ascii="Times New Roman" w:cs="Times New Roman" w:eastAsia="Times New Roman" w:hAnsi="Times New Roman"/>
          <w:sz w:val="20"/>
          <w:szCs w:val="20"/>
          <w:color w:val="auto"/>
        </w:rPr>
        <w:t>163</w:t>
      </w:r>
    </w:p>
    <w:p>
      <w:pPr>
        <w:spacing w:after="0" w:line="6" w:lineRule="exact"/>
        <w:rPr>
          <w:sz w:val="20"/>
          <w:szCs w:val="20"/>
          <w:color w:val="auto"/>
        </w:rPr>
      </w:pPr>
    </w:p>
    <w:p>
      <w:pPr>
        <w:spacing w:after="0"/>
        <w:tabs>
          <w:tab w:leader="none" w:pos="1460" w:val="left"/>
          <w:tab w:leader="dot" w:pos="6760" w:val="left"/>
        </w:tabs>
        <w:rPr>
          <w:sz w:val="20"/>
          <w:szCs w:val="20"/>
          <w:color w:val="auto"/>
        </w:rPr>
      </w:pPr>
      <w:r>
        <w:rPr>
          <w:rFonts w:ascii="Times New Roman" w:cs="Times New Roman" w:eastAsia="Times New Roman" w:hAnsi="Times New Roman"/>
          <w:sz w:val="20"/>
          <w:szCs w:val="20"/>
          <w:color w:val="auto"/>
        </w:rPr>
        <w:t>SECTION 9.09.</w:t>
        <w:tab/>
        <w:t>Governing Law; Jurisdiction; Consent to Service of Process</w:t>
      </w:r>
      <w:r>
        <w:rPr>
          <w:sz w:val="20"/>
          <w:szCs w:val="20"/>
          <w:color w:val="auto"/>
        </w:rPr>
        <w:tab/>
      </w:r>
      <w:r>
        <w:rPr>
          <w:rFonts w:ascii="Times New Roman" w:cs="Times New Roman" w:eastAsia="Times New Roman" w:hAnsi="Times New Roman"/>
          <w:sz w:val="18"/>
          <w:szCs w:val="18"/>
          <w:color w:val="auto"/>
        </w:rPr>
        <w:t>164</w:t>
      </w:r>
    </w:p>
    <w:p>
      <w:pPr>
        <w:spacing w:after="0" w:line="13" w:lineRule="exact"/>
        <w:rPr>
          <w:sz w:val="20"/>
          <w:szCs w:val="20"/>
          <w:color w:val="auto"/>
        </w:rPr>
      </w:pPr>
    </w:p>
    <w:p>
      <w:pPr>
        <w:spacing w:after="0"/>
        <w:tabs>
          <w:tab w:leader="none" w:pos="1460" w:val="left"/>
          <w:tab w:leader="dot" w:pos="6720" w:val="left"/>
        </w:tabs>
        <w:rPr>
          <w:sz w:val="20"/>
          <w:szCs w:val="20"/>
          <w:color w:val="auto"/>
        </w:rPr>
      </w:pPr>
      <w:r>
        <w:rPr>
          <w:rFonts w:ascii="Times New Roman" w:cs="Times New Roman" w:eastAsia="Times New Roman" w:hAnsi="Times New Roman"/>
          <w:sz w:val="20"/>
          <w:szCs w:val="20"/>
          <w:color w:val="auto"/>
        </w:rPr>
        <w:t>SECTION 9.10.</w:t>
        <w:tab/>
        <w:t>WAIVER OF JURY TRIAL</w:t>
      </w:r>
      <w:r>
        <w:rPr>
          <w:sz w:val="20"/>
          <w:szCs w:val="20"/>
          <w:color w:val="auto"/>
        </w:rPr>
        <w:tab/>
      </w:r>
      <w:r>
        <w:rPr>
          <w:rFonts w:ascii="Times New Roman" w:cs="Times New Roman" w:eastAsia="Times New Roman" w:hAnsi="Times New Roman"/>
          <w:sz w:val="20"/>
          <w:szCs w:val="20"/>
          <w:color w:val="auto"/>
        </w:rPr>
        <w:t>164</w:t>
      </w:r>
    </w:p>
    <w:p>
      <w:pPr>
        <w:spacing w:after="0" w:line="6" w:lineRule="exact"/>
        <w:rPr>
          <w:sz w:val="20"/>
          <w:szCs w:val="20"/>
          <w:color w:val="auto"/>
        </w:rPr>
      </w:pPr>
    </w:p>
    <w:p>
      <w:pPr>
        <w:spacing w:after="0"/>
        <w:tabs>
          <w:tab w:leader="none" w:pos="1460" w:val="left"/>
          <w:tab w:leader="dot" w:pos="6700" w:val="left"/>
        </w:tabs>
        <w:rPr>
          <w:sz w:val="20"/>
          <w:szCs w:val="20"/>
          <w:color w:val="auto"/>
        </w:rPr>
      </w:pPr>
      <w:r>
        <w:rPr>
          <w:rFonts w:ascii="Times New Roman" w:cs="Times New Roman" w:eastAsia="Times New Roman" w:hAnsi="Times New Roman"/>
          <w:sz w:val="20"/>
          <w:szCs w:val="20"/>
          <w:color w:val="auto"/>
        </w:rPr>
        <w:t>SECTION 9.11.</w:t>
        <w:tab/>
        <w:t>Headings</w:t>
      </w:r>
      <w:r>
        <w:rPr>
          <w:sz w:val="20"/>
          <w:szCs w:val="20"/>
          <w:color w:val="auto"/>
        </w:rPr>
        <w:tab/>
      </w:r>
      <w:r>
        <w:rPr>
          <w:rFonts w:ascii="Times New Roman" w:cs="Times New Roman" w:eastAsia="Times New Roman" w:hAnsi="Times New Roman"/>
          <w:sz w:val="20"/>
          <w:szCs w:val="20"/>
          <w:color w:val="auto"/>
        </w:rPr>
        <w:t>165</w:t>
      </w:r>
    </w:p>
    <w:p>
      <w:pPr>
        <w:spacing w:after="0" w:line="6" w:lineRule="exact"/>
        <w:rPr>
          <w:sz w:val="20"/>
          <w:szCs w:val="20"/>
          <w:color w:val="auto"/>
        </w:rPr>
      </w:pPr>
    </w:p>
    <w:p>
      <w:pPr>
        <w:spacing w:after="0"/>
        <w:tabs>
          <w:tab w:leader="none" w:pos="1460" w:val="left"/>
          <w:tab w:leader="dot" w:pos="6700" w:val="left"/>
        </w:tabs>
        <w:rPr>
          <w:sz w:val="20"/>
          <w:szCs w:val="20"/>
          <w:color w:val="auto"/>
        </w:rPr>
      </w:pPr>
      <w:r>
        <w:rPr>
          <w:rFonts w:ascii="Times New Roman" w:cs="Times New Roman" w:eastAsia="Times New Roman" w:hAnsi="Times New Roman"/>
          <w:sz w:val="20"/>
          <w:szCs w:val="20"/>
          <w:color w:val="auto"/>
        </w:rPr>
        <w:t>SECTION 9.12.</w:t>
        <w:tab/>
        <w:t>Confidentiality</w:t>
      </w:r>
      <w:r>
        <w:rPr>
          <w:sz w:val="20"/>
          <w:szCs w:val="20"/>
          <w:color w:val="auto"/>
        </w:rPr>
        <w:tab/>
      </w:r>
      <w:r>
        <w:rPr>
          <w:rFonts w:ascii="Times New Roman" w:cs="Times New Roman" w:eastAsia="Times New Roman" w:hAnsi="Times New Roman"/>
          <w:sz w:val="20"/>
          <w:szCs w:val="20"/>
          <w:color w:val="auto"/>
        </w:rPr>
        <w:t>165</w:t>
      </w:r>
    </w:p>
    <w:p>
      <w:pPr>
        <w:spacing w:after="0" w:line="6" w:lineRule="exact"/>
        <w:rPr>
          <w:sz w:val="20"/>
          <w:szCs w:val="20"/>
          <w:color w:val="auto"/>
        </w:rPr>
      </w:pPr>
    </w:p>
    <w:p>
      <w:pPr>
        <w:spacing w:after="0"/>
        <w:tabs>
          <w:tab w:leader="none" w:pos="1460" w:val="left"/>
          <w:tab w:leader="dot" w:pos="6720" w:val="left"/>
        </w:tabs>
        <w:rPr>
          <w:sz w:val="20"/>
          <w:szCs w:val="20"/>
          <w:color w:val="auto"/>
        </w:rPr>
      </w:pPr>
      <w:r>
        <w:rPr>
          <w:rFonts w:ascii="Times New Roman" w:cs="Times New Roman" w:eastAsia="Times New Roman" w:hAnsi="Times New Roman"/>
          <w:sz w:val="20"/>
          <w:szCs w:val="20"/>
          <w:color w:val="auto"/>
        </w:rPr>
        <w:t>SECTION 9.13.</w:t>
        <w:tab/>
        <w:t>Interest Rate Limitation</w:t>
      </w:r>
      <w:r>
        <w:rPr>
          <w:sz w:val="20"/>
          <w:szCs w:val="20"/>
          <w:color w:val="auto"/>
        </w:rPr>
        <w:tab/>
      </w:r>
      <w:r>
        <w:rPr>
          <w:rFonts w:ascii="Times New Roman" w:cs="Times New Roman" w:eastAsia="Times New Roman" w:hAnsi="Times New Roman"/>
          <w:sz w:val="20"/>
          <w:szCs w:val="20"/>
          <w:color w:val="auto"/>
        </w:rPr>
        <w:t>165</w:t>
      </w:r>
    </w:p>
    <w:p>
      <w:pPr>
        <w:spacing w:after="0" w:line="6" w:lineRule="exact"/>
        <w:rPr>
          <w:sz w:val="20"/>
          <w:szCs w:val="20"/>
          <w:color w:val="auto"/>
        </w:rPr>
      </w:pPr>
    </w:p>
    <w:p>
      <w:pPr>
        <w:spacing w:after="0"/>
        <w:tabs>
          <w:tab w:leader="none" w:pos="1460" w:val="left"/>
          <w:tab w:leader="dot" w:pos="6740" w:val="left"/>
        </w:tabs>
        <w:rPr>
          <w:sz w:val="20"/>
          <w:szCs w:val="20"/>
          <w:color w:val="auto"/>
        </w:rPr>
      </w:pPr>
      <w:r>
        <w:rPr>
          <w:rFonts w:ascii="Times New Roman" w:cs="Times New Roman" w:eastAsia="Times New Roman" w:hAnsi="Times New Roman"/>
          <w:sz w:val="20"/>
          <w:szCs w:val="20"/>
          <w:color w:val="auto"/>
        </w:rPr>
        <w:t>SECTION 9.14.</w:t>
        <w:tab/>
        <w:t>Security Documents</w:t>
      </w:r>
      <w:r>
        <w:rPr>
          <w:sz w:val="20"/>
          <w:szCs w:val="20"/>
          <w:color w:val="auto"/>
        </w:rPr>
        <w:tab/>
      </w:r>
      <w:r>
        <w:rPr>
          <w:rFonts w:ascii="Times New Roman" w:cs="Times New Roman" w:eastAsia="Times New Roman" w:hAnsi="Times New Roman"/>
          <w:sz w:val="20"/>
          <w:szCs w:val="20"/>
          <w:color w:val="auto"/>
        </w:rPr>
        <w:t>166</w:t>
      </w:r>
    </w:p>
    <w:p>
      <w:pPr>
        <w:spacing w:after="0" w:line="6" w:lineRule="exact"/>
        <w:rPr>
          <w:sz w:val="20"/>
          <w:szCs w:val="20"/>
          <w:color w:val="auto"/>
        </w:rPr>
      </w:pPr>
    </w:p>
    <w:p>
      <w:pPr>
        <w:spacing w:after="0"/>
        <w:tabs>
          <w:tab w:leader="none" w:pos="1460" w:val="left"/>
          <w:tab w:leader="dot" w:pos="6740" w:val="left"/>
        </w:tabs>
        <w:rPr>
          <w:sz w:val="20"/>
          <w:szCs w:val="20"/>
          <w:color w:val="auto"/>
        </w:rPr>
      </w:pPr>
      <w:r>
        <w:rPr>
          <w:rFonts w:ascii="Times New Roman" w:cs="Times New Roman" w:eastAsia="Times New Roman" w:hAnsi="Times New Roman"/>
          <w:sz w:val="20"/>
          <w:szCs w:val="20"/>
          <w:color w:val="auto"/>
        </w:rPr>
        <w:t>SECTION 9.15.</w:t>
        <w:tab/>
        <w:t>Additional Financial Covenants</w:t>
      </w:r>
      <w:r>
        <w:rPr>
          <w:sz w:val="20"/>
          <w:szCs w:val="20"/>
          <w:color w:val="auto"/>
        </w:rPr>
        <w:tab/>
      </w:r>
      <w:r>
        <w:rPr>
          <w:rFonts w:ascii="Times New Roman" w:cs="Times New Roman" w:eastAsia="Times New Roman" w:hAnsi="Times New Roman"/>
          <w:sz w:val="20"/>
          <w:szCs w:val="20"/>
          <w:color w:val="auto"/>
        </w:rPr>
        <w:t>166</w:t>
      </w:r>
    </w:p>
    <w:p>
      <w:pPr>
        <w:spacing w:after="0" w:line="6" w:lineRule="exact"/>
        <w:rPr>
          <w:sz w:val="20"/>
          <w:szCs w:val="20"/>
          <w:color w:val="auto"/>
        </w:rPr>
      </w:pPr>
    </w:p>
    <w:p>
      <w:pPr>
        <w:spacing w:after="0"/>
        <w:tabs>
          <w:tab w:leader="none" w:pos="1460" w:val="left"/>
          <w:tab w:leader="dot" w:pos="6740" w:val="left"/>
        </w:tabs>
        <w:rPr>
          <w:sz w:val="20"/>
          <w:szCs w:val="20"/>
          <w:color w:val="auto"/>
        </w:rPr>
      </w:pPr>
      <w:r>
        <w:rPr>
          <w:rFonts w:ascii="Times New Roman" w:cs="Times New Roman" w:eastAsia="Times New Roman" w:hAnsi="Times New Roman"/>
          <w:sz w:val="20"/>
          <w:szCs w:val="20"/>
          <w:color w:val="auto"/>
        </w:rPr>
        <w:t>SECTION 9.16.</w:t>
        <w:tab/>
        <w:t>Effect of Restatement</w:t>
      </w:r>
      <w:r>
        <w:rPr>
          <w:sz w:val="20"/>
          <w:szCs w:val="20"/>
          <w:color w:val="auto"/>
        </w:rPr>
        <w:tab/>
      </w:r>
      <w:r>
        <w:rPr>
          <w:rFonts w:ascii="Times New Roman" w:cs="Times New Roman" w:eastAsia="Times New Roman" w:hAnsi="Times New Roman"/>
          <w:sz w:val="20"/>
          <w:szCs w:val="20"/>
          <w:color w:val="auto"/>
        </w:rPr>
        <w:t>166</w:t>
      </w:r>
    </w:p>
    <w:p>
      <w:pPr>
        <w:spacing w:after="0" w:line="13" w:lineRule="exact"/>
        <w:rPr>
          <w:sz w:val="20"/>
          <w:szCs w:val="20"/>
          <w:color w:val="auto"/>
        </w:rPr>
      </w:pPr>
    </w:p>
    <w:p>
      <w:pPr>
        <w:spacing w:after="0"/>
        <w:tabs>
          <w:tab w:leader="none" w:pos="1460" w:val="left"/>
          <w:tab w:leader="dot" w:pos="6740" w:val="left"/>
        </w:tabs>
        <w:rPr>
          <w:sz w:val="20"/>
          <w:szCs w:val="20"/>
          <w:color w:val="auto"/>
        </w:rPr>
      </w:pPr>
      <w:r>
        <w:rPr>
          <w:rFonts w:ascii="Times New Roman" w:cs="Times New Roman" w:eastAsia="Times New Roman" w:hAnsi="Times New Roman"/>
          <w:sz w:val="20"/>
          <w:szCs w:val="20"/>
          <w:color w:val="auto"/>
        </w:rPr>
        <w:t>SECTION 9.17.</w:t>
        <w:tab/>
        <w:t>USA Patriot Act and Beneficial Ownership Regulation Notice</w:t>
      </w:r>
      <w:r>
        <w:rPr>
          <w:sz w:val="20"/>
          <w:szCs w:val="20"/>
          <w:color w:val="auto"/>
        </w:rPr>
        <w:tab/>
      </w:r>
      <w:r>
        <w:rPr>
          <w:rFonts w:ascii="Times New Roman" w:cs="Times New Roman" w:eastAsia="Times New Roman" w:hAnsi="Times New Roman"/>
          <w:sz w:val="18"/>
          <w:szCs w:val="18"/>
          <w:color w:val="auto"/>
        </w:rPr>
        <w:t>167</w:t>
      </w:r>
    </w:p>
    <w:p>
      <w:pPr>
        <w:spacing w:after="0" w:line="6" w:lineRule="exact"/>
        <w:rPr>
          <w:sz w:val="20"/>
          <w:szCs w:val="20"/>
          <w:color w:val="auto"/>
        </w:rPr>
      </w:pPr>
    </w:p>
    <w:p>
      <w:pPr>
        <w:spacing w:after="0"/>
        <w:tabs>
          <w:tab w:leader="none" w:pos="1460" w:val="left"/>
          <w:tab w:leader="dot" w:pos="6700" w:val="left"/>
        </w:tabs>
        <w:rPr>
          <w:sz w:val="20"/>
          <w:szCs w:val="20"/>
          <w:color w:val="auto"/>
        </w:rPr>
      </w:pPr>
      <w:r>
        <w:rPr>
          <w:rFonts w:ascii="Times New Roman" w:cs="Times New Roman" w:eastAsia="Times New Roman" w:hAnsi="Times New Roman"/>
          <w:sz w:val="20"/>
          <w:szCs w:val="20"/>
          <w:color w:val="auto"/>
        </w:rPr>
        <w:t>SECTION 9.18.</w:t>
        <w:tab/>
        <w:t>Austrian Matters</w:t>
      </w:r>
      <w:r>
        <w:rPr>
          <w:sz w:val="20"/>
          <w:szCs w:val="20"/>
          <w:color w:val="auto"/>
        </w:rPr>
        <w:tab/>
      </w:r>
      <w:r>
        <w:rPr>
          <w:rFonts w:ascii="Times New Roman" w:cs="Times New Roman" w:eastAsia="Times New Roman" w:hAnsi="Times New Roman"/>
          <w:sz w:val="20"/>
          <w:szCs w:val="20"/>
          <w:color w:val="auto"/>
        </w:rPr>
        <w:t>167</w:t>
      </w:r>
    </w:p>
    <w:p>
      <w:pPr>
        <w:spacing w:after="0" w:line="6" w:lineRule="exact"/>
        <w:rPr>
          <w:sz w:val="20"/>
          <w:szCs w:val="20"/>
          <w:color w:val="auto"/>
        </w:rPr>
      </w:pPr>
    </w:p>
    <w:p>
      <w:pPr>
        <w:spacing w:after="0"/>
        <w:tabs>
          <w:tab w:leader="none" w:pos="1460" w:val="left"/>
          <w:tab w:leader="dot" w:pos="6740" w:val="left"/>
        </w:tabs>
        <w:rPr>
          <w:sz w:val="20"/>
          <w:szCs w:val="20"/>
          <w:color w:val="auto"/>
        </w:rPr>
      </w:pPr>
      <w:r>
        <w:rPr>
          <w:rFonts w:ascii="Times New Roman" w:cs="Times New Roman" w:eastAsia="Times New Roman" w:hAnsi="Times New Roman"/>
          <w:sz w:val="20"/>
          <w:szCs w:val="20"/>
          <w:color w:val="auto"/>
        </w:rPr>
        <w:t>SECTION 9.19.</w:t>
        <w:tab/>
        <w:t>No Fiduciary Relationship</w:t>
      </w:r>
      <w:r>
        <w:rPr>
          <w:sz w:val="20"/>
          <w:szCs w:val="20"/>
          <w:color w:val="auto"/>
        </w:rPr>
        <w:tab/>
      </w:r>
      <w:r>
        <w:rPr>
          <w:rFonts w:ascii="Times New Roman" w:cs="Times New Roman" w:eastAsia="Times New Roman" w:hAnsi="Times New Roman"/>
          <w:sz w:val="18"/>
          <w:szCs w:val="18"/>
          <w:color w:val="auto"/>
        </w:rPr>
        <w:t>169</w:t>
      </w:r>
    </w:p>
    <w:p>
      <w:pPr>
        <w:spacing w:after="0" w:line="6" w:lineRule="exact"/>
        <w:rPr>
          <w:sz w:val="20"/>
          <w:szCs w:val="20"/>
          <w:color w:val="auto"/>
        </w:rPr>
      </w:pPr>
    </w:p>
    <w:p>
      <w:pPr>
        <w:spacing w:after="0"/>
        <w:tabs>
          <w:tab w:leader="none" w:pos="1460" w:val="left"/>
          <w:tab w:leader="dot" w:pos="6740" w:val="left"/>
        </w:tabs>
        <w:rPr>
          <w:sz w:val="20"/>
          <w:szCs w:val="20"/>
          <w:color w:val="auto"/>
        </w:rPr>
      </w:pPr>
      <w:r>
        <w:rPr>
          <w:rFonts w:ascii="Times New Roman" w:cs="Times New Roman" w:eastAsia="Times New Roman" w:hAnsi="Times New Roman"/>
          <w:sz w:val="20"/>
          <w:szCs w:val="20"/>
          <w:color w:val="auto"/>
        </w:rPr>
        <w:t>SECTION 9.20.</w:t>
        <w:tab/>
        <w:t>Non-Public Information</w:t>
      </w:r>
      <w:r>
        <w:rPr>
          <w:sz w:val="20"/>
          <w:szCs w:val="20"/>
          <w:color w:val="auto"/>
        </w:rPr>
        <w:tab/>
      </w:r>
      <w:r>
        <w:rPr>
          <w:rFonts w:ascii="Times New Roman" w:cs="Times New Roman" w:eastAsia="Times New Roman" w:hAnsi="Times New Roman"/>
          <w:sz w:val="20"/>
          <w:szCs w:val="20"/>
          <w:color w:val="auto"/>
        </w:rPr>
        <w:t>169</w:t>
      </w:r>
    </w:p>
    <w:p>
      <w:pPr>
        <w:spacing w:after="0" w:line="6" w:lineRule="exact"/>
        <w:rPr>
          <w:sz w:val="20"/>
          <w:szCs w:val="20"/>
          <w:color w:val="auto"/>
        </w:rPr>
      </w:pPr>
    </w:p>
    <w:p>
      <w:pPr>
        <w:spacing w:after="0"/>
        <w:tabs>
          <w:tab w:leader="none" w:pos="1460" w:val="left"/>
          <w:tab w:leader="dot" w:pos="6760" w:val="left"/>
        </w:tabs>
        <w:rPr>
          <w:sz w:val="20"/>
          <w:szCs w:val="20"/>
          <w:color w:val="auto"/>
        </w:rPr>
      </w:pPr>
      <w:r>
        <w:rPr>
          <w:rFonts w:ascii="Times New Roman" w:cs="Times New Roman" w:eastAsia="Times New Roman" w:hAnsi="Times New Roman"/>
          <w:sz w:val="20"/>
          <w:szCs w:val="20"/>
          <w:color w:val="auto"/>
        </w:rPr>
        <w:t>SECTION 9.21.</w:t>
      </w:r>
      <w:r>
        <w:rPr>
          <w:sz w:val="20"/>
          <w:szCs w:val="20"/>
          <w:color w:val="auto"/>
        </w:rPr>
        <w:tab/>
      </w:r>
      <w:r>
        <w:rPr>
          <w:rFonts w:ascii="Times New Roman" w:cs="Times New Roman" w:eastAsia="Times New Roman" w:hAnsi="Times New Roman"/>
          <w:sz w:val="16"/>
          <w:szCs w:val="16"/>
          <w:color w:val="auto"/>
        </w:rPr>
        <w:t>Acknowledgement and Consent to Bail-In of Affected Financial Institutions</w:t>
      </w:r>
      <w:r>
        <w:rPr>
          <w:sz w:val="20"/>
          <w:szCs w:val="20"/>
          <w:color w:val="auto"/>
        </w:rPr>
        <w:tab/>
      </w:r>
      <w:r>
        <w:rPr>
          <w:rFonts w:ascii="Times New Roman" w:cs="Times New Roman" w:eastAsia="Times New Roman" w:hAnsi="Times New Roman"/>
          <w:sz w:val="20"/>
          <w:szCs w:val="20"/>
          <w:color w:val="auto"/>
        </w:rPr>
        <w:t>169</w:t>
      </w:r>
    </w:p>
    <w:p>
      <w:pPr>
        <w:spacing w:after="0" w:line="13" w:lineRule="exact"/>
        <w:rPr>
          <w:sz w:val="20"/>
          <w:szCs w:val="20"/>
          <w:color w:val="auto"/>
        </w:rPr>
      </w:pPr>
    </w:p>
    <w:p>
      <w:pPr>
        <w:spacing w:after="0"/>
        <w:tabs>
          <w:tab w:leader="none" w:pos="1460" w:val="left"/>
          <w:tab w:leader="dot" w:pos="6720" w:val="left"/>
        </w:tabs>
        <w:rPr>
          <w:sz w:val="20"/>
          <w:szCs w:val="20"/>
          <w:color w:val="auto"/>
        </w:rPr>
      </w:pPr>
      <w:r>
        <w:rPr>
          <w:rFonts w:ascii="Times New Roman" w:cs="Times New Roman" w:eastAsia="Times New Roman" w:hAnsi="Times New Roman"/>
          <w:sz w:val="20"/>
          <w:szCs w:val="20"/>
          <w:color w:val="auto"/>
        </w:rPr>
        <w:t>SECTION 9.22.</w:t>
        <w:tab/>
        <w:t>Acknowledgement Regarding Any Supported QFCs</w:t>
      </w:r>
      <w:r>
        <w:rPr>
          <w:sz w:val="20"/>
          <w:szCs w:val="20"/>
          <w:color w:val="auto"/>
        </w:rPr>
        <w:tab/>
      </w:r>
      <w:r>
        <w:rPr>
          <w:rFonts w:ascii="Times New Roman" w:cs="Times New Roman" w:eastAsia="Times New Roman" w:hAnsi="Times New Roman"/>
          <w:sz w:val="20"/>
          <w:szCs w:val="20"/>
          <w:color w:val="auto"/>
        </w:rPr>
        <w:t>171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iii</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0139"/>
          </w:cols>
          <w:pgMar w:left="320" w:top="1440" w:right="1440" w:bottom="1440" w:gutter="0" w:footer="0" w:header="0"/>
        </w:sectPr>
      </w:pPr>
    </w:p>
    <w:bookmarkStart w:id="196" w:name="page197"/>
    <w:bookmarkEnd w:id="196"/>
    <w:tbl>
      <w:tblPr>
        <w:tblLayout w:type="fixed"/>
        <w:tblInd w:w="0" w:type="dxa"/>
        <w:tblCellMar>
          <w:top w:w="0" w:type="dxa"/>
          <w:left w:w="0" w:type="dxa"/>
          <w:bottom w:w="0" w:type="dxa"/>
          <w:right w:w="0" w:type="dxa"/>
        </w:tblCellMar>
      </w:tblPr>
      <w:tr>
        <w:trPr>
          <w:trHeight w:val="253"/>
        </w:trPr>
        <w:tc>
          <w:tcPr>
            <w:tcW w:w="1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w w:val="97"/>
              </w:rPr>
              <w:t>SCHEDULES:</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80" w:type="dxa"/>
            <w:vAlign w:val="bottom"/>
          </w:tcPr>
          <w:p>
            <w:pPr>
              <w:spacing w:after="0"/>
              <w:rPr>
                <w:sz w:val="22"/>
                <w:szCs w:val="22"/>
                <w:color w:val="auto"/>
              </w:rPr>
            </w:pPr>
          </w:p>
        </w:tc>
      </w:tr>
      <w:tr>
        <w:trPr>
          <w:trHeight w:val="479"/>
        </w:trPr>
        <w:tc>
          <w:tcPr>
            <w:tcW w:w="1400" w:type="dxa"/>
            <w:vAlign w:val="bottom"/>
            <w:gridSpan w:val="4"/>
          </w:tcPr>
          <w:p>
            <w:pPr>
              <w:spacing w:after="0"/>
              <w:rPr>
                <w:sz w:val="20"/>
                <w:szCs w:val="20"/>
                <w:color w:val="auto"/>
              </w:rPr>
            </w:pPr>
            <w:r>
              <w:rPr>
                <w:rFonts w:ascii="Times New Roman" w:cs="Times New Roman" w:eastAsia="Times New Roman" w:hAnsi="Times New Roman"/>
                <w:sz w:val="22"/>
                <w:szCs w:val="22"/>
                <w:color w:val="auto"/>
                <w:w w:val="98"/>
              </w:rPr>
              <w:t>Schedule 1.01A</w:t>
            </w:r>
          </w:p>
        </w:tc>
        <w:tc>
          <w:tcPr>
            <w:tcW w:w="20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34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Consent Subsidiaries</w:t>
            </w:r>
          </w:p>
        </w:tc>
      </w:tr>
      <w:tr>
        <w:trPr>
          <w:trHeight w:val="270"/>
        </w:trPr>
        <w:tc>
          <w:tcPr>
            <w:tcW w:w="1400" w:type="dxa"/>
            <w:vAlign w:val="bottom"/>
            <w:gridSpan w:val="4"/>
          </w:tcPr>
          <w:p>
            <w:pPr>
              <w:spacing w:after="0"/>
              <w:rPr>
                <w:sz w:val="20"/>
                <w:szCs w:val="20"/>
                <w:color w:val="auto"/>
              </w:rPr>
            </w:pPr>
            <w:r>
              <w:rPr>
                <w:rFonts w:ascii="Times New Roman" w:cs="Times New Roman" w:eastAsia="Times New Roman" w:hAnsi="Times New Roman"/>
                <w:sz w:val="22"/>
                <w:szCs w:val="22"/>
                <w:color w:val="auto"/>
                <w:w w:val="99"/>
              </w:rPr>
              <w:t>Schedule 1.01B</w:t>
            </w:r>
          </w:p>
        </w:tc>
        <w:tc>
          <w:tcPr>
            <w:tcW w:w="200" w:type="dxa"/>
            <w:vAlign w:val="bottom"/>
          </w:tcPr>
          <w:p>
            <w:pPr>
              <w:spacing w:after="0"/>
              <w:rPr>
                <w:sz w:val="23"/>
                <w:szCs w:val="23"/>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34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Mortgaged Properties</w:t>
            </w:r>
          </w:p>
        </w:tc>
      </w:tr>
      <w:tr>
        <w:trPr>
          <w:trHeight w:val="257"/>
        </w:trPr>
        <w:tc>
          <w:tcPr>
            <w:tcW w:w="1400" w:type="dxa"/>
            <w:vAlign w:val="bottom"/>
            <w:gridSpan w:val="4"/>
          </w:tcPr>
          <w:p>
            <w:pPr>
              <w:spacing w:after="0"/>
              <w:rPr>
                <w:sz w:val="20"/>
                <w:szCs w:val="20"/>
                <w:color w:val="auto"/>
              </w:rPr>
            </w:pPr>
            <w:r>
              <w:rPr>
                <w:rFonts w:ascii="Times New Roman" w:cs="Times New Roman" w:eastAsia="Times New Roman" w:hAnsi="Times New Roman"/>
                <w:sz w:val="22"/>
                <w:szCs w:val="22"/>
                <w:color w:val="auto"/>
                <w:w w:val="99"/>
              </w:rPr>
              <w:t>Schedule 1.01C</w:t>
            </w:r>
          </w:p>
        </w:tc>
        <w:tc>
          <w:tcPr>
            <w:tcW w:w="200" w:type="dxa"/>
            <w:vAlign w:val="bottom"/>
          </w:tcPr>
          <w:p>
            <w:pPr>
              <w:spacing w:after="0"/>
              <w:rPr>
                <w:sz w:val="22"/>
                <w:szCs w:val="22"/>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34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7"/>
              </w:rPr>
              <w:t>Senior Subordinated-Lien Indebtedness</w:t>
            </w:r>
          </w:p>
        </w:tc>
      </w:tr>
      <w:tr>
        <w:trPr>
          <w:trHeight w:val="257"/>
        </w:trPr>
        <w:tc>
          <w:tcPr>
            <w:tcW w:w="1400" w:type="dxa"/>
            <w:vAlign w:val="bottom"/>
            <w:gridSpan w:val="4"/>
          </w:tcPr>
          <w:p>
            <w:pPr>
              <w:spacing w:after="0"/>
              <w:rPr>
                <w:sz w:val="20"/>
                <w:szCs w:val="20"/>
                <w:color w:val="auto"/>
              </w:rPr>
            </w:pPr>
            <w:r>
              <w:rPr>
                <w:rFonts w:ascii="Times New Roman" w:cs="Times New Roman" w:eastAsia="Times New Roman" w:hAnsi="Times New Roman"/>
                <w:sz w:val="22"/>
                <w:szCs w:val="22"/>
                <w:color w:val="auto"/>
                <w:w w:val="98"/>
              </w:rPr>
              <w:t>Schedule 1.01D</w:t>
            </w:r>
          </w:p>
        </w:tc>
        <w:tc>
          <w:tcPr>
            <w:tcW w:w="200" w:type="dxa"/>
            <w:vAlign w:val="bottom"/>
          </w:tcPr>
          <w:p>
            <w:pPr>
              <w:spacing w:after="0"/>
              <w:rPr>
                <w:sz w:val="22"/>
                <w:szCs w:val="22"/>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34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Principal Goodyear Trademarks</w:t>
            </w:r>
          </w:p>
        </w:tc>
      </w:tr>
      <w:tr>
        <w:trPr>
          <w:trHeight w:val="257"/>
        </w:trPr>
        <w:tc>
          <w:tcPr>
            <w:tcW w:w="14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Schedule 2.01</w:t>
            </w:r>
          </w:p>
        </w:tc>
        <w:tc>
          <w:tcPr>
            <w:tcW w:w="20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5"/>
              </w:rPr>
              <w:t>--</w:t>
            </w:r>
          </w:p>
        </w:tc>
        <w:tc>
          <w:tcPr>
            <w:tcW w:w="378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Commitments</w:t>
            </w:r>
          </w:p>
        </w:tc>
      </w:tr>
      <w:tr>
        <w:trPr>
          <w:trHeight w:val="256"/>
        </w:trPr>
        <w:tc>
          <w:tcPr>
            <w:tcW w:w="14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Schedule 2.04</w:t>
            </w:r>
          </w:p>
        </w:tc>
        <w:tc>
          <w:tcPr>
            <w:tcW w:w="20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5"/>
              </w:rPr>
              <w:t>--</w:t>
            </w:r>
          </w:p>
        </w:tc>
        <w:tc>
          <w:tcPr>
            <w:tcW w:w="378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Swingline Commitments</w:t>
            </w:r>
          </w:p>
        </w:tc>
      </w:tr>
      <w:tr>
        <w:trPr>
          <w:trHeight w:val="270"/>
        </w:trPr>
        <w:tc>
          <w:tcPr>
            <w:tcW w:w="16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Schedule 3.08(b)</w:t>
            </w:r>
          </w:p>
        </w:tc>
        <w:tc>
          <w:tcPr>
            <w:tcW w:w="3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w:t>
            </w:r>
          </w:p>
        </w:tc>
        <w:tc>
          <w:tcPr>
            <w:tcW w:w="3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Defined Benefit CPP</w:t>
            </w:r>
          </w:p>
        </w:tc>
      </w:tr>
      <w:tr>
        <w:trPr>
          <w:trHeight w:val="282"/>
        </w:trPr>
        <w:tc>
          <w:tcPr>
            <w:tcW w:w="16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Schedule 3.10(b)</w:t>
            </w:r>
          </w:p>
        </w:tc>
        <w:tc>
          <w:tcPr>
            <w:tcW w:w="3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w:t>
            </w:r>
          </w:p>
        </w:tc>
        <w:tc>
          <w:tcPr>
            <w:tcW w:w="3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Mortgaged Properties</w:t>
            </w:r>
          </w:p>
        </w:tc>
      </w:tr>
      <w:tr>
        <w:trPr>
          <w:trHeight w:val="636"/>
        </w:trPr>
        <w:tc>
          <w:tcPr>
            <w:tcW w:w="10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EXHIBITS:</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479"/>
        </w:trPr>
        <w:tc>
          <w:tcPr>
            <w:tcW w:w="1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Exhibit A</w:t>
            </w:r>
          </w:p>
        </w:tc>
        <w:tc>
          <w:tcPr>
            <w:tcW w:w="60" w:type="dxa"/>
            <w:vAlign w:val="bottom"/>
          </w:tcPr>
          <w:p>
            <w:pPr>
              <w:spacing w:after="0"/>
              <w:rPr>
                <w:sz w:val="24"/>
                <w:szCs w:val="24"/>
                <w:color w:val="auto"/>
              </w:rPr>
            </w:pPr>
          </w:p>
        </w:tc>
        <w:tc>
          <w:tcPr>
            <w:tcW w:w="2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81"/>
              </w:rPr>
              <w:t>--</w:t>
            </w:r>
          </w:p>
        </w:tc>
        <w:tc>
          <w:tcPr>
            <w:tcW w:w="80" w:type="dxa"/>
            <w:vAlign w:val="bottom"/>
          </w:tcPr>
          <w:p>
            <w:pPr>
              <w:spacing w:after="0"/>
              <w:rPr>
                <w:sz w:val="24"/>
                <w:szCs w:val="24"/>
                <w:color w:val="auto"/>
              </w:rPr>
            </w:pPr>
          </w:p>
        </w:tc>
        <w:tc>
          <w:tcPr>
            <w:tcW w:w="398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Form of Promissory Note</w:t>
            </w:r>
          </w:p>
        </w:tc>
      </w:tr>
      <w:tr>
        <w:trPr>
          <w:trHeight w:val="257"/>
        </w:trPr>
        <w:tc>
          <w:tcPr>
            <w:tcW w:w="1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 B</w:t>
            </w:r>
          </w:p>
        </w:tc>
        <w:tc>
          <w:tcPr>
            <w:tcW w:w="2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81"/>
              </w:rPr>
              <w:t>--</w:t>
            </w:r>
          </w:p>
        </w:tc>
        <w:tc>
          <w:tcPr>
            <w:tcW w:w="80" w:type="dxa"/>
            <w:vAlign w:val="bottom"/>
          </w:tcPr>
          <w:p>
            <w:pPr>
              <w:spacing w:after="0"/>
              <w:rPr>
                <w:sz w:val="22"/>
                <w:szCs w:val="22"/>
                <w:color w:val="auto"/>
              </w:rPr>
            </w:pPr>
          </w:p>
        </w:tc>
        <w:tc>
          <w:tcPr>
            <w:tcW w:w="398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Form of Assignment and Assumption</w:t>
            </w:r>
          </w:p>
        </w:tc>
      </w:tr>
      <w:tr>
        <w:trPr>
          <w:trHeight w:val="257"/>
        </w:trPr>
        <w:tc>
          <w:tcPr>
            <w:tcW w:w="1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 C</w:t>
            </w:r>
          </w:p>
        </w:tc>
        <w:tc>
          <w:tcPr>
            <w:tcW w:w="2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81"/>
              </w:rPr>
              <w:t>--</w:t>
            </w:r>
          </w:p>
        </w:tc>
        <w:tc>
          <w:tcPr>
            <w:tcW w:w="80" w:type="dxa"/>
            <w:vAlign w:val="bottom"/>
          </w:tcPr>
          <w:p>
            <w:pPr>
              <w:spacing w:after="0"/>
              <w:rPr>
                <w:sz w:val="22"/>
                <w:szCs w:val="22"/>
                <w:color w:val="auto"/>
              </w:rPr>
            </w:pPr>
          </w:p>
        </w:tc>
        <w:tc>
          <w:tcPr>
            <w:tcW w:w="398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Form of Borrowing Base Certificate</w:t>
            </w:r>
          </w:p>
        </w:tc>
      </w:tr>
      <w:tr>
        <w:trPr>
          <w:trHeight w:val="282"/>
        </w:trPr>
        <w:tc>
          <w:tcPr>
            <w:tcW w:w="1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 D</w:t>
            </w:r>
          </w:p>
        </w:tc>
        <w:tc>
          <w:tcPr>
            <w:tcW w:w="2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5"/>
              </w:rPr>
              <w:t>--</w:t>
            </w:r>
          </w:p>
        </w:tc>
        <w:tc>
          <w:tcPr>
            <w:tcW w:w="80" w:type="dxa"/>
            <w:vAlign w:val="bottom"/>
          </w:tcPr>
          <w:p>
            <w:pPr>
              <w:spacing w:after="0"/>
              <w:rPr>
                <w:sz w:val="24"/>
                <w:szCs w:val="24"/>
                <w:color w:val="auto"/>
              </w:rPr>
            </w:pPr>
          </w:p>
        </w:tc>
        <w:tc>
          <w:tcPr>
            <w:tcW w:w="398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Form of Reaffirmation Agreement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22"/>
          <w:szCs w:val="22"/>
          <w:color w:val="auto"/>
        </w:rPr>
        <w:t>iv</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0139"/>
          </w:cols>
          <w:pgMar w:left="320" w:top="1399" w:right="1440" w:bottom="1440" w:gutter="0" w:footer="0" w:header="0"/>
        </w:sectPr>
      </w:pPr>
    </w:p>
    <w:bookmarkStart w:id="197" w:name="page198"/>
    <w:bookmarkEnd w:id="197"/>
    <w:p>
      <w:pPr>
        <w:jc w:val="both"/>
        <w:ind w:left="1960" w:firstLine="648"/>
        <w:spacing w:after="0" w:line="256" w:lineRule="auto"/>
        <w:rPr>
          <w:sz w:val="20"/>
          <w:szCs w:val="20"/>
          <w:color w:val="auto"/>
        </w:rPr>
      </w:pPr>
      <w:r>
        <w:rPr>
          <w:rFonts w:ascii="Times New Roman" w:cs="Times New Roman" w:eastAsia="Times New Roman" w:hAnsi="Times New Roman"/>
          <w:sz w:val="22"/>
          <w:szCs w:val="22"/>
          <w:color w:val="auto"/>
        </w:rPr>
        <w:t>AMENDED AND RESTATED FIRST LIEN CREDIT AGREEMENT dated as of May 19, 2025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among THE GOODYEAR TIRE &amp; RUBBER COMPANY; the LENDERS party hereto; the ISSUING BANKS party hereto; and JPMORGAN CHASE BANK, N.A., as Administrative Agent and Collateral Agent.</w:t>
      </w:r>
    </w:p>
    <w:p>
      <w:pPr>
        <w:spacing w:after="0" w:line="176"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The Borrower has requested that the Lenders agree to amend and restate the Existing Credit Agreement (such term and each other capitalized term used but not otherwise defined herein having the meaning assigned to it in Article I) in order to continue the revolving credit facility provided for therein and to extend credit in the form of Revolving Loans, Swingline Loans and Letters of Credit in an aggregate principal or stated amount not in excess of $2,750,000,000 at any time outstanding. The Lenders are willing to continue such revolving credit facility, and to amend and restate the Existing Credit Agreement in the form hereof, upon the terms and subject to the conditions set forth herein. The proceeds of Borrowings hereunder will be used for working capital and general corporate purposes of the Borrower and the Subsidiaries. Letters of Credit will be used for general corporate purposes of the Borrower and the Subsidiaries.</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Accordingly, the parties hereto agree as follows:</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I</w:t>
      </w:r>
    </w:p>
    <w:p>
      <w:pPr>
        <w:spacing w:after="0" w:line="27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u w:val="single" w:color="auto"/>
          <w:color w:val="auto"/>
        </w:rPr>
        <w:t>Definitions</w:t>
      </w: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 xml:space="preserve">SECTION 1.01. </w:t>
      </w: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xml:space="preserve"> As used in this Agreement, the following terms have the meanings specified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below:</w:t>
      </w:r>
    </w:p>
    <w:p>
      <w:pPr>
        <w:spacing w:after="0" w:line="19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ABR</w:t>
      </w:r>
      <w:r>
        <w:rPr>
          <w:rFonts w:ascii="Times New Roman" w:cs="Times New Roman" w:eastAsia="Times New Roman" w:hAnsi="Times New Roman"/>
          <w:sz w:val="22"/>
          <w:szCs w:val="22"/>
          <w:color w:val="auto"/>
        </w:rPr>
        <w:t>”, when used in reference to any Loan or Borrowing, refers to whether such Loan, or the Loans comprising such Borrowing, are bearing interest at a rate determined by reference to the Alternate Base Rate.</w:t>
      </w:r>
    </w:p>
    <w:p>
      <w:pPr>
        <w:spacing w:after="0" w:line="17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Access Agreement</w:t>
      </w:r>
      <w:r>
        <w:rPr>
          <w:rFonts w:ascii="Times New Roman" w:cs="Times New Roman" w:eastAsia="Times New Roman" w:hAnsi="Times New Roman"/>
          <w:sz w:val="22"/>
          <w:szCs w:val="22"/>
          <w:color w:val="auto"/>
        </w:rPr>
        <w:t>” means a written agreement granting access rights with respect to any Accounts or Inventory of the Borrower or any of the other Grantors located at any third party location, in form and substance reasonably satisfactory to the Administrative Agent.</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w:t>
      </w:r>
      <w:r>
        <w:rPr>
          <w:rFonts w:ascii="Times New Roman" w:cs="Times New Roman" w:eastAsia="Times New Roman" w:hAnsi="Times New Roman"/>
          <w:sz w:val="22"/>
          <w:szCs w:val="22"/>
          <w:color w:val="auto"/>
        </w:rPr>
        <w:t>” has the meaning specified in the UCC.</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Account Control Agreement</w:t>
      </w:r>
      <w:r>
        <w:rPr>
          <w:rFonts w:ascii="Times New Roman" w:cs="Times New Roman" w:eastAsia="Times New Roman" w:hAnsi="Times New Roman"/>
          <w:sz w:val="21"/>
          <w:szCs w:val="21"/>
          <w:color w:val="auto"/>
        </w:rPr>
        <w:t>” has the meaning assigned to such term in the Guarantee and Collateral Agreement.</w:t>
      </w:r>
    </w:p>
    <w:p>
      <w:pPr>
        <w:spacing w:after="0" w:line="2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 Debtor</w:t>
      </w:r>
      <w:r>
        <w:rPr>
          <w:rFonts w:ascii="Times New Roman" w:cs="Times New Roman" w:eastAsia="Times New Roman" w:hAnsi="Times New Roman"/>
          <w:sz w:val="22"/>
          <w:szCs w:val="22"/>
          <w:color w:val="auto"/>
        </w:rPr>
        <w:t>” means the Person who is primarily obligated under, with respect to or on account of an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198" w:name="page199"/>
    <w:bookmarkEnd w:id="198"/>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Accounts Receivable Reserves</w:t>
      </w:r>
      <w:r>
        <w:rPr>
          <w:rFonts w:ascii="Times New Roman" w:cs="Times New Roman" w:eastAsia="Times New Roman" w:hAnsi="Times New Roman"/>
          <w:sz w:val="22"/>
          <w:szCs w:val="22"/>
          <w:color w:val="auto"/>
        </w:rPr>
        <w:t>” means, on any date, an amount (calculated in accordance with the current and historical accounting practices of the Borrower) equal to the sum of reserves for volume rebates, cash discounts, Federal excise taxes and warranties maintained on the Borrower’s general ledger with respect to Eligible Accounts Receivable and the Canadian Priority Payables Reserve, to the extent applicable to Eligible Accounts Receivable, in each case without duplication of any amounts that are included in the Dilution Factors for such period or excluded from the value of Eligible Accounts Receivable pursuant to the definition thereof, and each such reserve to be subject to adjustment by the Administrative Agent or the Majority Lenders in their discretion (not to be exercised unreasonably) based on the results of collateral and borrowing base evaluations and monitoring conducted by the Administrative Agent and its designated representatives. Any such adjustment by the Administrative Agent or the Majority Lenders shall be made by written notice to the Borrower setting forth in reasonable detail the basis for such adjustment, and shall become effective for purposes of the first Borrowing Base Certificate that is delivered pursuant to Section 5.09 at least five Business Days after the date of receipt by the Borrower of such written notice.</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Assets</w:t>
      </w:r>
      <w:r>
        <w:rPr>
          <w:rFonts w:ascii="Times New Roman" w:cs="Times New Roman" w:eastAsia="Times New Roman" w:hAnsi="Times New Roman"/>
          <w:sz w:val="22"/>
          <w:szCs w:val="22"/>
          <w:color w:val="auto"/>
        </w:rPr>
        <w:t>” means:</w:t>
      </w:r>
    </w:p>
    <w:p>
      <w:pPr>
        <w:spacing w:after="0" w:line="220" w:lineRule="exact"/>
        <w:rPr>
          <w:sz w:val="20"/>
          <w:szCs w:val="20"/>
          <w:color w:val="auto"/>
        </w:rPr>
      </w:pPr>
    </w:p>
    <w:p>
      <w:pPr>
        <w:ind w:left="1680" w:hanging="299"/>
        <w:spacing w:after="0"/>
        <w:tabs>
          <w:tab w:leader="none" w:pos="1680"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property or assets (other than Indebtedness and Capital Stock) to be used by the Borrower or a Restricted</w:t>
      </w:r>
    </w:p>
    <w:p>
      <w:pPr>
        <w:spacing w:after="0" w:line="39"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Subsidiary;</w:t>
      </w:r>
    </w:p>
    <w:p>
      <w:pPr>
        <w:spacing w:after="0" w:line="209" w:lineRule="exact"/>
        <w:rPr>
          <w:rFonts w:ascii="Times New Roman" w:cs="Times New Roman" w:eastAsia="Times New Roman" w:hAnsi="Times New Roman"/>
          <w:sz w:val="21"/>
          <w:szCs w:val="21"/>
          <w:color w:val="auto"/>
        </w:rPr>
      </w:pPr>
    </w:p>
    <w:p>
      <w:pPr>
        <w:ind w:left="660" w:firstLine="721"/>
        <w:spacing w:after="0" w:line="271" w:lineRule="auto"/>
        <w:tabs>
          <w:tab w:leader="none" w:pos="1718"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Capital Stock of a Person that becomes a Restricted Subsidiary as a result of the acquisition of such Capital Stock by the Borrower or another Restricted Subsidiary; or</w:t>
      </w:r>
    </w:p>
    <w:p>
      <w:pPr>
        <w:spacing w:after="0" w:line="157" w:lineRule="exact"/>
        <w:rPr>
          <w:rFonts w:ascii="Times New Roman" w:cs="Times New Roman" w:eastAsia="Times New Roman" w:hAnsi="Times New Roman"/>
          <w:sz w:val="22"/>
          <w:szCs w:val="22"/>
          <w:color w:val="auto"/>
        </w:rPr>
      </w:pPr>
    </w:p>
    <w:p>
      <w:pPr>
        <w:ind w:left="1680" w:hanging="299"/>
        <w:spacing w:after="0"/>
        <w:tabs>
          <w:tab w:leader="none" w:pos="1680"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 Stock constituting a minority interest in any Person that at such time is a Restricted Subsidiary;</w:t>
      </w:r>
    </w:p>
    <w:p>
      <w:pPr>
        <w:spacing w:after="0" w:line="22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such Restricted Subsidiary described in clauses (b) or (c) above is primarily engaged in a Permitted Business.</w:t>
      </w:r>
    </w:p>
    <w:p>
      <w:pPr>
        <w:spacing w:after="0" w:line="17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Inventory Reserves</w:t>
      </w:r>
      <w:r>
        <w:rPr>
          <w:rFonts w:ascii="Times New Roman" w:cs="Times New Roman" w:eastAsia="Times New Roman" w:hAnsi="Times New Roman"/>
          <w:sz w:val="22"/>
          <w:szCs w:val="22"/>
          <w:color w:val="auto"/>
        </w:rPr>
        <w:t>” means, on any date, an amount equal to the sum of the following reserves established by the Administrative Agent with respect to Eligible Inventory and Eligible In-Transit Inventory, without duplication of any deductions made pursuant to the definitions of “Eligible Inventory”, “Eligible In-Transit Inventory”, “Inventory Reserves” and “Inventory Value”:</w:t>
      </w:r>
    </w:p>
    <w:p>
      <w:pPr>
        <w:spacing w:after="0" w:line="17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1"/>
          <w:szCs w:val="21"/>
          <w:color w:val="auto"/>
        </w:rPr>
        <w:t>(a) a reserve for “slow moving” Eligible Inventory equal to 75% of the amount in excess of a 12 month supply on</w:t>
      </w:r>
    </w:p>
    <w:p>
      <w:pPr>
        <w:spacing w:after="0" w:line="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hand;</w:t>
      </w:r>
    </w:p>
    <w:p>
      <w:pPr>
        <w:spacing w:after="0" w:line="207" w:lineRule="exact"/>
        <w:rPr>
          <w:sz w:val="20"/>
          <w:szCs w:val="20"/>
          <w:color w:val="auto"/>
        </w:rPr>
      </w:pPr>
    </w:p>
    <w:p>
      <w:pPr>
        <w:ind w:left="1680" w:hanging="299"/>
        <w:spacing w:after="0"/>
        <w:tabs>
          <w:tab w:leader="none" w:pos="1680"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reserve for private label Eligible Inventory relating to the North America Tire Division;</w:t>
      </w:r>
    </w:p>
    <w:p>
      <w:pPr>
        <w:spacing w:after="0" w:line="219" w:lineRule="exact"/>
        <w:rPr>
          <w:rFonts w:ascii="Times New Roman" w:cs="Times New Roman" w:eastAsia="Times New Roman" w:hAnsi="Times New Roman"/>
          <w:sz w:val="22"/>
          <w:szCs w:val="22"/>
          <w:color w:val="auto"/>
        </w:rPr>
      </w:pPr>
    </w:p>
    <w:p>
      <w:pPr>
        <w:ind w:left="1680" w:hanging="299"/>
        <w:spacing w:after="0"/>
        <w:tabs>
          <w:tab w:leader="none" w:pos="1680"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reserve for freight, duties and insurance for Eligible In-Transit Inventory equal to $5,000,000;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199" w:name="page200"/>
    <w:bookmarkEnd w:id="199"/>
    <w:p>
      <w:pPr>
        <w:jc w:val="both"/>
        <w:ind w:left="660" w:firstLine="721"/>
        <w:spacing w:after="0" w:line="257" w:lineRule="auto"/>
        <w:tabs>
          <w:tab w:leader="none" w:pos="1691"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reserve for shrink or discrepancies that arise pertaining to Eligible Inventory quantities on hand between the Borrower’s (or a Grantor’s, as the case may be) perpetual accounting system and physical counts of the Eligible Inventory which will be equal to the amount of any such discrepancy, if any, that is in excess of 2.0%; and</w:t>
      </w:r>
    </w:p>
    <w:p>
      <w:pPr>
        <w:spacing w:after="0" w:line="186" w:lineRule="exact"/>
        <w:rPr>
          <w:rFonts w:ascii="Times New Roman" w:cs="Times New Roman" w:eastAsia="Times New Roman" w:hAnsi="Times New Roman"/>
          <w:sz w:val="22"/>
          <w:szCs w:val="22"/>
          <w:color w:val="auto"/>
        </w:rPr>
      </w:pPr>
    </w:p>
    <w:p>
      <w:pPr>
        <w:jc w:val="both"/>
        <w:ind w:left="660" w:firstLine="721"/>
        <w:spacing w:after="0" w:line="257" w:lineRule="auto"/>
        <w:tabs>
          <w:tab w:leader="none" w:pos="1719"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reserve as deemed appropriate by the Administrative Agent or the Majority Lenders in their discretion (not to be exercised unreasonably) based on the results of collateral and borrowing base evaluations and monitoring conducted by the Administrative Agent and its designated representatives.</w:t>
      </w:r>
    </w:p>
    <w:p>
      <w:pPr>
        <w:spacing w:after="0" w:line="17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1"/>
          <w:szCs w:val="21"/>
          <w:color w:val="auto"/>
        </w:rPr>
        <w:t>The reserves described in clauses (a) (b) (c) (d) and (e) above shall be subject to adjustment (and, in the case of clause (e), establishment) by the Administrative Agent or the Majority Lenders in their discretion (not to be exercised unreasonably) based on the results of collateral and borrowing base evaluations and monitoring conducted by the Administrative Agent and its designated representatives. Any such adjustment or the establishment of a reserve pursuant to clause (e) by the Administrative Agent or the Majority Lenders shall be made by written notice to the Borrower setting forth in reasonable detail the basis for such adjustment or reserve, and shall become effective for purposes of the first Borrowing Base Certificate that is delivered pursuant to Section 5.09 at least five Business Days after the date of receipt by the Borrower of such written notice.</w:t>
      </w:r>
    </w:p>
    <w:p>
      <w:pPr>
        <w:spacing w:after="0" w:line="17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Adjusted Daily Simple SOFR</w:t>
      </w:r>
      <w:r>
        <w:rPr>
          <w:rFonts w:ascii="Times New Roman" w:cs="Times New Roman" w:eastAsia="Times New Roman" w:hAnsi="Times New Roman"/>
          <w:sz w:val="22"/>
          <w:szCs w:val="22"/>
          <w:color w:val="auto"/>
        </w:rPr>
        <w:t xml:space="preserve">” means, with respect to any RFR Borrowing, for any day, an interest rate per annum (rounded to the nearest 1/100 of 1% (with .005% being rounded up), if necessary) equal to the Daily Simple SOFR;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rate as so determined shall be less than 0%, such rate shall be deemed to be 0% for purposes of this Agreement.</w:t>
      </w:r>
    </w:p>
    <w:p>
      <w:pPr>
        <w:spacing w:after="0" w:line="176" w:lineRule="exact"/>
        <w:rPr>
          <w:sz w:val="20"/>
          <w:szCs w:val="20"/>
          <w:color w:val="auto"/>
        </w:rPr>
      </w:pPr>
    </w:p>
    <w:p>
      <w:pPr>
        <w:jc w:val="both"/>
        <w:ind w:firstLine="129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Adjusted Eligible Finished Goods</w:t>
      </w:r>
      <w:r>
        <w:rPr>
          <w:rFonts w:ascii="Times New Roman" w:cs="Times New Roman" w:eastAsia="Times New Roman" w:hAnsi="Times New Roman"/>
          <w:sz w:val="21"/>
          <w:szCs w:val="21"/>
          <w:color w:val="auto"/>
        </w:rPr>
        <w:t>” means, on any date and with respect to any division of the Borrower, an amount equal to (a) Eligible Finished Goods relating to such division minus (b) the Inventory Reserves with respect to the Eligible Inventory and Eligible In-Transit Inventory included in such Eligible Finished Goods minus (c) the Additional Inventory Reserves with respect to the Eligible Inventory and Eligible In-Transit Inventory included in such Eligible Finished Goods.</w:t>
      </w:r>
    </w:p>
    <w:p>
      <w:pPr>
        <w:spacing w:after="0" w:line="16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Adjusted Term SOFR</w:t>
      </w:r>
      <w:r>
        <w:rPr>
          <w:rFonts w:ascii="Times New Roman" w:cs="Times New Roman" w:eastAsia="Times New Roman" w:hAnsi="Times New Roman"/>
          <w:sz w:val="22"/>
          <w:szCs w:val="22"/>
          <w:color w:val="auto"/>
        </w:rPr>
        <w:t xml:space="preserve">” means, (a) with respect to any Term Benchmark Borrowing for any Interest Period other than a one week Interest Period, an interest rate per annum (rounded to the nearest 1/100 of 1% (with .005% being rounded up), if necessary) equal to (i) the Term SOFR for such Interest Period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 0.10% and (b) with respect to any Term Benchmark Borrowing for an Interest Period of one week, an interest rate per annum (rounded to the nearest 1/100 of 1% (with .005% being rounded up), if necessary) equal to the Daily Simple SOFR from time to time in effect on each day during such Interest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rate as so determined (inclusive of the adjustment set forth in clause (a)(ii) as applicable) shall be less than 0%, such rate shall be deemed to be 0% for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00" w:name="page201"/>
    <w:bookmarkEnd w:id="200"/>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means JPMCB, in its capacity as administrative agent for the Lenders hereunder, and its successors in such capacity.</w:t>
      </w:r>
    </w:p>
    <w:p>
      <w:pPr>
        <w:spacing w:after="0" w:line="158"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Questionnaire</w:t>
      </w:r>
      <w:r>
        <w:rPr>
          <w:rFonts w:ascii="Times New Roman" w:cs="Times New Roman" w:eastAsia="Times New Roman" w:hAnsi="Times New Roman"/>
          <w:sz w:val="22"/>
          <w:szCs w:val="22"/>
          <w:color w:val="auto"/>
        </w:rPr>
        <w:t>” means an Administrative Questionnaire in a form supplied by the Administrative Agent to the Borrower or any Lender, as the context requires.</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Affected Financial Institution</w:t>
      </w:r>
      <w:r>
        <w:rPr>
          <w:rFonts w:ascii="Times New Roman" w:cs="Times New Roman" w:eastAsia="Times New Roman" w:hAnsi="Times New Roman"/>
          <w:sz w:val="22"/>
          <w:szCs w:val="22"/>
          <w:color w:val="auto"/>
        </w:rPr>
        <w:t>” has the meaning set forth in Section 9.21.</w:t>
      </w:r>
    </w:p>
    <w:p>
      <w:pPr>
        <w:spacing w:after="0" w:line="22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xml:space="preserve">” means, with respect to a specified Person, another Person that directly, or indirectly through one or more intermediaries, Controls or is Controlled by or is under common Control with the Person specified;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during the TireHub JV Period, TireHub JV shall not constitute an Affiliate of the Borrower or any other Grantor solely for purposes of any determination of Eligible Accounts Receivable.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 Transaction</w:t>
      </w:r>
      <w:r>
        <w:rPr>
          <w:rFonts w:ascii="Times New Roman" w:cs="Times New Roman" w:eastAsia="Times New Roman" w:hAnsi="Times New Roman"/>
          <w:sz w:val="22"/>
          <w:szCs w:val="22"/>
          <w:color w:val="auto"/>
        </w:rPr>
        <w:t>” has the meaning set forth in Section 6.05(a).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Agents</w:t>
      </w:r>
      <w:r>
        <w:rPr>
          <w:rFonts w:ascii="Times New Roman" w:cs="Times New Roman" w:eastAsia="Times New Roman" w:hAnsi="Times New Roman"/>
          <w:sz w:val="22"/>
          <w:szCs w:val="22"/>
          <w:color w:val="auto"/>
        </w:rPr>
        <w:t>” means the Administrative Agent and the Collateral Agent.</w:t>
      </w:r>
    </w:p>
    <w:p>
      <w:pPr>
        <w:spacing w:after="0" w:line="220" w:lineRule="exact"/>
        <w:rPr>
          <w:sz w:val="20"/>
          <w:szCs w:val="20"/>
          <w:color w:val="auto"/>
        </w:rPr>
      </w:pPr>
    </w:p>
    <w:p>
      <w:pPr>
        <w:jc w:val="both"/>
        <w:ind w:firstLine="1296"/>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Alternate Base Rate</w:t>
      </w:r>
      <w:r>
        <w:rPr>
          <w:rFonts w:ascii="Times New Roman" w:cs="Times New Roman" w:eastAsia="Times New Roman" w:hAnsi="Times New Roman"/>
          <w:sz w:val="21"/>
          <w:szCs w:val="21"/>
          <w:color w:val="auto"/>
        </w:rPr>
        <w:t>” means, for any day, a rate per annum equal to the greatest of (a) the Prime Rate in effect on such day, (b) the NYFRB Rate in effect on such day plus ½ of 1% and (c) the Adjusted Term SOFR for a one month Interest Period as published two U.S. Government Securities Business Days prior to such day (or if such day is not a U.S. Government Securities Business Day, the immediately preceding U.S. Government Securities Business Day) plus 1%. For purposes of clause</w:t>
      </w:r>
    </w:p>
    <w:p>
      <w:pPr>
        <w:spacing w:after="0" w:line="1" w:lineRule="exact"/>
        <w:rPr>
          <w:sz w:val="20"/>
          <w:szCs w:val="20"/>
          <w:color w:val="auto"/>
        </w:rPr>
      </w:pPr>
    </w:p>
    <w:p>
      <w:pPr>
        <w:jc w:val="both"/>
        <w:ind w:firstLine="8"/>
        <w:spacing w:after="0" w:line="258" w:lineRule="auto"/>
        <w:tabs>
          <w:tab w:leader="none" w:pos="31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above, the Adjusted Term SOFR on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 Rate due to a change in the Prime Rate, the NYFRB Rate or the Adjusted Term SOFR shall be effective from and including the effective date of such change in the Prime Rate, the NYFRB Rate or the Adjusted Term SOFR, respectively. If the Alternate Base Rate is being used as an alternate rate of interest pursuant to Section 2.12 (for the avoidance of doubt, only until the Benchmark Replacement has been determined pursuant to Section 2.12(b)), then the Alternate Base Rate shall be the greater of clauses (a) and (b) above and shall be determined without reference to clause (c) above. For the avoidance of doubt, if the Alternate Base Rate as determined pursuant to the foregoing would be less than 1.00%, such rate shall be deemed to be 1.00% for purposes of this Agreement.</w:t>
      </w:r>
    </w:p>
    <w:p>
      <w:pPr>
        <w:spacing w:after="0" w:line="19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Amortized Value</w:t>
      </w:r>
      <w:r>
        <w:rPr>
          <w:rFonts w:ascii="Times New Roman" w:cs="Times New Roman" w:eastAsia="Times New Roman" w:hAnsi="Times New Roman"/>
          <w:sz w:val="22"/>
          <w:szCs w:val="22"/>
          <w:color w:val="auto"/>
        </w:rPr>
        <w:t>” means, as of any date of determination and with respect to any Eligible Machinery and Equipment, the net orderly liquidation value of such Eligible Machinery and Equipment determined by reference to the most recent in-place appraisal of such Eligible Machinery and Equipment from a third-party appraiser reasonably satisfactory to the Administrative Agent and assuming monthly straight-line amortization of the value thereof from (x) in the case of Eligible Machinery and Equipment qualifying as such as of February 29, 2020, February 29, 2020 or, if later,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01" w:name="page202"/>
    <w:bookmarkEnd w:id="201"/>
    <w:p>
      <w:pPr>
        <w:jc w:val="both"/>
        <w:spacing w:after="0" w:line="251" w:lineRule="auto"/>
        <w:rPr>
          <w:sz w:val="20"/>
          <w:szCs w:val="20"/>
          <w:color w:val="auto"/>
        </w:rPr>
      </w:pPr>
      <w:r>
        <w:rPr>
          <w:rFonts w:ascii="Times New Roman" w:cs="Times New Roman" w:eastAsia="Times New Roman" w:hAnsi="Times New Roman"/>
          <w:sz w:val="22"/>
          <w:szCs w:val="22"/>
          <w:color w:val="auto"/>
        </w:rPr>
        <w:t>date of the most recent appraisal thereof received by the Administrative Agent in accordance with the above, through the date that is seven years thereafter and (y) in the case of any other Eligible Machinery and Equipment, the date of the first Borrowing Base Certificate delivered to the Administrative Agent pursuant to Section 5.09 after the appraisal thereof is received by the Administrative Agent in accordance with the above or, if later, the date of the most recent appraisal thereof received by the Administrative Agent in accordance with the above (such later date, the “</w:t>
      </w:r>
      <w:r>
        <w:rPr>
          <w:rFonts w:ascii="Times New Roman" w:cs="Times New Roman" w:eastAsia="Times New Roman" w:hAnsi="Times New Roman"/>
          <w:sz w:val="22"/>
          <w:szCs w:val="22"/>
          <w:u w:val="single" w:color="auto"/>
          <w:color w:val="auto"/>
        </w:rPr>
        <w:t>Amortization Commencement Date</w:t>
      </w:r>
      <w:r>
        <w:rPr>
          <w:rFonts w:ascii="Times New Roman" w:cs="Times New Roman" w:eastAsia="Times New Roman" w:hAnsi="Times New Roman"/>
          <w:sz w:val="22"/>
          <w:szCs w:val="22"/>
          <w:color w:val="auto"/>
        </w:rPr>
        <w:t>”), through the date that is the seven-year anniversary of the Amortization Commencement Date.</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Ancillary Document</w:t>
      </w:r>
      <w:r>
        <w:rPr>
          <w:rFonts w:ascii="Times New Roman" w:cs="Times New Roman" w:eastAsia="Times New Roman" w:hAnsi="Times New Roman"/>
          <w:sz w:val="22"/>
          <w:szCs w:val="22"/>
          <w:color w:val="auto"/>
        </w:rPr>
        <w:t>” has the meaning assigned to it in Section 9.06(b).</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22"/>
          <w:szCs w:val="22"/>
          <w:color w:val="auto"/>
        </w:rPr>
        <w:t>” means the United States Foreign Corrupt Practices Act of 1977, as amended from time to time, other anti-bribery or anti-corruption laws and anti-money laundering laws, in each case in effect in jurisdictions in which the Borrower and the Subsidiaries do business.</w:t>
      </w:r>
    </w:p>
    <w:p>
      <w:pPr>
        <w:spacing w:after="0" w:line="16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Percentage</w:t>
      </w:r>
      <w:r>
        <w:rPr>
          <w:rFonts w:ascii="Times New Roman" w:cs="Times New Roman" w:eastAsia="Times New Roman" w:hAnsi="Times New Roman"/>
          <w:sz w:val="22"/>
          <w:szCs w:val="22"/>
          <w:color w:val="auto"/>
        </w:rPr>
        <w:t>” means, with respect to any Lender, the percentage of the Total Commitment represented by such Lender’s Commitment. If the Commitments have been terminated, the Applicable Percentages shall be determined based upon the Commitments most recently in effect, giving effect to any assignments.</w:t>
      </w:r>
    </w:p>
    <w:p>
      <w:pPr>
        <w:spacing w:after="0" w:line="173"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Applicable Rate</w:t>
      </w:r>
      <w:r>
        <w:rPr>
          <w:rFonts w:ascii="Times New Roman" w:cs="Times New Roman" w:eastAsia="Times New Roman" w:hAnsi="Times New Roman"/>
          <w:sz w:val="21"/>
          <w:szCs w:val="21"/>
          <w:color w:val="auto"/>
        </w:rPr>
        <w:t>” means, for any day, with respect to (a) any Swingline Loan, the applicable rate per annum as agreed between the Borrower and the applicable Swingline Lender and (b)(i) any Revolving Loan or (ii) the Commitments, the applicable rate per annum set forth under the appropriate caption in the table below, in each case based upon the Average Quarterly Availability during the most recently ended fiscal quarter of the Borrower, except (x) on or prior to the last day of the first full fiscal quarter ending after the Restatement Date, the Applicable Rate shall be determined by reference to Category 1 and</w:t>
      </w:r>
    </w:p>
    <w:p>
      <w:pPr>
        <w:spacing w:after="0" w:line="2" w:lineRule="exact"/>
        <w:rPr>
          <w:sz w:val="20"/>
          <w:szCs w:val="20"/>
          <w:color w:val="auto"/>
        </w:rPr>
      </w:pPr>
    </w:p>
    <w:p>
      <w:pPr>
        <w:jc w:val="both"/>
        <w:ind w:firstLine="8"/>
        <w:spacing w:after="0" w:line="252" w:lineRule="auto"/>
        <w:tabs>
          <w:tab w:leader="none" w:pos="317"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clause (x), if an Event of Default shall have occurred under clause (a), (b), (h) or (i) of Section 7.01 or as a result of a breach of Section 5.09(a) (for so long as a new Borrowing Base Certificate has not been delivered) or Section 6.09 and shall then be continuing, the Applicable Rate shall be determined by reference to Category 2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02" w:name="page203"/>
    <w:bookmarkEnd w:id="202"/>
    <w:p>
      <w:pPr>
        <w:spacing w:after="0" w:line="3" w:lineRule="exact"/>
        <w:rPr>
          <w:sz w:val="20"/>
          <w:szCs w:val="20"/>
          <w:color w:val="auto"/>
        </w:rPr>
      </w:pPr>
    </w:p>
    <w:tbl>
      <w:tblPr>
        <w:tblLayout w:type="fixed"/>
        <w:tblInd w:w="490" w:type="dxa"/>
        <w:tblCellMar>
          <w:top w:w="0" w:type="dxa"/>
          <w:left w:w="0" w:type="dxa"/>
          <w:bottom w:w="0" w:type="dxa"/>
          <w:right w:w="0" w:type="dxa"/>
        </w:tblCellMar>
      </w:tblPr>
      <w:tr>
        <w:trPr>
          <w:trHeight w:val="216"/>
        </w:trPr>
        <w:tc>
          <w:tcPr>
            <w:tcW w:w="3160" w:type="dxa"/>
            <w:vAlign w:val="bottom"/>
            <w:tcBorders>
              <w:top w:val="single" w:sz="8" w:color="auto"/>
              <w:left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7"/>
              </w:rPr>
              <w:t>Average Quarterly Availability:</w:t>
            </w:r>
          </w:p>
        </w:tc>
        <w:tc>
          <w:tcPr>
            <w:tcW w:w="2280" w:type="dxa"/>
            <w:vAlign w:val="bottom"/>
            <w:tcBorders>
              <w:top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6"/>
              </w:rPr>
              <w:t>Term Benchmark</w:t>
            </w:r>
          </w:p>
        </w:tc>
        <w:tc>
          <w:tcPr>
            <w:tcW w:w="1960" w:type="dxa"/>
            <w:vAlign w:val="bottom"/>
            <w:tcBorders>
              <w:top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4"/>
              </w:rPr>
              <w:t>ABR</w:t>
            </w:r>
          </w:p>
        </w:tc>
        <w:tc>
          <w:tcPr>
            <w:tcW w:w="2120" w:type="dxa"/>
            <w:vAlign w:val="bottom"/>
            <w:tcBorders>
              <w:top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7"/>
              </w:rPr>
              <w:t>Commitment</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8"/>
              </w:rPr>
              <w:t>Spread and RFR</w:t>
            </w:r>
          </w:p>
        </w:tc>
        <w:tc>
          <w:tcPr>
            <w:tcW w:w="196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5"/>
              </w:rPr>
              <w:t>Spread</w:t>
            </w:r>
          </w:p>
        </w:tc>
        <w:tc>
          <w:tcPr>
            <w:tcW w:w="212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6"/>
              </w:rPr>
              <w:t>Fee</w:t>
            </w:r>
          </w:p>
        </w:tc>
        <w:tc>
          <w:tcPr>
            <w:tcW w:w="0" w:type="dxa"/>
            <w:vAlign w:val="bottom"/>
          </w:tcPr>
          <w:p>
            <w:pPr>
              <w:spacing w:after="0"/>
              <w:rPr>
                <w:sz w:val="1"/>
                <w:szCs w:val="1"/>
                <w:color w:val="auto"/>
              </w:rPr>
            </w:pPr>
          </w:p>
        </w:tc>
      </w:tr>
      <w:tr>
        <w:trPr>
          <w:trHeight w:val="284"/>
        </w:trPr>
        <w:tc>
          <w:tcPr>
            <w:tcW w:w="3160" w:type="dxa"/>
            <w:vAlign w:val="bottom"/>
            <w:tcBorders>
              <w:left w:val="single" w:sz="8" w:color="auto"/>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Spread</w:t>
            </w:r>
          </w:p>
        </w:tc>
        <w:tc>
          <w:tcPr>
            <w:tcW w:w="1960" w:type="dxa"/>
            <w:vAlign w:val="bottom"/>
            <w:tcBorders>
              <w:bottom w:val="single" w:sz="8" w:color="auto"/>
              <w:right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3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Category 1</w:t>
            </w:r>
          </w:p>
        </w:tc>
        <w:tc>
          <w:tcPr>
            <w:tcW w:w="2280" w:type="dxa"/>
            <w:vAlign w:val="bottom"/>
            <w:tcBorders>
              <w:right w:val="single" w:sz="8" w:color="auto"/>
            </w:tcBorders>
          </w:tcPr>
          <w:p>
            <w:pPr>
              <w:spacing w:after="0"/>
              <w:rPr>
                <w:sz w:val="24"/>
                <w:szCs w:val="24"/>
                <w:color w:val="auto"/>
              </w:rPr>
            </w:pPr>
          </w:p>
        </w:tc>
        <w:tc>
          <w:tcPr>
            <w:tcW w:w="1960" w:type="dxa"/>
            <w:vAlign w:val="bottom"/>
            <w:tcBorders>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3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&gt; 25% of the Total Commitment</w:t>
            </w:r>
          </w:p>
        </w:tc>
        <w:tc>
          <w:tcPr>
            <w:tcW w:w="2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1.250%</w:t>
            </w: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rPr>
              <w:t>0.250%</w:t>
            </w:r>
          </w:p>
        </w:tc>
        <w:tc>
          <w:tcPr>
            <w:tcW w:w="2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0.250%</w:t>
            </w:r>
          </w:p>
        </w:tc>
        <w:tc>
          <w:tcPr>
            <w:tcW w:w="0" w:type="dxa"/>
            <w:vAlign w:val="bottom"/>
          </w:tcPr>
          <w:p>
            <w:pPr>
              <w:spacing w:after="0"/>
              <w:rPr>
                <w:sz w:val="1"/>
                <w:szCs w:val="1"/>
                <w:color w:val="auto"/>
              </w:rPr>
            </w:pPr>
          </w:p>
        </w:tc>
      </w:tr>
      <w:tr>
        <w:trPr>
          <w:trHeight w:val="230"/>
        </w:trPr>
        <w:tc>
          <w:tcPr>
            <w:tcW w:w="3160" w:type="dxa"/>
            <w:vAlign w:val="bottom"/>
            <w:tcBorders>
              <w:left w:val="single" w:sz="8" w:color="auto"/>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vMerge w:val="continue"/>
          </w:tcPr>
          <w:p>
            <w:pPr>
              <w:spacing w:after="0"/>
              <w:rPr>
                <w:sz w:val="20"/>
                <w:szCs w:val="20"/>
                <w:color w:val="auto"/>
              </w:rPr>
            </w:pPr>
          </w:p>
        </w:tc>
        <w:tc>
          <w:tcPr>
            <w:tcW w:w="1960" w:type="dxa"/>
            <w:vAlign w:val="bottom"/>
            <w:tcBorders>
              <w:bottom w:val="single" w:sz="8" w:color="auto"/>
              <w:right w:val="single" w:sz="8" w:color="auto"/>
            </w:tcBorders>
            <w:vMerge w:val="continue"/>
          </w:tcPr>
          <w:p>
            <w:pPr>
              <w:spacing w:after="0"/>
              <w:rPr>
                <w:sz w:val="20"/>
                <w:szCs w:val="20"/>
                <w:color w:val="auto"/>
              </w:rPr>
            </w:pPr>
          </w:p>
        </w:tc>
        <w:tc>
          <w:tcPr>
            <w:tcW w:w="212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3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Category 2</w:t>
            </w:r>
          </w:p>
        </w:tc>
        <w:tc>
          <w:tcPr>
            <w:tcW w:w="2280" w:type="dxa"/>
            <w:vAlign w:val="bottom"/>
            <w:tcBorders>
              <w:right w:val="single" w:sz="8" w:color="auto"/>
            </w:tcBorders>
          </w:tcPr>
          <w:p>
            <w:pPr>
              <w:spacing w:after="0"/>
              <w:rPr>
                <w:sz w:val="24"/>
                <w:szCs w:val="24"/>
                <w:color w:val="auto"/>
              </w:rPr>
            </w:pPr>
          </w:p>
        </w:tc>
        <w:tc>
          <w:tcPr>
            <w:tcW w:w="1960" w:type="dxa"/>
            <w:vAlign w:val="bottom"/>
            <w:tcBorders>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3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 25% of the Total Commitment</w:t>
            </w:r>
          </w:p>
        </w:tc>
        <w:tc>
          <w:tcPr>
            <w:tcW w:w="2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1.500%</w:t>
            </w: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rPr>
              <w:t>0.500%</w:t>
            </w:r>
          </w:p>
        </w:tc>
        <w:tc>
          <w:tcPr>
            <w:tcW w:w="2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0.250%</w:t>
            </w:r>
          </w:p>
        </w:tc>
        <w:tc>
          <w:tcPr>
            <w:tcW w:w="0" w:type="dxa"/>
            <w:vAlign w:val="bottom"/>
          </w:tcPr>
          <w:p>
            <w:pPr>
              <w:spacing w:after="0"/>
              <w:rPr>
                <w:sz w:val="1"/>
                <w:szCs w:val="1"/>
                <w:color w:val="auto"/>
              </w:rPr>
            </w:pPr>
          </w:p>
        </w:tc>
      </w:tr>
      <w:tr>
        <w:trPr>
          <w:trHeight w:val="230"/>
        </w:trPr>
        <w:tc>
          <w:tcPr>
            <w:tcW w:w="3160" w:type="dxa"/>
            <w:vAlign w:val="bottom"/>
            <w:tcBorders>
              <w:left w:val="single" w:sz="8" w:color="auto"/>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vMerge w:val="continue"/>
          </w:tcPr>
          <w:p>
            <w:pPr>
              <w:spacing w:after="0"/>
              <w:rPr>
                <w:sz w:val="20"/>
                <w:szCs w:val="20"/>
                <w:color w:val="auto"/>
              </w:rPr>
            </w:pPr>
          </w:p>
        </w:tc>
        <w:tc>
          <w:tcPr>
            <w:tcW w:w="1960" w:type="dxa"/>
            <w:vAlign w:val="bottom"/>
            <w:tcBorders>
              <w:bottom w:val="single" w:sz="8" w:color="auto"/>
              <w:right w:val="single" w:sz="8" w:color="auto"/>
            </w:tcBorders>
            <w:vMerge w:val="continue"/>
          </w:tcPr>
          <w:p>
            <w:pPr>
              <w:spacing w:after="0"/>
              <w:rPr>
                <w:sz w:val="20"/>
                <w:szCs w:val="20"/>
                <w:color w:val="auto"/>
              </w:rPr>
            </w:pPr>
          </w:p>
        </w:tc>
        <w:tc>
          <w:tcPr>
            <w:tcW w:w="212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For purposes of the foregoing, each change in the Applicable Rate resulting from a change in Average Quarterly Availability shall be effective during the period commencing on and including the first day of each fiscal quarter of the Borrower and ending on the last day of such fiscal quarter, it being understood and agreed that, for purposes of determining the Applicable Rate on the first day of any fiscal quarter of the Borrower, the Average Quarterly Availability during the most recently ended fiscal quarter of the Borrower shall be used.</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Borrower Portal</w:t>
      </w:r>
      <w:r>
        <w:rPr>
          <w:rFonts w:ascii="Times New Roman" w:cs="Times New Roman" w:eastAsia="Times New Roman" w:hAnsi="Times New Roman"/>
          <w:sz w:val="22"/>
          <w:szCs w:val="22"/>
          <w:color w:val="auto"/>
        </w:rPr>
        <w:t>” has the meaning assigned to it in Article VIII.</w:t>
      </w:r>
    </w:p>
    <w:p>
      <w:pPr>
        <w:spacing w:after="0" w:line="22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Fund</w:t>
      </w:r>
      <w:r>
        <w:rPr>
          <w:rFonts w:ascii="Times New Roman" w:cs="Times New Roman" w:eastAsia="Times New Roman" w:hAnsi="Times New Roman"/>
          <w:sz w:val="22"/>
          <w:szCs w:val="22"/>
          <w:color w:val="auto"/>
        </w:rPr>
        <w:t>” means (a) with respect to any Lender, a CLO managed by such Lender or by an Affiliate of such Lender and (b) with respect to any Lender that is a fund which invests in bank loans and similar extensions of credit, any other fund that invests in bank loans and similar extensions of credit and is managed by the same investment advisor as such Lender or by an Affiliate of such investment advisor.</w:t>
      </w:r>
    </w:p>
    <w:p>
      <w:pPr>
        <w:spacing w:after="0" w:line="19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Arrangers</w:t>
      </w:r>
      <w:r>
        <w:rPr>
          <w:rFonts w:ascii="Times New Roman" w:cs="Times New Roman" w:eastAsia="Times New Roman" w:hAnsi="Times New Roman"/>
          <w:sz w:val="22"/>
          <w:szCs w:val="22"/>
          <w:color w:val="auto"/>
        </w:rPr>
        <w:t>” means JPMorgan Chase Bank, N.A., Bank of America, N.A., BNP Paribas Securities Corp., Citibank, N.A., Credit Agricole Corporate and Investment Bank, Deutsche Bank Securities Inc., Fifth Third Bank, National Association, Goldman Sachs Bank USA, MUFG Bank, Ltd. and PNC Bank, National Association, each as Joint Lead Arranger and Joint Bookrunner, for the credit facilities established by this Agreement.</w:t>
      </w:r>
    </w:p>
    <w:p>
      <w:pPr>
        <w:spacing w:after="0" w:line="179"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Asset Disposition</w:t>
      </w:r>
      <w:r>
        <w:rPr>
          <w:rFonts w:ascii="Times New Roman" w:cs="Times New Roman" w:eastAsia="Times New Roman" w:hAnsi="Times New Roman"/>
          <w:sz w:val="22"/>
          <w:szCs w:val="22"/>
          <w:color w:val="auto"/>
        </w:rPr>
        <w:t>” means any sale, lease, transfer or other disposition (or series of sales, leases, transfers or dispositions that are part of a common plan) by the Borrower or any Restricted Subsidiary, including any disposition by means of a merger, consolidation or similar transaction (each referred to for the purposes of this definition as a “disposition”),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40" w:right="339" w:bottom="1440" w:gutter="0" w:footer="0" w:header="0"/>
        </w:sectPr>
      </w:pPr>
    </w:p>
    <w:bookmarkStart w:id="203" w:name="page204"/>
    <w:bookmarkEnd w:id="203"/>
    <w:p>
      <w:pPr>
        <w:ind w:left="660" w:firstLine="721"/>
        <w:spacing w:after="0" w:line="271" w:lineRule="auto"/>
        <w:tabs>
          <w:tab w:leader="none" w:pos="1719"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shares of Capital Stock of a Restricted Subsidiary (other than directors’ qualifying shares or shares required by applicable law to be held by a Person other than the Borrower or a Restricted Subsidiary);</w:t>
      </w:r>
    </w:p>
    <w:p>
      <w:pPr>
        <w:spacing w:after="0" w:line="157" w:lineRule="exact"/>
        <w:rPr>
          <w:rFonts w:ascii="Times New Roman" w:cs="Times New Roman" w:eastAsia="Times New Roman" w:hAnsi="Times New Roman"/>
          <w:sz w:val="22"/>
          <w:szCs w:val="22"/>
          <w:color w:val="auto"/>
        </w:rPr>
      </w:pPr>
    </w:p>
    <w:p>
      <w:pPr>
        <w:ind w:left="660" w:firstLine="721"/>
        <w:spacing w:after="0" w:line="284" w:lineRule="auto"/>
        <w:tabs>
          <w:tab w:leader="none" w:pos="1732"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or substantially all the assets of any division or line of business of the Borrower or any Restricted Subsidiary; or</w:t>
      </w:r>
    </w:p>
    <w:p>
      <w:pPr>
        <w:spacing w:after="0" w:line="143" w:lineRule="exact"/>
        <w:rPr>
          <w:rFonts w:ascii="Times New Roman" w:cs="Times New Roman" w:eastAsia="Times New Roman" w:hAnsi="Times New Roman"/>
          <w:sz w:val="22"/>
          <w:szCs w:val="22"/>
          <w:color w:val="auto"/>
        </w:rPr>
      </w:pPr>
    </w:p>
    <w:p>
      <w:pPr>
        <w:ind w:left="660" w:right="20" w:firstLine="721"/>
        <w:spacing w:after="0" w:line="271" w:lineRule="auto"/>
        <w:tabs>
          <w:tab w:leader="none" w:pos="1679"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assets of the Borrower or any Restricted Subsidiary outside of the ordinary course of business of the Borrower or such Restricted Subsidiary;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other than, in the case of clauses (a), (b) and (c) above,</w:t>
      </w:r>
    </w:p>
    <w:p>
      <w:pPr>
        <w:spacing w:after="0" w:line="220" w:lineRule="exact"/>
        <w:rPr>
          <w:sz w:val="20"/>
          <w:szCs w:val="20"/>
          <w:color w:val="auto"/>
        </w:rPr>
      </w:pPr>
    </w:p>
    <w:p>
      <w:pPr>
        <w:ind w:left="1300" w:firstLine="405"/>
        <w:spacing w:after="0" w:line="284" w:lineRule="auto"/>
        <w:tabs>
          <w:tab w:leader="none" w:pos="2007"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disposition by a Restricted Subsidiary to the Borrower or by the Borrower or a Restricted Subsidiary to a Restricted Subsidiary;</w:t>
      </w:r>
    </w:p>
    <w:p>
      <w:pPr>
        <w:spacing w:after="0" w:line="143" w:lineRule="exact"/>
        <w:rPr>
          <w:rFonts w:ascii="Times New Roman" w:cs="Times New Roman" w:eastAsia="Times New Roman" w:hAnsi="Times New Roman"/>
          <w:sz w:val="22"/>
          <w:szCs w:val="22"/>
          <w:color w:val="auto"/>
        </w:rPr>
      </w:pPr>
    </w:p>
    <w:p>
      <w:pPr>
        <w:ind w:left="2020" w:hanging="315"/>
        <w:spacing w:after="0"/>
        <w:tabs>
          <w:tab w:leader="none" w:pos="2020"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Section 6.04 only, a disposition subject to Section 6.02;</w:t>
      </w:r>
    </w:p>
    <w:p>
      <w:pPr>
        <w:spacing w:after="0" w:line="219" w:lineRule="exact"/>
        <w:rPr>
          <w:rFonts w:ascii="Times New Roman" w:cs="Times New Roman" w:eastAsia="Times New Roman" w:hAnsi="Times New Roman"/>
          <w:sz w:val="22"/>
          <w:szCs w:val="22"/>
          <w:color w:val="auto"/>
        </w:rPr>
      </w:pPr>
    </w:p>
    <w:p>
      <w:pPr>
        <w:ind w:left="2020" w:hanging="315"/>
        <w:spacing w:after="0"/>
        <w:tabs>
          <w:tab w:leader="none" w:pos="2020"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disposition of assets with a Fair Market Value of less than $20,000,000; and</w:t>
      </w:r>
    </w:p>
    <w:p>
      <w:pPr>
        <w:spacing w:after="0" w:line="219" w:lineRule="exact"/>
        <w:rPr>
          <w:rFonts w:ascii="Times New Roman" w:cs="Times New Roman" w:eastAsia="Times New Roman" w:hAnsi="Times New Roman"/>
          <w:sz w:val="22"/>
          <w:szCs w:val="22"/>
          <w:color w:val="auto"/>
        </w:rPr>
      </w:pPr>
    </w:p>
    <w:p>
      <w:pPr>
        <w:jc w:val="both"/>
        <w:ind w:left="1300" w:firstLine="405"/>
        <w:spacing w:after="0" w:line="257" w:lineRule="auto"/>
        <w:tabs>
          <w:tab w:leader="none" w:pos="2021"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transfer of accounts receivable and related assets of the type specified in the definition of “Qualified Receivables Transaction” (or a fractional undivided interest therein) to a Receivables Entity or other Person specified in the definition of “Qualified Receivables Transaction”.</w:t>
      </w:r>
    </w:p>
    <w:p>
      <w:pPr>
        <w:spacing w:after="0" w:line="18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and Assumption</w:t>
      </w:r>
      <w:r>
        <w:rPr>
          <w:rFonts w:ascii="Times New Roman" w:cs="Times New Roman" w:eastAsia="Times New Roman" w:hAnsi="Times New Roman"/>
          <w:sz w:val="22"/>
          <w:szCs w:val="22"/>
          <w:color w:val="auto"/>
        </w:rPr>
        <w:t>” means an assignment and assumption entered into by a Lender and an assignee (with the consent of any party whose consent is required by Section 9.04), and accepted by the Administrative Agent, in the form of Exhibit B or any other form approved by the Administrative Agent.</w:t>
      </w:r>
    </w:p>
    <w:p>
      <w:pPr>
        <w:spacing w:after="0" w:line="173"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Attributable Debt</w:t>
      </w:r>
      <w:r>
        <w:rPr>
          <w:rFonts w:ascii="Times New Roman" w:cs="Times New Roman" w:eastAsia="Times New Roman" w:hAnsi="Times New Roman"/>
          <w:sz w:val="22"/>
          <w:szCs w:val="22"/>
          <w:color w:val="auto"/>
        </w:rPr>
        <w:t>” means, with respect to any Sale/Leaseback Transaction that does not result in a Finance Lease Obligation, the present value (computed in accordance with GAAP) of the total obligations of the lessee for rental payments during the remaining term of the lease included in such Sale/Leaseback Transaction (including any period for which such lease has been extended). In the case of any lease which is terminable by the lessee upon payment of a penalty, the Attributable Debt shall be the lesser of (i) the Attributable Debt determined assuming termination upon the first date such lease may be terminated (in which case the Attributable Debt shall also include the amount of the penalty, but no rent shall be considered as required to be paid under such lease subsequent to the first date upon which it may be so terminated) and (ii) the Attributable Debt determined assuming no such termination.</w:t>
      </w:r>
    </w:p>
    <w:p>
      <w:pPr>
        <w:spacing w:after="0" w:line="18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Availability Period</w:t>
      </w:r>
      <w:r>
        <w:rPr>
          <w:rFonts w:ascii="Times New Roman" w:cs="Times New Roman" w:eastAsia="Times New Roman" w:hAnsi="Times New Roman"/>
          <w:sz w:val="22"/>
          <w:szCs w:val="22"/>
          <w:color w:val="auto"/>
        </w:rPr>
        <w:t>” means the period from and including the Restatement Date to but excluding the earlier of (a) the Commitment Termination Date and (b) any other date on which the Commitments have been terminated.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04" w:name="page205"/>
    <w:bookmarkEnd w:id="204"/>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Available Cash</w:t>
      </w:r>
      <w:r>
        <w:rPr>
          <w:rFonts w:ascii="Times New Roman" w:cs="Times New Roman" w:eastAsia="Times New Roman" w:hAnsi="Times New Roman"/>
          <w:sz w:val="22"/>
          <w:szCs w:val="22"/>
          <w:color w:val="auto"/>
        </w:rPr>
        <w:t>” means, with respect to any date, the aggregate amount of cash and Temporary Cash Investments held on such date by the Borrower and the Subsidiary Guarantors, other than cash and Temporary Cash Investments (a) held in accounts outside the United States of America and Canada, (b) to the extent subject to any Lien (other than Liens permitted pursuant to Section 6.06(t)) securing Indebtedness or other obligations or to any other restriction on availability or (c) to the extent included in the Borrowing Base pursuant to clause (e) of the definition of “Borrowing Base”.</w:t>
      </w:r>
    </w:p>
    <w:p>
      <w:pPr>
        <w:spacing w:after="0" w:line="17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Available Commitments</w:t>
      </w:r>
      <w:r>
        <w:rPr>
          <w:rFonts w:ascii="Times New Roman" w:cs="Times New Roman" w:eastAsia="Times New Roman" w:hAnsi="Times New Roman"/>
          <w:sz w:val="22"/>
          <w:szCs w:val="22"/>
          <w:color w:val="auto"/>
        </w:rPr>
        <w:t xml:space="preserve">” means, at the time of any determination, an amount equal to Available Cash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difference between (a) the lesser of (i) the Borrowing Base and (ii) the aggregate amount of the Commitments in effect at such time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(b) the aggregate amount of the Credit Exposures at such time.</w:t>
      </w:r>
    </w:p>
    <w:p>
      <w:pPr>
        <w:spacing w:after="0" w:line="186"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Available Tenor</w:t>
      </w:r>
      <w:r>
        <w:rPr>
          <w:rFonts w:ascii="Times New Roman" w:cs="Times New Roman" w:eastAsia="Times New Roman" w:hAnsi="Times New Roman"/>
          <w:sz w:val="22"/>
          <w:szCs w:val="22"/>
          <w:color w:val="auto"/>
        </w:rPr>
        <w:t>” means,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Section 2.12(b)(4).</w:t>
      </w:r>
    </w:p>
    <w:p>
      <w:pPr>
        <w:spacing w:after="0" w:line="20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Average Life</w:t>
      </w:r>
      <w:r>
        <w:rPr>
          <w:rFonts w:ascii="Times New Roman" w:cs="Times New Roman" w:eastAsia="Times New Roman" w:hAnsi="Times New Roman"/>
          <w:sz w:val="22"/>
          <w:szCs w:val="22"/>
          <w:color w:val="auto"/>
        </w:rPr>
        <w:t>” means, as of the date of determination, with respect to any Indebtedness or Preferred Stock, the quotient obtained by dividing (a) the sum of the products of the number of years from the date of determination to the dates of each successive scheduled principal payment of such Indebtedness or scheduled redemption or similar payment with respect to such Preferred Stock multiplied by the amount of such payment by (b) the sum of all such payments.</w:t>
      </w:r>
    </w:p>
    <w:p>
      <w:pPr>
        <w:spacing w:after="0" w:line="179"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Average Quarterly Availability</w:t>
      </w:r>
      <w:r>
        <w:rPr>
          <w:rFonts w:ascii="Times New Roman" w:cs="Times New Roman" w:eastAsia="Times New Roman" w:hAnsi="Times New Roman"/>
          <w:sz w:val="22"/>
          <w:szCs w:val="22"/>
          <w:color w:val="auto"/>
        </w:rPr>
        <w:t xml:space="preserve">” means, for any fiscal quarter of the Borrower, an amount equal to the average daily Available Commitments during such fiscal quarter, as determined by the Administrative Agent’s system of records;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order to determine Available Commitments on any day for purposes of this definition, (a) the Borrowing Base for such day shall be determined by reference to the most recent Borrowing Base Certificate delivered to the Administrative Agent pursuant to Section 5.09 as of such day and (b) Available Cash for such day shall be determined by reference to the most recent certificate delivered under Section 5.09(a) or (b) specifying Available Cash.</w:t>
      </w:r>
    </w:p>
    <w:p>
      <w:pPr>
        <w:spacing w:after="0" w:line="1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Action</w:t>
      </w:r>
      <w:r>
        <w:rPr>
          <w:rFonts w:ascii="Times New Roman" w:cs="Times New Roman" w:eastAsia="Times New Roman" w:hAnsi="Times New Roman"/>
          <w:sz w:val="22"/>
          <w:szCs w:val="22"/>
          <w:color w:val="auto"/>
        </w:rPr>
        <w:t>” has the meaning set forth in Section 9.21.</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Legislation</w:t>
      </w:r>
      <w:r>
        <w:rPr>
          <w:rFonts w:ascii="Times New Roman" w:cs="Times New Roman" w:eastAsia="Times New Roman" w:hAnsi="Times New Roman"/>
          <w:sz w:val="22"/>
          <w:szCs w:val="22"/>
          <w:color w:val="auto"/>
        </w:rPr>
        <w:t>” has the meaning set forth in Section 9.21.</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 Indebtedness</w:t>
      </w:r>
      <w:r>
        <w:rPr>
          <w:rFonts w:ascii="Times New Roman" w:cs="Times New Roman" w:eastAsia="Times New Roman" w:hAnsi="Times New Roman"/>
          <w:sz w:val="22"/>
          <w:szCs w:val="22"/>
          <w:color w:val="auto"/>
        </w:rPr>
        <w:t>” means all obligations under the U.S. Bank Indebtedness and European Bank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05" w:name="page206"/>
    <w:bookmarkEnd w:id="205"/>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Banking Services</w:t>
      </w:r>
      <w:r>
        <w:rPr>
          <w:rFonts w:ascii="Times New Roman" w:cs="Times New Roman" w:eastAsia="Times New Roman" w:hAnsi="Times New Roman"/>
          <w:sz w:val="22"/>
          <w:szCs w:val="22"/>
          <w:color w:val="auto"/>
        </w:rPr>
        <w:t>” means each and any of the following bank services provided to any Credit Party or any Subsidiary (other than GEBV or a GEBV Subsidiary): (a) credit cards for commercial customers (including, without limitation, “commercial credit cards” and purchasing cards), (b) stored value cards, (c) merchant processing services and (d) treasury management services (including, without limitation, controlled disbursement, automated clearinghouse transactions, return items, any direct debit scheme or arrangement, overdrafts, cash pooling services, and interstate depository network services). Banking Services shall not include any Swap Agreements.</w:t>
      </w:r>
    </w:p>
    <w:p>
      <w:pPr>
        <w:spacing w:after="0" w:line="181"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Banking Services Obligations</w:t>
      </w:r>
      <w:r>
        <w:rPr>
          <w:rFonts w:ascii="Times New Roman" w:cs="Times New Roman" w:eastAsia="Times New Roman" w:hAnsi="Times New Roman"/>
          <w:sz w:val="22"/>
          <w:szCs w:val="22"/>
          <w:color w:val="auto"/>
        </w:rPr>
        <w:t>” means any and all obligations of the Credit Parties or any Subsidiary (other than GEBV or a GEBV Subsidiary), whether absolute or contingent and howsoever and whensoever created, arising, evidenced or acquired (including all renewals, extensions and modifications thereof and substitutions therefor) in connection with Banking Services.</w:t>
      </w:r>
    </w:p>
    <w:p>
      <w:pPr>
        <w:spacing w:after="0" w:line="176"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Event</w:t>
      </w:r>
      <w:r>
        <w:rPr>
          <w:rFonts w:ascii="Times New Roman" w:cs="Times New Roman" w:eastAsia="Times New Roman" w:hAnsi="Times New Roman"/>
          <w:sz w:val="22"/>
          <w:szCs w:val="22"/>
          <w:color w:val="auto"/>
        </w:rPr>
        <w:t xml:space="preserve">” means, with respect to any Person, that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Bankruptcy Event shall not result solely by virtue of any ownership interest, or the acquisition of any ownership interest, in such Person by a Governmental Authority or instrumentality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such ownership interest does not result in or provide such Person with immunity from the jurisdiction of courts within the United States of America or from the enforcement of judgments or writs of attachment on its assets or permit such Person (or such Governmental Authority or instrumentality) to reject, repudiate, disavow or disaffirm any contracts or agreements made by such Person.</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w:t>
      </w:r>
      <w:r>
        <w:rPr>
          <w:rFonts w:ascii="Times New Roman" w:cs="Times New Roman" w:eastAsia="Times New Roman" w:hAnsi="Times New Roman"/>
          <w:sz w:val="22"/>
          <w:szCs w:val="22"/>
          <w:color w:val="auto"/>
        </w:rPr>
        <w:t xml:space="preserve">” means, initially, with respect to any RFR Loan, the Daily Simple SOFR and, with respect to any Term Benchmark Loan, the Term SOFR;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 Benchmark Transition Event and the related Benchmark Replacement Date have occurred with respect to the Daily Simple SOFR or the Term SOFR, as applicable, or the then-current Benchmark, then “Benchmark” means the applicable Benchmark Replacement to the extent that such Benchmark Replacement has replaced such prior benchmark rate pursuant to Section 2.12(b)(1).</w:t>
      </w:r>
    </w:p>
    <w:p>
      <w:pPr>
        <w:spacing w:after="0" w:line="17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w:t>
      </w:r>
      <w:r>
        <w:rPr>
          <w:rFonts w:ascii="Times New Roman" w:cs="Times New Roman" w:eastAsia="Times New Roman" w:hAnsi="Times New Roman"/>
          <w:sz w:val="22"/>
          <w:szCs w:val="22"/>
          <w:color w:val="auto"/>
        </w:rPr>
        <w:t>” means, with respect to any Benchmark Transition Event for any then-current Benchmark, and for any Available Tenor of such then-current Benchmark, the first alternative set forth in the order below that can be determined by the Administrative Agent for the applicable Benchmark Replacement Date:</w:t>
      </w:r>
    </w:p>
    <w:p>
      <w:pPr>
        <w:spacing w:after="0" w:line="173" w:lineRule="exact"/>
        <w:rPr>
          <w:sz w:val="20"/>
          <w:szCs w:val="20"/>
          <w:color w:val="auto"/>
        </w:rPr>
      </w:pPr>
    </w:p>
    <w:p>
      <w:pPr>
        <w:ind w:left="1300"/>
        <w:spacing w:after="0"/>
        <w:tabs>
          <w:tab w:leader="none" w:pos="1760" w:val="left"/>
        </w:tabs>
        <w:rPr>
          <w:sz w:val="20"/>
          <w:szCs w:val="20"/>
          <w:color w:val="auto"/>
        </w:rPr>
      </w:pPr>
      <w:r>
        <w:rPr>
          <w:rFonts w:ascii="Times New Roman" w:cs="Times New Roman" w:eastAsia="Times New Roman" w:hAnsi="Times New Roman"/>
          <w:sz w:val="22"/>
          <w:szCs w:val="22"/>
          <w:color w:val="auto"/>
        </w:rPr>
        <w:t>(1)</w:t>
      </w:r>
      <w:r>
        <w:rPr>
          <w:sz w:val="20"/>
          <w:szCs w:val="20"/>
          <w:color w:val="auto"/>
        </w:rPr>
        <w:tab/>
      </w:r>
      <w:r>
        <w:rPr>
          <w:rFonts w:ascii="Times New Roman" w:cs="Times New Roman" w:eastAsia="Times New Roman" w:hAnsi="Times New Roman"/>
          <w:sz w:val="21"/>
          <w:szCs w:val="21"/>
          <w:color w:val="auto"/>
        </w:rPr>
        <w:t>the Adjusted Daily Simple SOFR;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06" w:name="page207"/>
    <w:bookmarkEnd w:id="206"/>
    <w:p>
      <w:pPr>
        <w:jc w:val="both"/>
        <w:ind w:left="660" w:firstLine="644"/>
        <w:spacing w:after="0" w:line="251" w:lineRule="auto"/>
        <w:tabs>
          <w:tab w:leader="none" w:pos="1813"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(a) the alternate benchmark rate that has been jointly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and/or (ii) any evolving or then-prevailing market convention for determining a benchmark rate as a replacement for the then-current Benchmark for dollar-denominated syndicated credit facilities at such time in the United States and (b) the related Benchmark Replacement Adjustment.</w:t>
      </w:r>
    </w:p>
    <w:p>
      <w:pPr>
        <w:spacing w:after="0" w:line="181"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If the Benchmark Replacement as determined pursuant to clause (1) or (2) above would be less than the Floor (giving effect to any applicable Benchmark Replacement Adjustment), the Benchmark Replacement will be deemed to be the Floor for the purposes of this Agreement and the other Credit Documents.</w:t>
      </w:r>
    </w:p>
    <w:p>
      <w:pPr>
        <w:spacing w:after="0" w:line="167"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Adjustment</w:t>
      </w:r>
      <w:r>
        <w:rPr>
          <w:rFonts w:ascii="Times New Roman" w:cs="Times New Roman" w:eastAsia="Times New Roman" w:hAnsi="Times New Roman"/>
          <w:sz w:val="22"/>
          <w:szCs w:val="22"/>
          <w:color w:val="auto"/>
        </w:rPr>
        <w:t>” means, with respect to any replacement of any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jointly selected by the Administrative Agent and the Borrower for the applicable Corresponding Tenor giving due consideration to (a)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 in the United States.</w:t>
      </w:r>
    </w:p>
    <w:p>
      <w:pPr>
        <w:spacing w:after="0" w:line="204"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Conforming Changes</w:t>
      </w:r>
      <w:r>
        <w:rPr>
          <w:rFonts w:ascii="Times New Roman" w:cs="Times New Roman" w:eastAsia="Times New Roman" w:hAnsi="Times New Roman"/>
          <w:sz w:val="22"/>
          <w:szCs w:val="22"/>
          <w:color w:val="auto"/>
        </w:rPr>
        <w:t>” means, with respect to any Benchmark Replacement and/or any Term Benchmark Loan, any technical, administrative or operational changes (including changes to the definition of “Alternate Base Rate”, the definition of “Business Day”, the definition of “Interest Period”, the definition of “U.S. Government Securities Business Day”,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(in consultation with the Borrower) in its reasonable discretion may be appropriate to reflect the adoption and implementation of such Benchmark and to permit the administration thereof by the Administrative Agent in a manner substantially consistent with market practice (or, if the Administrative Agent decides (in consultation with the Borrower) in its reasonable discretion that adoption of any portion of such market practice is not administratively feasible or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07" w:name="page208"/>
    <w:bookmarkEnd w:id="207"/>
    <w:p>
      <w:pPr>
        <w:jc w:val="both"/>
        <w:spacing w:after="0" w:line="256" w:lineRule="auto"/>
        <w:rPr>
          <w:sz w:val="20"/>
          <w:szCs w:val="20"/>
          <w:color w:val="auto"/>
        </w:rPr>
      </w:pPr>
      <w:r>
        <w:rPr>
          <w:rFonts w:ascii="Times New Roman" w:cs="Times New Roman" w:eastAsia="Times New Roman" w:hAnsi="Times New Roman"/>
          <w:sz w:val="22"/>
          <w:szCs w:val="22"/>
          <w:color w:val="auto"/>
        </w:rPr>
        <w:t>Administrative Agent determines (in consultation with the Borrower) that no market practice for the administration of such Benchmark exists, in such other manner of administration as the Administrative Agent decides (in consultation with the Borrower) in its reasonable discretion is reasonably necessary in connection with the administration of this Agreement and the other Credit Documents).</w:t>
      </w:r>
    </w:p>
    <w:p>
      <w:pPr>
        <w:spacing w:after="0" w:line="17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Date</w:t>
      </w:r>
      <w:r>
        <w:rPr>
          <w:rFonts w:ascii="Times New Roman" w:cs="Times New Roman" w:eastAsia="Times New Roman" w:hAnsi="Times New Roman"/>
          <w:sz w:val="22"/>
          <w:szCs w:val="22"/>
          <w:color w:val="auto"/>
        </w:rPr>
        <w:t>” means, with respect to any Benchmark, the earliest to occur of the following events with respect to such then-current Benchmark:</w:t>
      </w:r>
    </w:p>
    <w:p>
      <w:pPr>
        <w:spacing w:after="0" w:line="158" w:lineRule="exact"/>
        <w:rPr>
          <w:sz w:val="20"/>
          <w:szCs w:val="20"/>
          <w:color w:val="auto"/>
        </w:rPr>
      </w:pPr>
    </w:p>
    <w:p>
      <w:pPr>
        <w:jc w:val="both"/>
        <w:ind w:left="660" w:firstLine="644"/>
        <w:spacing w:after="0" w:line="256" w:lineRule="auto"/>
        <w:tabs>
          <w:tab w:leader="none" w:pos="1851"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930" w:val="left"/>
        </w:tabs>
        <w:numPr>
          <w:ilvl w:val="0"/>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case of clause (3) of the definition of “Benchmark Transition Event”, the first date on which such Benchmark (or the published component used in the calculation thereof) has been or, if such Benchmark is a term rate, all Available Tenors of such Benchmark (or component thereof) have been determined and announced by the regulatory supervisor for the administrator of such Benchmark (or such component thereof) to be no longer representative;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non-representativeness will be determined by reference to the most recent statement or publication referenced in such clause (3) and even if such Benchmark (or component thereof) or, if such Benchmark is a term rate, any Available Tenor of such Benchmark (or such component thereof) continues to be provided on such date.</w:t>
      </w:r>
    </w:p>
    <w:p>
      <w:pPr>
        <w:spacing w:after="0" w:line="173"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81"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Transition Event</w:t>
      </w:r>
      <w:r>
        <w:rPr>
          <w:rFonts w:ascii="Times New Roman" w:cs="Times New Roman" w:eastAsia="Times New Roman" w:hAnsi="Times New Roman"/>
          <w:sz w:val="22"/>
          <w:szCs w:val="22"/>
          <w:color w:val="auto"/>
        </w:rPr>
        <w:t>” means, with respect to any Benchmark, the occurrence of one or more of the following events with respect to such then-current Benchmark:</w:t>
      </w:r>
    </w:p>
    <w:p>
      <w:pPr>
        <w:spacing w:after="0" w:line="144" w:lineRule="exact"/>
        <w:rPr>
          <w:sz w:val="20"/>
          <w:szCs w:val="20"/>
          <w:color w:val="auto"/>
        </w:rPr>
      </w:pPr>
    </w:p>
    <w:p>
      <w:pPr>
        <w:jc w:val="both"/>
        <w:ind w:left="660" w:firstLine="644"/>
        <w:spacing w:after="0" w:line="252" w:lineRule="auto"/>
        <w:tabs>
          <w:tab w:leader="none" w:pos="1807"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the time of such statement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08" w:name="page209"/>
    <w:bookmarkEnd w:id="208"/>
    <w:p>
      <w:pPr>
        <w:ind w:left="660"/>
        <w:spacing w:after="0" w:line="271" w:lineRule="auto"/>
        <w:rPr>
          <w:sz w:val="20"/>
          <w:szCs w:val="20"/>
          <w:color w:val="auto"/>
        </w:rPr>
      </w:pPr>
      <w:r>
        <w:rPr>
          <w:rFonts w:ascii="Times New Roman" w:cs="Times New Roman" w:eastAsia="Times New Roman" w:hAnsi="Times New Roman"/>
          <w:sz w:val="22"/>
          <w:szCs w:val="22"/>
          <w:color w:val="auto"/>
        </w:rPr>
        <w:t>publication, there is no successor administrator that will continue to provide such Benchmark (or such component thereof) or, if such Benchmark is a term rate, any Available Tenor of such Benchmark (or such component thereof);</w:t>
      </w:r>
    </w:p>
    <w:p>
      <w:pPr>
        <w:spacing w:after="0" w:line="158" w:lineRule="exact"/>
        <w:rPr>
          <w:sz w:val="20"/>
          <w:szCs w:val="20"/>
          <w:color w:val="auto"/>
        </w:rPr>
      </w:pPr>
    </w:p>
    <w:p>
      <w:pPr>
        <w:jc w:val="both"/>
        <w:ind w:left="660" w:firstLine="644"/>
        <w:spacing w:after="0" w:line="249" w:lineRule="auto"/>
        <w:tabs>
          <w:tab w:leader="none" w:pos="1844"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public statement or publication of information by the regulatory supervisor for the administrator of such Benchmark (or the published component used in the calculation thereof), the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such Benchmark (or such component thereof) or, if such Benchmark is a term rate, all Available Tenors of such Benchmark (or such component thereof) permanently or indefinitely;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the time of such statement or publication, there is no successor administrator that will continue to provide such Benchmark (or such component thereof) or, if such Benchmark is a term rate, any Available Tenor of such Benchmark (or such component thereof); or</w:t>
      </w:r>
    </w:p>
    <w:p>
      <w:pPr>
        <w:spacing w:after="0" w:line="183"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844"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 longer, or as of a specified future date will no longer be, representative.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For the avoidance of doubt, a “Benchmark Transition Event” will be deemed to have occurred with respect to any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Benchmark if a public statement or publication of information set forth above has occurred with respect to each then-current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Available Tenor of such Benchmark (or the published component used in the calculation thereof).</w:t>
      </w:r>
    </w:p>
    <w:p>
      <w:pPr>
        <w:spacing w:after="0" w:line="20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Unavailability Period</w:t>
      </w:r>
      <w:r>
        <w:rPr>
          <w:rFonts w:ascii="Times New Roman" w:cs="Times New Roman" w:eastAsia="Times New Roman" w:hAnsi="Times New Roman"/>
          <w:sz w:val="22"/>
          <w:szCs w:val="22"/>
          <w:color w:val="auto"/>
        </w:rPr>
        <w:t>” means, with respect to any Benchmark, the period (if any) (a) beginning at the time that a Benchmark Replacement Date has occurred if, at such time, no Benchmark Replacement has replaced such then-current Benchmark for all purposes hereunder and under any other Credit Document in accordance with Section 2.12(b) and (b) ending at the time that a Benchmark Replacement has replaced such then-current Benchmark for all purposes hereunder and under any other Credit Document in accordance with Section 2.12(b).</w:t>
      </w:r>
    </w:p>
    <w:p>
      <w:pPr>
        <w:spacing w:after="0" w:line="194"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Certification</w:t>
      </w:r>
      <w:r>
        <w:rPr>
          <w:rFonts w:ascii="Times New Roman" w:cs="Times New Roman" w:eastAsia="Times New Roman" w:hAnsi="Times New Roman"/>
          <w:sz w:val="22"/>
          <w:szCs w:val="22"/>
          <w:color w:val="auto"/>
        </w:rPr>
        <w:t>” means a certification regarding beneficial ownership or control as required by the Beneficial Ownership Regulation.</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Regulation</w:t>
      </w:r>
      <w:r>
        <w:rPr>
          <w:rFonts w:ascii="Times New Roman" w:cs="Times New Roman" w:eastAsia="Times New Roman" w:hAnsi="Times New Roman"/>
          <w:sz w:val="22"/>
          <w:szCs w:val="22"/>
          <w:color w:val="auto"/>
        </w:rPr>
        <w:t>” means 31 C.F.R. § 1010.230.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09" w:name="page210"/>
    <w:bookmarkEnd w:id="209"/>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Benefit Plan</w:t>
      </w:r>
      <w:r>
        <w:rPr>
          <w:rFonts w:ascii="Times New Roman" w:cs="Times New Roman" w:eastAsia="Times New Roman" w:hAnsi="Times New Roman"/>
          <w:sz w:val="22"/>
          <w:szCs w:val="22"/>
          <w:color w:val="auto"/>
        </w:rPr>
        <w:t>” means any of (a) an “employee benefit plan” (as defined in Section 3(3) of ERISA) that is subject to Title I of ERISA, (b) a “plan” as defined in Section 4975 of the Code to which Section 4975 of the Code applies or (c) any Person whose assets include (for purposes of ERISA Section 3(42) or otherwise for purposes of Title I of ERISA or Section 4975 of the Code) the assets of any such “employee benefit plan” or “plan”.</w:t>
      </w:r>
    </w:p>
    <w:p>
      <w:pPr>
        <w:spacing w:after="0" w:line="17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BHC Act Affiliate</w:t>
      </w:r>
      <w:r>
        <w:rPr>
          <w:rFonts w:ascii="Times New Roman" w:cs="Times New Roman" w:eastAsia="Times New Roman" w:hAnsi="Times New Roman"/>
          <w:sz w:val="22"/>
          <w:szCs w:val="22"/>
          <w:color w:val="auto"/>
        </w:rPr>
        <w:t>” of a party means an “affiliate” (as such term is defined under, and interpreted in accordance with, 12 U.S.C. 1841(k)) of such party.</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Bill of Lading</w:t>
      </w:r>
      <w:r>
        <w:rPr>
          <w:rFonts w:ascii="Times New Roman" w:cs="Times New Roman" w:eastAsia="Times New Roman" w:hAnsi="Times New Roman"/>
          <w:sz w:val="22"/>
          <w:szCs w:val="22"/>
          <w:color w:val="auto"/>
        </w:rPr>
        <w:t>” has the meaning set forth in Article I of the Uniform Commercial Code as from time to time in effect in the State of New York.</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Governors of the Federal Reserve System of the United States of America.</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 of Directors</w:t>
      </w:r>
      <w:r>
        <w:rPr>
          <w:rFonts w:ascii="Times New Roman" w:cs="Times New Roman" w:eastAsia="Times New Roman" w:hAnsi="Times New Roman"/>
          <w:sz w:val="22"/>
          <w:szCs w:val="22"/>
          <w:color w:val="auto"/>
        </w:rPr>
        <w:t>” means the board of directors of the Borrower or any committee thereof duly authorized to act on behalf of the board of directors of the Borrower.</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means The Goodyear Tire &amp; Rubber Company, an Ohio corporation.</w:t>
      </w:r>
    </w:p>
    <w:p>
      <w:pPr>
        <w:spacing w:after="0" w:line="220"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w:t>
      </w:r>
      <w:r>
        <w:rPr>
          <w:rFonts w:ascii="Times New Roman" w:cs="Times New Roman" w:eastAsia="Times New Roman" w:hAnsi="Times New Roman"/>
          <w:sz w:val="22"/>
          <w:szCs w:val="22"/>
          <w:color w:val="auto"/>
        </w:rPr>
        <w:t>” means Loans of the same Class and Type made, converted or continued on the same date and, in the case of Term Benchmark Loans, as to which a single Interest Period is in effect.</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Base</w:t>
      </w:r>
      <w:r>
        <w:rPr>
          <w:rFonts w:ascii="Times New Roman" w:cs="Times New Roman" w:eastAsia="Times New Roman" w:hAnsi="Times New Roman"/>
          <w:sz w:val="22"/>
          <w:szCs w:val="22"/>
          <w:color w:val="auto"/>
        </w:rPr>
        <w:t>” means, at the time of any determination, an amount equal to the sum, without duplication, of:</w:t>
      </w:r>
    </w:p>
    <w:p>
      <w:pPr>
        <w:spacing w:after="0" w:line="220" w:lineRule="exact"/>
        <w:rPr>
          <w:sz w:val="20"/>
          <w:szCs w:val="20"/>
          <w:color w:val="auto"/>
        </w:rPr>
      </w:pPr>
    </w:p>
    <w:p>
      <w:pPr>
        <w:jc w:val="both"/>
        <w:ind w:left="660" w:right="20" w:firstLine="721"/>
        <w:spacing w:after="0" w:line="257" w:lineRule="auto"/>
        <w:tabs>
          <w:tab w:leader="none" w:pos="1692"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90% of Eligible Investment Grade Accounts Receivable;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 85% of Eligible Accounts Receivable (excluding any Eligible Accounts Receivable included in the Borrowing Base pursuant to clause (a)(i) above), less (iii) the sum of, without duplication, (A) the Dilution Reserve and (B) the Accounts Receivable Reserves,</w:t>
      </w:r>
    </w:p>
    <w:p>
      <w:pPr>
        <w:spacing w:after="0" w:line="172" w:lineRule="exact"/>
        <w:rPr>
          <w:rFonts w:ascii="Times New Roman" w:cs="Times New Roman" w:eastAsia="Times New Roman" w:hAnsi="Times New Roman"/>
          <w:sz w:val="22"/>
          <w:szCs w:val="22"/>
          <w:color w:val="auto"/>
        </w:rPr>
      </w:pPr>
    </w:p>
    <w:p>
      <w:pPr>
        <w:jc w:val="both"/>
        <w:ind w:left="660" w:firstLine="721"/>
        <w:spacing w:after="0" w:line="251" w:lineRule="auto"/>
        <w:tabs>
          <w:tab w:leader="none" w:pos="1691"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if the Effective Advance Rate is equal to or greater than the percentage equal to 85% of the Recovery Rate, 85% multiplied by the Recovery Rate multiplied by the Inventory Value of all Inventory of the Borrower and each other Grantor or (ii) if the Effective Advance Rate is less than the percentage equal to 85% of the Recovery Rate, (A) the sum of (x) 40% of Eligible Raw Materials plus (y) 70% of Adjusted Eligible Finished Goods relating to the North American Tire Division and the Retail Division (including both consumer and commercial), respectively, plus (z) 40% of Eligible Work in Process minus (B) the Rent Reserve, minus (C) the Priority Payables Reserve minus (D)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10" w:name="page211"/>
    <w:bookmarkEnd w:id="210"/>
    <w:p>
      <w:pPr>
        <w:ind w:left="660" w:right="20"/>
        <w:spacing w:after="0" w:line="271" w:lineRule="auto"/>
        <w:rPr>
          <w:sz w:val="20"/>
          <w:szCs w:val="20"/>
          <w:color w:val="auto"/>
        </w:rPr>
      </w:pPr>
      <w:r>
        <w:rPr>
          <w:rFonts w:ascii="Times New Roman" w:cs="Times New Roman" w:eastAsia="Times New Roman" w:hAnsi="Times New Roman"/>
          <w:sz w:val="22"/>
          <w:szCs w:val="22"/>
          <w:color w:val="auto"/>
        </w:rPr>
        <w:t>Canadian Priority Payables Reserve, to the extent applicable to Inventory (the amount in clause (ii) collectively, the “</w:t>
      </w:r>
      <w:r>
        <w:rPr>
          <w:rFonts w:ascii="Times New Roman" w:cs="Times New Roman" w:eastAsia="Times New Roman" w:hAnsi="Times New Roman"/>
          <w:sz w:val="22"/>
          <w:szCs w:val="22"/>
          <w:u w:val="single" w:color="auto"/>
          <w:color w:val="auto"/>
        </w:rPr>
        <w:t>Inventory Advance Amount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left="660" w:firstLine="721"/>
        <w:spacing w:after="0" w:line="253" w:lineRule="auto"/>
        <w:tabs>
          <w:tab w:leader="none" w:pos="1692"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greater of (i) if the Borrower shall have elected to have the net orderly liquidation value of the Principal Goodyear Trademarks appraised by a third party appraiser selected by the Administrative Agent and the Borrower and engaged by the Administrative Agent, and such net orderly liquidation value shall have been determined by such appraiser and set forth in a notice delivered to the Administrative Agent, 50% of the net orderly liquidation value of the Principal Goodyear Trademarks, as determined by such appraiser, and (ii) $400,000,000,</w:t>
      </w:r>
    </w:p>
    <w:p>
      <w:pPr>
        <w:spacing w:after="0" w:line="178" w:lineRule="exact"/>
        <w:rPr>
          <w:rFonts w:ascii="Times New Roman" w:cs="Times New Roman" w:eastAsia="Times New Roman" w:hAnsi="Times New Roman"/>
          <w:sz w:val="22"/>
          <w:szCs w:val="22"/>
          <w:color w:val="auto"/>
        </w:rPr>
      </w:pPr>
    </w:p>
    <w:p>
      <w:pPr>
        <w:ind w:left="1680" w:hanging="299"/>
        <w:spacing w:after="0"/>
        <w:tabs>
          <w:tab w:leader="none" w:pos="168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85% of the Amortized Value of the Eligible Machinery and Equipment, and</w:t>
      </w:r>
    </w:p>
    <w:p>
      <w:pPr>
        <w:spacing w:after="0" w:line="233" w:lineRule="exact"/>
        <w:rPr>
          <w:rFonts w:ascii="Times New Roman" w:cs="Times New Roman" w:eastAsia="Times New Roman" w:hAnsi="Times New Roman"/>
          <w:sz w:val="22"/>
          <w:szCs w:val="22"/>
          <w:color w:val="auto"/>
        </w:rPr>
      </w:pPr>
    </w:p>
    <w:p>
      <w:pPr>
        <w:ind w:left="660" w:right="20" w:firstLine="721"/>
        <w:spacing w:after="0" w:line="271" w:lineRule="auto"/>
        <w:tabs>
          <w:tab w:leader="none" w:pos="1706"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lesser of (i) Eligible Cash minus the Canadian Priority Payables Reserve, to the extent applicable to Eligible Cash, and (ii) $275,000,000;</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portion of the Borrowing Base attributable to clauses (c) and (d) above shall not exceed 35% of the Borrowing Base (calculated including the amount referred to in clauses (c) and (d) but excluding the amount referred to in clause (e) above) as set forth in Exhibit C;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no assets of any entities acquired by the Borrower or any Subsidiary after the Restatement Date shall be included in the computation of the Borrowing Base until the Administrative Agent has received a field evaluation and appraisal with respect thereto reasonably satisfactory to the Administrative Agent.</w:t>
      </w:r>
    </w:p>
    <w:p>
      <w:pPr>
        <w:spacing w:after="0" w:line="17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The Borrowing Base at any time shall be determined by reference to the most recent Borrowing Base Certificate delivered to the Administrative Agent on the Restatement Date or pursuant to Section 5.09, as applicable. Subject to the provisions of Section 9.02(b)(viii), (x) standards of eligibility and reserves relating to the components of the Borrowing Base may be revised and adjusted from time to time by the Administrative Agent or the Majority Lenders in their discretion (not to be exercised unreasonably) based on the results of collateral and borrowing base evaluations and monitoring conducted by the Administrative Agent and its designated representatives and (y) adjustments to the amounts and limits with respect to clauses (c), (d) and (e) of this definition may be made by written agreements entered into by the Borrower and the Administrative Agent. Any such revision or adjustment by the Administrative Agent or the Majority Lenders pursuant to clause (x) above shall be made by written notice to the Borrower setting forth in reasonable detail the basis for such revision or adjustment, and shall become effective for purposes of the first Borrowing Base Certificate that is delivered pursuant to Section 5.09 at least five Business Days after the date of receipt by the Borrower of such written notice.</w:t>
      </w:r>
    </w:p>
    <w:p>
      <w:pPr>
        <w:spacing w:after="0" w:line="189"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Base Availability</w:t>
      </w:r>
      <w:r>
        <w:rPr>
          <w:rFonts w:ascii="Times New Roman" w:cs="Times New Roman" w:eastAsia="Times New Roman" w:hAnsi="Times New Roman"/>
          <w:sz w:val="22"/>
          <w:szCs w:val="22"/>
          <w:color w:val="auto"/>
        </w:rPr>
        <w:t>” means, at the time of any determination, an amount equal to the lesser of the Borrowing Base at such time and the aggregate amount of the Commitments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11" w:name="page212"/>
    <w:bookmarkEnd w:id="211"/>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Base Certificate</w:t>
      </w:r>
      <w:r>
        <w:rPr>
          <w:rFonts w:ascii="Times New Roman" w:cs="Times New Roman" w:eastAsia="Times New Roman" w:hAnsi="Times New Roman"/>
          <w:sz w:val="22"/>
          <w:szCs w:val="22"/>
          <w:color w:val="auto"/>
        </w:rPr>
        <w:t>” means a certificate substantially in the form of Exhibit C hereto (with such changes therein as may be reasonably requested by the Administrative Agent from time to time to reflect the components of and reserves against the Borrowing Base as provided for hereunder from time to time), executed and certified on behalf of the Borrower as accurate and complete in all material respects by a Financial Officer of the Borrower, which shall include appropriate exhibits, schedules, supporting documentation and additional reports as (a) outlined in Exhibit C hereto, (b) reasonably requested by the Administrative Agent and (c) provided for in Section 5.09.</w:t>
      </w:r>
    </w:p>
    <w:p>
      <w:pPr>
        <w:spacing w:after="0" w:line="181"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Request</w:t>
      </w:r>
      <w:r>
        <w:rPr>
          <w:rFonts w:ascii="Times New Roman" w:cs="Times New Roman" w:eastAsia="Times New Roman" w:hAnsi="Times New Roman"/>
          <w:sz w:val="22"/>
          <w:szCs w:val="22"/>
          <w:color w:val="auto"/>
        </w:rPr>
        <w:t>” means a request by the Borrower for a Borrowing in accordance with Section 2.02 in substantially the form approved by the Administrative Agent and the Borrower and separately provided to the Borrower or for a Swingline Loan in accordance with Section 2.04 in substantially the form approved by the Administrative Agent and the Borrower and separately provided to the Borrower.</w:t>
      </w:r>
    </w:p>
    <w:p>
      <w:pPr>
        <w:spacing w:after="0" w:line="176"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xml:space="preserve">” means any day that is not a Saturday, Sunday or other day on which commercial banks in New York City are authorized or required by law to remain closed;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when used in relation to RFR Loans and any interest rate settings, fundings, disbursements, settlements or payments of any such RFR Loans, or any other dealings of any such RFR Loans, the term “Business Day” shall also exclude any day that is not a U.S. Government Securities Business Day and (b) when used in relation to Loans referencing the Adjusted Term SOFR and any interest rate settings, fundings, disbursements, settlements or payments of any such Loans referencing the Adjusted Term SOFR or any other dealings of such Loans referencing the Adjusted Term SOFR, the term “Business Day” shall also exclude any day that is not a U.S. Government Securities Business Day.</w:t>
      </w:r>
    </w:p>
    <w:p>
      <w:pPr>
        <w:spacing w:after="0" w:line="182"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Benefit Plans</w:t>
      </w:r>
      <w:r>
        <w:rPr>
          <w:rFonts w:ascii="Times New Roman" w:cs="Times New Roman" w:eastAsia="Times New Roman" w:hAnsi="Times New Roman"/>
          <w:sz w:val="22"/>
          <w:szCs w:val="22"/>
          <w:color w:val="auto"/>
        </w:rPr>
        <w:t>” means all material employee benefit plans of any nature or kind whatsoever that are not Canadian Pension Plans and are maintained or contributed to by any Credit Party having employees in Canada.</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Dollars</w:t>
      </w:r>
      <w:r>
        <w:rPr>
          <w:rFonts w:ascii="Times New Roman" w:cs="Times New Roman" w:eastAsia="Times New Roman" w:hAnsi="Times New Roman"/>
          <w:sz w:val="22"/>
          <w:szCs w:val="22"/>
          <w:color w:val="auto"/>
        </w:rPr>
        <w:t>” refers to lawful money of Canada.</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Pension Plans</w:t>
      </w:r>
      <w:r>
        <w:rPr>
          <w:rFonts w:ascii="Times New Roman" w:cs="Times New Roman" w:eastAsia="Times New Roman" w:hAnsi="Times New Roman"/>
          <w:sz w:val="22"/>
          <w:szCs w:val="22"/>
          <w:color w:val="auto"/>
        </w:rPr>
        <w:t>” means each plan which is a registered pension plan within the meaning of the Income Tax Act (Canada).</w:t>
      </w:r>
    </w:p>
    <w:p>
      <w:pPr>
        <w:spacing w:after="0" w:line="15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Priority Payables Reserve</w:t>
      </w:r>
      <w:r>
        <w:rPr>
          <w:rFonts w:ascii="Times New Roman" w:cs="Times New Roman" w:eastAsia="Times New Roman" w:hAnsi="Times New Roman"/>
          <w:sz w:val="22"/>
          <w:szCs w:val="22"/>
          <w:color w:val="auto"/>
        </w:rPr>
        <w:t xml:space="preserve">” means, at any time, the full amount, without duplication, of the liabilities at such time which have a trust imposed to provide for payment thereof or a security interest, Lien or charge ranking or capable of ranking, in each case senior to or </w:t>
      </w:r>
      <w:r>
        <w:rPr>
          <w:rFonts w:ascii="Times New Roman" w:cs="Times New Roman" w:eastAsia="Times New Roman" w:hAnsi="Times New Roman"/>
          <w:sz w:val="22"/>
          <w:szCs w:val="22"/>
          <w:u w:val="single" w:color="auto"/>
          <w:color w:val="auto"/>
        </w:rPr>
        <w:t>pari passu</w:t>
      </w:r>
      <w:r>
        <w:rPr>
          <w:rFonts w:ascii="Times New Roman" w:cs="Times New Roman" w:eastAsia="Times New Roman" w:hAnsi="Times New Roman"/>
          <w:sz w:val="22"/>
          <w:szCs w:val="22"/>
          <w:color w:val="auto"/>
        </w:rPr>
        <w:t xml:space="preserve"> with the Liens created under the Security Documents under Canadian federal, provincial, territorial, county, municipal or local law with respect to claims for goods and services taxes, sales tax, income tax, workers’ compensation obligations, vacation pay, wages or pension fund obligations.</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Security Agreements</w:t>
      </w:r>
      <w:r>
        <w:rPr>
          <w:rFonts w:ascii="Times New Roman" w:cs="Times New Roman" w:eastAsia="Times New Roman" w:hAnsi="Times New Roman"/>
          <w:sz w:val="22"/>
          <w:szCs w:val="22"/>
          <w:color w:val="auto"/>
        </w:rPr>
        <w:t>” has the meaning assigned to such term in the Guarantee and Collateral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12" w:name="page213"/>
    <w:bookmarkEnd w:id="212"/>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Stock</w:t>
      </w:r>
      <w:r>
        <w:rPr>
          <w:rFonts w:ascii="Times New Roman" w:cs="Times New Roman" w:eastAsia="Times New Roman" w:hAnsi="Times New Roman"/>
          <w:sz w:val="22"/>
          <w:szCs w:val="22"/>
          <w:color w:val="auto"/>
        </w:rPr>
        <w:t>” of any Person means any and all shares, interests, rights to purchase, warrants, options, participations or other equivalents of or interests (however designated) in equity of such Person, including any Preferred Stock, but excluding any debt securities convertible into such equity.</w:t>
      </w:r>
    </w:p>
    <w:p>
      <w:pPr>
        <w:spacing w:after="0" w:line="186"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means (a) the acquisition of ownership, directly or indirectly, beneficially or of record (other than in the case of The Depository Trust Company or any other clearing agency, in its capacity as record holder of any Capital Stock for other Persons that are the beneficial owners of such Capital Stock), by any Person or group (within the meaning of the Exchange Act and the rules of the United States Securities and Exchange Commission thereunder as in effect on the date hereof), of Capital Stock representing more than 50% of the aggregate ordinary voting power represented by the issued and outstanding Capital Stock of the Borrower; or (b) occupation of a majority of the seats (other than vacant seats) on the board of directors of the Borrower by Persons who were neither (i) directors on the Restatement Date or nominated or approved prior to their election by the board of directors of the Borrower nor (ii) appointed by directors so nominated or approved.</w:t>
      </w:r>
    </w:p>
    <w:p>
      <w:pPr>
        <w:spacing w:after="0" w:line="173"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Law</w:t>
      </w:r>
      <w:r>
        <w:rPr>
          <w:rFonts w:ascii="Times New Roman" w:cs="Times New Roman" w:eastAsia="Times New Roman" w:hAnsi="Times New Roman"/>
          <w:sz w:val="22"/>
          <w:szCs w:val="22"/>
          <w:color w:val="auto"/>
        </w:rPr>
        <w:t xml:space="preserve">” means (a) the adoption of any law, rule or regulation after the date of this Agreement, (b) any change in any law, rule or regulation or in the interpretation or application thereof by any Governmental Authority after the date of this Agreement or (c) compliance by any Lender or any Issuing Bank (or, for purposes of Section 2.13(b), by any lending office of such Lender or by such Lender’s or such Issuing Bank’s holding company, if any) with any request, guideline or directive (whether or not having the force of law) of any Governmental Authority made or issued after the date of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purposes of this definition, with respect to all requests, rules, guidelines or directives adopted or issued pursuant to or in connection with the Dodd-Frank Wall Street Reform and Consumer Protection Act and Basel III, the date of this Agreement shall be deemed to be December 31, 2015;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no act, event or circumstance referred to in clause (a), (b) or (c) of this definition shall be deemed to have occurred prior to the date of this Agreement as a result of the applicable law, rule, regulation, interpretation, application, request, guideline or directive having been adopted, made or issued under the general authority of the Dodd-Frank Wall Street Reform and Consumer Protection Act, Basel III or any other law or multinational supervisory agreement in effect prior to the date hereof.</w:t>
      </w:r>
    </w:p>
    <w:p>
      <w:pPr>
        <w:spacing w:after="0" w:line="18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Charges</w:t>
      </w:r>
      <w:r>
        <w:rPr>
          <w:rFonts w:ascii="Times New Roman" w:cs="Times New Roman" w:eastAsia="Times New Roman" w:hAnsi="Times New Roman"/>
          <w:sz w:val="22"/>
          <w:szCs w:val="22"/>
          <w:color w:val="auto"/>
        </w:rPr>
        <w:t>” has the meaning set forth in Section 9.13.</w:t>
      </w:r>
    </w:p>
    <w:p>
      <w:pPr>
        <w:spacing w:after="0" w:line="23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w:t>
      </w:r>
      <w:r>
        <w:rPr>
          <w:rFonts w:ascii="Times New Roman" w:cs="Times New Roman" w:eastAsia="Times New Roman" w:hAnsi="Times New Roman"/>
          <w:sz w:val="22"/>
          <w:szCs w:val="22"/>
          <w:color w:val="auto"/>
        </w:rPr>
        <w:t>” when used in reference to any Loan or Borrowing refers to whether such Loan, or the Loans comprising such Borrowing, are Revolving Loans or Swingline Loans.</w:t>
      </w:r>
    </w:p>
    <w:p>
      <w:pPr>
        <w:spacing w:after="0" w:line="15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w:t>
      </w:r>
      <w:r>
        <w:rPr>
          <w:rFonts w:ascii="Times New Roman" w:cs="Times New Roman" w:eastAsia="Times New Roman" w:hAnsi="Times New Roman"/>
          <w:sz w:val="22"/>
          <w:szCs w:val="22"/>
          <w:color w:val="auto"/>
        </w:rPr>
        <w:t>” means any entity (whether a corporation, partnership, trust or otherwise) that is engaged in making, purchasing, holding or otherwise investing in bank loans and similar extensions of credit in the ordinary course and is administered or managed by a Lender or an Affiliate of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13" w:name="page214"/>
    <w:bookmarkEnd w:id="213"/>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CME Term SOFR Administrator</w:t>
      </w:r>
      <w:r>
        <w:rPr>
          <w:rFonts w:ascii="Times New Roman" w:cs="Times New Roman" w:eastAsia="Times New Roman" w:hAnsi="Times New Roman"/>
          <w:sz w:val="22"/>
          <w:szCs w:val="22"/>
          <w:color w:val="auto"/>
        </w:rPr>
        <w:t>” means CME Group Benchmark Administration Limited as administrator of the forward-looking term Secured Overnight Financing Rate (or a successor administrator).</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 from time to time.</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Collateral</w:t>
      </w:r>
      <w:r>
        <w:rPr>
          <w:rFonts w:ascii="Times New Roman" w:cs="Times New Roman" w:eastAsia="Times New Roman" w:hAnsi="Times New Roman"/>
          <w:sz w:val="21"/>
          <w:szCs w:val="21"/>
          <w:color w:val="auto"/>
        </w:rPr>
        <w:t>” means all the assets and rights that secure any of the Obligations pursuant to the Security Documents.</w:t>
      </w:r>
    </w:p>
    <w:p>
      <w:pPr>
        <w:spacing w:after="0" w:line="23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Agent</w:t>
      </w:r>
      <w:r>
        <w:rPr>
          <w:rFonts w:ascii="Times New Roman" w:cs="Times New Roman" w:eastAsia="Times New Roman" w:hAnsi="Times New Roman"/>
          <w:sz w:val="22"/>
          <w:szCs w:val="22"/>
          <w:color w:val="auto"/>
        </w:rPr>
        <w:t>” means JPMCB, in its capacity as collateral agent for the Lenders and the other Secured Parties under the Guarantee and Collateral Agreement and the other Security Documents.</w:t>
      </w:r>
    </w:p>
    <w:p>
      <w:pPr>
        <w:spacing w:after="0" w:line="158"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w:t>
      </w:r>
      <w:r>
        <w:rPr>
          <w:rFonts w:ascii="Times New Roman" w:cs="Times New Roman" w:eastAsia="Times New Roman" w:hAnsi="Times New Roman"/>
          <w:sz w:val="22"/>
          <w:szCs w:val="22"/>
          <w:color w:val="auto"/>
        </w:rPr>
        <w:t>” means, with respect to each Lender, the commitment of such Lender to make Revolving Loans and to acquire participations in Letters of Credit and Swingline Loans hereunder, expressed as an amount representing the maximum permitted aggregate amount of such Lender’s Credit Exposure hereunder, as such commitment may be (a) reduced from time to time pursuant to Section 2.07 or increased from time to time pursuant to Section 2.20 and (b) reduced or increased from time to time pursuant to assignments by or to such Lender pursuant to Section 9.04. The initial amount of each Lender’s Commitment is set forth on Schedule 2.01 or in the Assignment and Assumption pursuant to which such Lender shall have assumed its Commitment, as applicable. The initial aggregate amount of the Lenders’ Commitments is $2,750,000,000.</w:t>
      </w:r>
    </w:p>
    <w:p>
      <w:pPr>
        <w:spacing w:after="0" w:line="18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 Termination Date</w:t>
      </w:r>
      <w:r>
        <w:rPr>
          <w:rFonts w:ascii="Times New Roman" w:cs="Times New Roman" w:eastAsia="Times New Roman" w:hAnsi="Times New Roman"/>
          <w:sz w:val="22"/>
          <w:szCs w:val="22"/>
          <w:color w:val="auto"/>
        </w:rPr>
        <w:t>” means (x) May 19, 2030 or (y) as to any Commitments or Loans that are subject to an extension pursuant to Section 2.19, any later date to which the Commitment Termination Date in respect thereof shall have been extended pursuant to an Extension Agreement.</w:t>
      </w:r>
    </w:p>
    <w:p>
      <w:pPr>
        <w:spacing w:after="0" w:line="16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Commodity Exchange Act</w:t>
      </w:r>
      <w:r>
        <w:rPr>
          <w:rFonts w:ascii="Times New Roman" w:cs="Times New Roman" w:eastAsia="Times New Roman" w:hAnsi="Times New Roman"/>
          <w:sz w:val="22"/>
          <w:szCs w:val="22"/>
          <w:color w:val="auto"/>
        </w:rPr>
        <w:t>” means the Commodity Exchange Act (7 U.S.C. § 1 et seq.), as amended from time to time, and any successor statute.</w:t>
      </w:r>
    </w:p>
    <w:p>
      <w:pPr>
        <w:spacing w:after="0" w:line="158"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Consent Subsidiary</w:t>
      </w:r>
      <w:r>
        <w:rPr>
          <w:rFonts w:ascii="Times New Roman" w:cs="Times New Roman" w:eastAsia="Times New Roman" w:hAnsi="Times New Roman"/>
          <w:sz w:val="22"/>
          <w:szCs w:val="22"/>
          <w:color w:val="auto"/>
        </w:rPr>
        <w:t>” means (a) any Subsidiary listed on Schedule 1.01A and (b) any Subsidiary not on Schedule 1.01A or formed or acquired after the Restatement Date, in respect of which (A) the consent of any Person other than the Borrower or any Wholly Owned Subsidiary is required by applicable law or the terms of any organizational document of such Subsidiary or other agreement of such Subsidiary or any Affiliate of such Subsidiary in order for such Subsidiary to execute the Guarantee and Collateral Agreement as a Grantor or a Subsidiary Guarantor and perform its obligations thereunder, or in order for Capital Stock of such Subsidiary to be pledged under the Security Documents, as the case may be, and (B) the Borrower has endeavored in good faith to obtain such consents, and such consents shall not have been obtained. Notwithstanding the foregoing, no Subsidiary shall be a Consent Subsidiary at any time that it is a guarantor of, or has provided any collateral to secure, Indebtedness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14" w:name="page215"/>
    <w:bookmarkEnd w:id="214"/>
    <w:p>
      <w:pPr>
        <w:jc w:val="both"/>
        <w:spacing w:after="0" w:line="263" w:lineRule="auto"/>
        <w:rPr>
          <w:sz w:val="20"/>
          <w:szCs w:val="20"/>
          <w:color w:val="auto"/>
        </w:rPr>
      </w:pPr>
      <w:r>
        <w:rPr>
          <w:rFonts w:ascii="Times New Roman" w:cs="Times New Roman" w:eastAsia="Times New Roman" w:hAnsi="Times New Roman"/>
          <w:sz w:val="21"/>
          <w:szCs w:val="21"/>
          <w:color w:val="auto"/>
        </w:rPr>
        <w:t>borrowed money of the Borrower, and any Consent Subsidiary (including a Consent Subsidiary listed in Schedule 1.01A) that at any time ceases to meet the test set forth in clause (A) shall cease to be a Consent Subsidiary. No Subsidiary shall be a Consent Subsidiary if it is (i) a US Guarantor under the European Guarantee and Collateral Agreement or a “Subsidiary Guarantor” (that is organized under the laws of the United States or Canada or any of their respective states, provinces, territories or possessions or any political subdivision of any thereof) under the GEBV Notes Indenture, (ii) a “Subsidiary Guarantor” under any Specified Supplemental Indenture or (iii) a Subsidiary of the Borrower that Guarantees any obligations arising under an indenture or any other document governing Material Indebtedness of the Borrower entered into after the date hereof.</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Coverage Ratio</w:t>
      </w:r>
      <w:r>
        <w:rPr>
          <w:rFonts w:ascii="Times New Roman" w:cs="Times New Roman" w:eastAsia="Times New Roman" w:hAnsi="Times New Roman"/>
          <w:sz w:val="22"/>
          <w:szCs w:val="22"/>
          <w:color w:val="auto"/>
        </w:rPr>
        <w:t>” as of any date of determination means the ratio of:</w:t>
      </w:r>
    </w:p>
    <w:p>
      <w:pPr>
        <w:spacing w:after="0" w:line="233" w:lineRule="exact"/>
        <w:rPr>
          <w:sz w:val="20"/>
          <w:szCs w:val="20"/>
          <w:color w:val="auto"/>
        </w:rPr>
      </w:pPr>
    </w:p>
    <w:p>
      <w:pPr>
        <w:ind w:left="1300" w:right="20" w:firstLine="405"/>
        <w:spacing w:after="0" w:line="271" w:lineRule="auto"/>
        <w:tabs>
          <w:tab w:leader="none" w:pos="2007"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 of EBITDA for the period of the most recent four consecutive fiscal quarters ending prior to the date of such determination for which financial statements have been filed with the SEC to</w:t>
      </w:r>
    </w:p>
    <w:p>
      <w:pPr>
        <w:spacing w:after="0" w:line="157" w:lineRule="exact"/>
        <w:rPr>
          <w:rFonts w:ascii="Times New Roman" w:cs="Times New Roman" w:eastAsia="Times New Roman" w:hAnsi="Times New Roman"/>
          <w:sz w:val="22"/>
          <w:szCs w:val="22"/>
          <w:color w:val="auto"/>
        </w:rPr>
      </w:pPr>
    </w:p>
    <w:p>
      <w:pPr>
        <w:ind w:left="2020" w:hanging="315"/>
        <w:spacing w:after="0"/>
        <w:tabs>
          <w:tab w:leader="none" w:pos="2020"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Consolidated Interest Expense for such four fiscal quarters;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w:t>
      </w:r>
    </w:p>
    <w:p>
      <w:pPr>
        <w:spacing w:after="0" w:line="220" w:lineRule="exact"/>
        <w:rPr>
          <w:sz w:val="20"/>
          <w:szCs w:val="20"/>
          <w:color w:val="auto"/>
        </w:rPr>
      </w:pPr>
    </w:p>
    <w:p>
      <w:pPr>
        <w:jc w:val="both"/>
        <w:ind w:left="1700" w:firstLine="414"/>
        <w:spacing w:after="0" w:line="250" w:lineRule="auto"/>
        <w:tabs>
          <w:tab w:leader="none" w:pos="2472"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Borrower or any Restricted Subsidiary has Incurred any Indebtedness since the beginning of such period that remains outstanding on such date of determination or if the transaction giving rise to the need to calculate the Consolidated Coverage Ratio is an Incurrence of Indebtedness, EBITDA and Consolidated Interest Expense for such period shall be calculated after giving effect on a pro forma basis to such Indebtedness as if such Indebtedness had been Incurred on the first day of such period and the discharge of any other Indebtedness repaid, repurchased, defeased or otherwise discharged with the proceeds of such new Indebtedness as if such discharge had occurred on the first day of such period,</w:t>
      </w:r>
    </w:p>
    <w:p>
      <w:pPr>
        <w:spacing w:after="0" w:line="193" w:lineRule="exact"/>
        <w:rPr>
          <w:rFonts w:ascii="Times New Roman" w:cs="Times New Roman" w:eastAsia="Times New Roman" w:hAnsi="Times New Roman"/>
          <w:sz w:val="22"/>
          <w:szCs w:val="22"/>
          <w:color w:val="auto"/>
        </w:rPr>
      </w:pPr>
    </w:p>
    <w:p>
      <w:pPr>
        <w:jc w:val="both"/>
        <w:ind w:left="1700" w:firstLine="414"/>
        <w:spacing w:after="0" w:line="250" w:lineRule="auto"/>
        <w:tabs>
          <w:tab w:leader="none" w:pos="2501"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Borrower or any Restricted Subsidiary has repaid, repurchased, defeased or otherwise discharged any Indebtedness since the beginning of such period or if any Indebtedness is to be repaid, repurchased, defeased or otherwise discharged (in each case other than Indebtedness Incurred under any revolving credit facility unless such Indebtedness has been permanently repaid and has not been replaced) on the date of the transaction giving rise to the need to calculate the Consolidated Coverage Ratio, EBITDA and Consolidated Interest Expense for such period shall be calculated on a pro forma basis as if such discharge had occurred on the first day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15" w:name="page216"/>
    <w:bookmarkEnd w:id="215"/>
    <w:p>
      <w:pPr>
        <w:jc w:val="both"/>
        <w:ind w:left="1700"/>
        <w:spacing w:after="0" w:line="257" w:lineRule="auto"/>
        <w:rPr>
          <w:sz w:val="20"/>
          <w:szCs w:val="20"/>
          <w:color w:val="auto"/>
        </w:rPr>
      </w:pPr>
      <w:r>
        <w:rPr>
          <w:rFonts w:ascii="Times New Roman" w:cs="Times New Roman" w:eastAsia="Times New Roman" w:hAnsi="Times New Roman"/>
          <w:sz w:val="22"/>
          <w:szCs w:val="22"/>
          <w:color w:val="auto"/>
        </w:rPr>
        <w:t>such period and as if the Borrower or such Restricted Subsidiary had not earned the interest income actually earned during such period in respect of cash or Temporary Cash Investments used to repay, repurchase, defease or otherwise discharge such Indebtedness,</w:t>
      </w:r>
    </w:p>
    <w:p>
      <w:pPr>
        <w:spacing w:after="0" w:line="186" w:lineRule="exact"/>
        <w:rPr>
          <w:sz w:val="20"/>
          <w:szCs w:val="20"/>
          <w:color w:val="auto"/>
        </w:rPr>
      </w:pPr>
    </w:p>
    <w:p>
      <w:pPr>
        <w:jc w:val="both"/>
        <w:ind w:left="1700" w:firstLine="414"/>
        <w:spacing w:after="0" w:line="247" w:lineRule="auto"/>
        <w:tabs>
          <w:tab w:leader="none" w:pos="2447"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since the beginning of such period the Borrower or any Restricted Subsidiary shall have made any Asset Disposition, the EBITDA for such period shall be reduced by an amount equal to the EBITDA (if positive) directly attributable to the assets that are the subject of such Asset Disposition for such period or increased by an amount equal to the EBITDA (if negative) directly attributable thereto for such period and Consolidated Interest Expense for such period shall be reduced by an amount equal to the Consolidated Interest Expense directly attributable to any Indebtedness of the Borrower or any Restricted Subsidiary repaid, repurchased, defeased or otherwise discharged with respect to the Borrower and its Restricted Subsidiaries in connection with such Asset Disposition for such period (or, if the Capital Stock of any Restricted Subsidiary is sold, the Consolidated Interest Expense for such period directly attributable to the Indebtedness of such Restricted Subsidiary to the extent the Borrower and its continuing Restricted Subsidiaries are no longer liable for such Indebtedness after such sale),</w:t>
      </w:r>
    </w:p>
    <w:p>
      <w:pPr>
        <w:spacing w:after="0" w:line="200" w:lineRule="exact"/>
        <w:rPr>
          <w:rFonts w:ascii="Times New Roman" w:cs="Times New Roman" w:eastAsia="Times New Roman" w:hAnsi="Times New Roman"/>
          <w:sz w:val="22"/>
          <w:szCs w:val="22"/>
          <w:color w:val="auto"/>
        </w:rPr>
      </w:pPr>
    </w:p>
    <w:p>
      <w:pPr>
        <w:jc w:val="both"/>
        <w:ind w:left="1700" w:firstLine="414"/>
        <w:spacing w:after="0" w:line="250" w:lineRule="auto"/>
        <w:tabs>
          <w:tab w:leader="none" w:pos="2499"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since the beginning of such period the Borrower or any Restricted Subsidiary (by merger or otherwise) shall have made an Investment in any Restricted Subsidiary (or any Person that becomes a Restricted Subsidiary) or an acquisition of assets, including any acquisition of assets occurring in connection with a transaction causing a calculation to be made hereunder, which constitutes all or substantially all of an operating unit, division or line of a business, EBITDA and Consolidated Interest Expense for such period shall be calculated after giving pro forma effect thereto (including the Incurrence of any Indebtedness) as if such Investment or acquisition occurred on the first day of such period, and</w:t>
      </w:r>
    </w:p>
    <w:p>
      <w:pPr>
        <w:spacing w:after="0" w:line="180" w:lineRule="exact"/>
        <w:rPr>
          <w:rFonts w:ascii="Times New Roman" w:cs="Times New Roman" w:eastAsia="Times New Roman" w:hAnsi="Times New Roman"/>
          <w:sz w:val="22"/>
          <w:szCs w:val="22"/>
          <w:color w:val="auto"/>
        </w:rPr>
      </w:pPr>
    </w:p>
    <w:p>
      <w:pPr>
        <w:jc w:val="both"/>
        <w:ind w:left="1700" w:firstLine="414"/>
        <w:spacing w:after="0" w:line="250" w:lineRule="auto"/>
        <w:tabs>
          <w:tab w:leader="none" w:pos="2435"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since the beginning of such period any Person that subsequently became a Restricted Subsidiary or was merged with or into the Borrower or any Restricted Subsidiary since the beginning of such period shall have made any Asset Disposition or any Investment or acquisition of assets that would have required an adjustment pursuant to clause (C) or (D) above if made by the Borrower or a Restricted Subsidiary during such period, EBITDA and Consolidated Interest Expense for such period shall be calculated after giving pro forma effect thereto as if such Asset Disposition, Investment or acquisition of assets occurred on the first day of such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16" w:name="page217"/>
    <w:bookmarkEnd w:id="216"/>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For purposes of this definition, whenever pro forma effect is to be given to an acquisition of assets, Asset Disposition or other Investment, the amount of income, EBITDA or earnings relating thereto and the amount of Consolidated Interest Expense associated with any Indebtedness Incurred in connection therewith, the pro forma calculations shall be determined in good faith by a responsible Financial Officer of the Borrower and shall comply with the requirements of Rule 11-02 of Regulation S-X, as it may be amended or replaced from time to time, promulgated by the SEC.</w:t>
      </w:r>
    </w:p>
    <w:p>
      <w:pPr>
        <w:spacing w:after="0" w:line="179"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If any Indebtedness bears a floating rate of interest and is being given pro forma effect, the interest expense on such Indebtedness shall be calculated as if the rate in effect on the date of determination had been the applicable rate for the entire period (taking into account any Interest Rate Agreement applicable to such Indebtedness if such Interest Rate Agreement has a remaining term as at the date of determination in excess of 12 months). If any Indebtedness is Incurred or repaid under a revolving credit facility and is being given pro forma effect, the interest on such Indebtedness shall be calculated based on the average daily balance of such Indebtedness for the four fiscal quarters subject to the pro forma calculation.</w:t>
      </w:r>
    </w:p>
    <w:p>
      <w:pPr>
        <w:spacing w:after="0" w:line="18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Interest Expense</w:t>
      </w:r>
      <w:r>
        <w:rPr>
          <w:rFonts w:ascii="Times New Roman" w:cs="Times New Roman" w:eastAsia="Times New Roman" w:hAnsi="Times New Roman"/>
          <w:sz w:val="22"/>
          <w:szCs w:val="22"/>
          <w:color w:val="auto"/>
        </w:rPr>
        <w:t>” means, for any period, the total interest expense of the Borrower and its Consolidated Restricted Subsidiaries, plus, to the extent Incurred by the Borrower and its Consolidated Restricted Subsidiaries in such period but not included in such interest expense, without duplication:</w:t>
      </w:r>
    </w:p>
    <w:p>
      <w:pPr>
        <w:spacing w:after="0" w:line="186" w:lineRule="exact"/>
        <w:rPr>
          <w:sz w:val="20"/>
          <w:szCs w:val="20"/>
          <w:color w:val="auto"/>
        </w:rPr>
      </w:pPr>
    </w:p>
    <w:p>
      <w:pPr>
        <w:ind w:left="1300" w:firstLine="405"/>
        <w:spacing w:after="0" w:line="271" w:lineRule="auto"/>
        <w:tabs>
          <w:tab w:leader="none" w:pos="2021"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expense attributable to Finance Lease Obligations and the interest expense attributable to leases constituting part of a Sale/Leaseback Transaction that does not result in a Finance Lease Obligation;</w:t>
      </w:r>
    </w:p>
    <w:p>
      <w:pPr>
        <w:spacing w:after="0" w:line="157" w:lineRule="exact"/>
        <w:rPr>
          <w:rFonts w:ascii="Times New Roman" w:cs="Times New Roman" w:eastAsia="Times New Roman" w:hAnsi="Times New Roman"/>
          <w:sz w:val="22"/>
          <w:szCs w:val="22"/>
          <w:color w:val="auto"/>
        </w:rPr>
      </w:pPr>
    </w:p>
    <w:p>
      <w:pPr>
        <w:ind w:left="2020" w:hanging="315"/>
        <w:spacing w:after="0"/>
        <w:tabs>
          <w:tab w:leader="none" w:pos="2020"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amortization of debt discount and debt issuance costs;</w:t>
      </w:r>
    </w:p>
    <w:p>
      <w:pPr>
        <w:spacing w:after="0" w:line="219" w:lineRule="exact"/>
        <w:rPr>
          <w:rFonts w:ascii="Times New Roman" w:cs="Times New Roman" w:eastAsia="Times New Roman" w:hAnsi="Times New Roman"/>
          <w:sz w:val="22"/>
          <w:szCs w:val="22"/>
          <w:color w:val="auto"/>
        </w:rPr>
      </w:pPr>
    </w:p>
    <w:p>
      <w:pPr>
        <w:ind w:left="2020" w:hanging="315"/>
        <w:spacing w:after="0"/>
        <w:tabs>
          <w:tab w:leader="none" w:pos="2020"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capitalized interest;</w:t>
      </w:r>
    </w:p>
    <w:p>
      <w:pPr>
        <w:spacing w:after="0" w:line="219" w:lineRule="exact"/>
        <w:rPr>
          <w:rFonts w:ascii="Times New Roman" w:cs="Times New Roman" w:eastAsia="Times New Roman" w:hAnsi="Times New Roman"/>
          <w:sz w:val="22"/>
          <w:szCs w:val="22"/>
          <w:color w:val="auto"/>
        </w:rPr>
      </w:pPr>
    </w:p>
    <w:p>
      <w:pPr>
        <w:ind w:left="2020" w:hanging="315"/>
        <w:spacing w:after="0"/>
        <w:tabs>
          <w:tab w:leader="none" w:pos="2020"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noncash interest expense;</w:t>
      </w:r>
    </w:p>
    <w:p>
      <w:pPr>
        <w:spacing w:after="0" w:line="233" w:lineRule="exact"/>
        <w:rPr>
          <w:rFonts w:ascii="Times New Roman" w:cs="Times New Roman" w:eastAsia="Times New Roman" w:hAnsi="Times New Roman"/>
          <w:sz w:val="22"/>
          <w:szCs w:val="22"/>
          <w:color w:val="auto"/>
        </w:rPr>
      </w:pPr>
    </w:p>
    <w:p>
      <w:pPr>
        <w:ind w:left="1300" w:firstLine="405"/>
        <w:spacing w:after="0" w:line="271" w:lineRule="auto"/>
        <w:tabs>
          <w:tab w:leader="none" w:pos="2007"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commissions, discounts and other fees and charges attributable to letters of credit and bankers’ acceptance financing;</w:t>
      </w:r>
    </w:p>
    <w:p>
      <w:pPr>
        <w:spacing w:after="0" w:line="157" w:lineRule="exact"/>
        <w:rPr>
          <w:rFonts w:ascii="Times New Roman" w:cs="Times New Roman" w:eastAsia="Times New Roman" w:hAnsi="Times New Roman"/>
          <w:sz w:val="22"/>
          <w:szCs w:val="22"/>
          <w:color w:val="auto"/>
        </w:rPr>
      </w:pPr>
    </w:p>
    <w:p>
      <w:pPr>
        <w:jc w:val="both"/>
        <w:ind w:left="1300" w:firstLine="405"/>
        <w:spacing w:after="0" w:line="257" w:lineRule="auto"/>
        <w:tabs>
          <w:tab w:leader="none" w:pos="2021"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accruing on any Indebtedness of any other Person to the extent such Indebtedness is Guaranteed by (or secured by the assets of) the Borrower or any Restricted Subsidiary and such Indebtedness is in default under its terms or any payment is actually made in respect of such Guarantee;</w:t>
      </w:r>
    </w:p>
    <w:p>
      <w:pPr>
        <w:spacing w:after="0" w:line="186" w:lineRule="exact"/>
        <w:rPr>
          <w:rFonts w:ascii="Times New Roman" w:cs="Times New Roman" w:eastAsia="Times New Roman" w:hAnsi="Times New Roman"/>
          <w:sz w:val="22"/>
          <w:szCs w:val="22"/>
          <w:color w:val="auto"/>
        </w:rPr>
      </w:pPr>
    </w:p>
    <w:p>
      <w:pPr>
        <w:ind w:left="1300" w:firstLine="405"/>
        <w:spacing w:after="0" w:line="271" w:lineRule="auto"/>
        <w:tabs>
          <w:tab w:leader="none" w:pos="2007"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payments made pursuant to Hedging Obligations in respect of interest expense (including amortization of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17" w:name="page218"/>
    <w:bookmarkEnd w:id="217"/>
    <w:p>
      <w:pPr>
        <w:jc w:val="both"/>
        <w:ind w:left="1300" w:firstLine="405"/>
        <w:spacing w:after="0" w:line="257" w:lineRule="auto"/>
        <w:tabs>
          <w:tab w:leader="none" w:pos="2075"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dividends paid in cash or Disqualified Stock in respect of (A) all Preferred Stock of Restricted Subsidiaries and (B) all Disqualified Stock of the Borrower, in each case held by Persons other than the Borrower or a Restricted Subsidiary;</w:t>
      </w:r>
    </w:p>
    <w:p>
      <w:pPr>
        <w:spacing w:after="0" w:line="186" w:lineRule="exact"/>
        <w:rPr>
          <w:rFonts w:ascii="Times New Roman" w:cs="Times New Roman" w:eastAsia="Times New Roman" w:hAnsi="Times New Roman"/>
          <w:sz w:val="22"/>
          <w:szCs w:val="22"/>
          <w:color w:val="auto"/>
        </w:rPr>
      </w:pPr>
    </w:p>
    <w:p>
      <w:pPr>
        <w:ind w:left="2020" w:hanging="315"/>
        <w:spacing w:after="0"/>
        <w:tabs>
          <w:tab w:leader="none" w:pos="2020"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Incurred in connection with investments in discontinued operations; and</w:t>
      </w:r>
    </w:p>
    <w:p>
      <w:pPr>
        <w:spacing w:after="0" w:line="219" w:lineRule="exact"/>
        <w:rPr>
          <w:rFonts w:ascii="Times New Roman" w:cs="Times New Roman" w:eastAsia="Times New Roman" w:hAnsi="Times New Roman"/>
          <w:sz w:val="22"/>
          <w:szCs w:val="22"/>
          <w:color w:val="auto"/>
        </w:rPr>
      </w:pPr>
    </w:p>
    <w:p>
      <w:pPr>
        <w:jc w:val="both"/>
        <w:ind w:left="1300" w:right="20" w:firstLine="405"/>
        <w:spacing w:after="0" w:line="257" w:lineRule="auto"/>
        <w:tabs>
          <w:tab w:leader="none" w:pos="2169"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cash contributions to any employee stock ownership plan or similar trust to the extent such contributions are used by such plan or trust to pay interest or fees to any Person (other than the Borrower) in connection with Indebtedness Incurred by such plan or trust;</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and less, to the extent included in such total interest expense, the amortization during such period of capitalized financing costs;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for any financing consummated after the Restatement Date, the aggregate amount of amortization relating to any such capitalized financing costs in respect of any such financing that is deducted in calculating Consolidated Interest Expense shall not exceed 5% of the aggregate amount of such financing.</w:t>
      </w:r>
    </w:p>
    <w:p>
      <w:pPr>
        <w:spacing w:after="0" w:line="17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Net Income</w:t>
      </w:r>
      <w:r>
        <w:rPr>
          <w:rFonts w:ascii="Times New Roman" w:cs="Times New Roman" w:eastAsia="Times New Roman" w:hAnsi="Times New Roman"/>
          <w:sz w:val="22"/>
          <w:szCs w:val="22"/>
          <w:color w:val="auto"/>
        </w:rPr>
        <w:t xml:space="preserve">” means, for any period, the net income of the Borrower and its Consolidated Subsidiaries for such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there shall not be included in such Consolidated Net Income:</w:t>
      </w:r>
    </w:p>
    <w:p>
      <w:pPr>
        <w:spacing w:after="0" w:line="1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(a) any net income of any Person (other than the Borrower) if such Person is not a Restricted Subsidiary, except</w:t>
      </w: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that:</w:t>
      </w:r>
    </w:p>
    <w:p>
      <w:pPr>
        <w:spacing w:after="0" w:line="207" w:lineRule="exact"/>
        <w:rPr>
          <w:sz w:val="20"/>
          <w:szCs w:val="20"/>
          <w:color w:val="auto"/>
        </w:rPr>
      </w:pPr>
    </w:p>
    <w:p>
      <w:pPr>
        <w:jc w:val="both"/>
        <w:ind w:left="1300" w:firstLine="405"/>
        <w:spacing w:after="0" w:line="253" w:lineRule="auto"/>
        <w:tabs>
          <w:tab w:leader="none" w:pos="2021" w:val="left"/>
        </w:tabs>
        <w:numPr>
          <w:ilvl w:val="1"/>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limitations contained in clause (d) below, the Borrower’s equity in the net income of any such Person for such period shall be included in such Consolidated Net Income up to the aggregate amount of cash actually distributed by such Person during such period to the Borrower or a Restricted Subsidiary as a dividend or other distribution (subject, in the case of a dividend or other distribution made to a Restricted Subsidiary, to the limitations contained in clause (c) below);</w:t>
      </w:r>
    </w:p>
    <w:p>
      <w:pPr>
        <w:spacing w:after="0" w:line="178" w:lineRule="exact"/>
        <w:rPr>
          <w:rFonts w:ascii="Times New Roman" w:cs="Times New Roman" w:eastAsia="Times New Roman" w:hAnsi="Times New Roman"/>
          <w:sz w:val="22"/>
          <w:szCs w:val="22"/>
          <w:color w:val="auto"/>
        </w:rPr>
      </w:pPr>
    </w:p>
    <w:p>
      <w:pPr>
        <w:jc w:val="both"/>
        <w:ind w:left="1300" w:firstLine="405"/>
        <w:spacing w:after="0" w:line="257" w:lineRule="auto"/>
        <w:tabs>
          <w:tab w:leader="none" w:pos="2021" w:val="left"/>
        </w:tabs>
        <w:numPr>
          <w:ilvl w:val="1"/>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Borrower’s equity in a net loss of any such Person for such period shall be included in determining such Consolidated Net Income to the extent such loss has been funded with cash from the Borrower or a Restricted Subsidiary;</w:t>
      </w:r>
    </w:p>
    <w:p>
      <w:pPr>
        <w:spacing w:after="0" w:line="172" w:lineRule="exact"/>
        <w:rPr>
          <w:rFonts w:ascii="Times New Roman" w:cs="Times New Roman" w:eastAsia="Times New Roman" w:hAnsi="Times New Roman"/>
          <w:sz w:val="22"/>
          <w:szCs w:val="22"/>
          <w:color w:val="auto"/>
        </w:rPr>
      </w:pPr>
    </w:p>
    <w:p>
      <w:pPr>
        <w:ind w:left="660" w:firstLine="721"/>
        <w:spacing w:after="0" w:line="284" w:lineRule="auto"/>
        <w:tabs>
          <w:tab w:leader="none" w:pos="1691"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net income (or loss) of any Person acquired by the Borrower or a Subsidiary of the Borrower in a pooling of interests transaction for any period prior to the date of such acquisition;</w:t>
      </w:r>
    </w:p>
    <w:p>
      <w:pPr>
        <w:spacing w:after="0" w:line="143" w:lineRule="exact"/>
        <w:rPr>
          <w:rFonts w:ascii="Times New Roman" w:cs="Times New Roman" w:eastAsia="Times New Roman" w:hAnsi="Times New Roman"/>
          <w:sz w:val="22"/>
          <w:szCs w:val="22"/>
          <w:color w:val="auto"/>
        </w:rPr>
      </w:pPr>
    </w:p>
    <w:p>
      <w:pPr>
        <w:ind w:left="660" w:firstLine="721"/>
        <w:spacing w:after="0" w:line="271" w:lineRule="auto"/>
        <w:tabs>
          <w:tab w:leader="none" w:pos="1706"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net income of any Restricted Subsidiary if such Restricted Subsidiary is subject to restrictions on the payment of dividends or the making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18" w:name="page219"/>
    <w:bookmarkEnd w:id="218"/>
    <w:p>
      <w:pPr>
        <w:jc w:val="both"/>
        <w:ind w:left="660"/>
        <w:spacing w:after="0" w:line="253" w:lineRule="auto"/>
        <w:rPr>
          <w:sz w:val="20"/>
          <w:szCs w:val="20"/>
          <w:color w:val="auto"/>
        </w:rPr>
      </w:pPr>
      <w:r>
        <w:rPr>
          <w:rFonts w:ascii="Times New Roman" w:cs="Times New Roman" w:eastAsia="Times New Roman" w:hAnsi="Times New Roman"/>
          <w:sz w:val="22"/>
          <w:szCs w:val="22"/>
          <w:color w:val="auto"/>
        </w:rPr>
        <w:t>distributions by such Restricted Subsidiary, directly or indirectly, to the Borrower (but, in the case of any Foreign Restricted Subsidiary, only to the extent cash equal to such net income (or a portion thereof) for such period is not readily procurable by the Borrower from such Foreign Restricted Subsidiary (with the amount of cash readily procurable from such Foreign Restricted Subsidiary being determined in good faith by a Financial Officer of the Borrower) pursuant to intercompany loans, repurchases of Capital Stock or otherwise), except that:</w:t>
      </w:r>
    </w:p>
    <w:p>
      <w:pPr>
        <w:spacing w:after="0" w:line="179" w:lineRule="exact"/>
        <w:rPr>
          <w:sz w:val="20"/>
          <w:szCs w:val="20"/>
          <w:color w:val="auto"/>
        </w:rPr>
      </w:pPr>
    </w:p>
    <w:p>
      <w:pPr>
        <w:jc w:val="both"/>
        <w:ind w:left="1300" w:firstLine="405"/>
        <w:spacing w:after="0" w:line="253" w:lineRule="auto"/>
        <w:tabs>
          <w:tab w:leader="none" w:pos="2021" w:val="left"/>
        </w:tabs>
        <w:numPr>
          <w:ilvl w:val="1"/>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limitations contained in clause (d) below, the Borrower’s equity in the net income of any such Restricted Subsidiary for such period shall be included in such Consolidated Net Income up to the aggregate amount of cash actually distributed by such Restricted Subsidiary during such period to the Borrower or another Restricted Subsidiary as a dividend or other distribution (subject, in the case of a dividend or other distribution made to another Restricted Subsidiary, to the limitation contained in this clause); and</w:t>
      </w:r>
    </w:p>
    <w:p>
      <w:pPr>
        <w:spacing w:after="0" w:line="178" w:lineRule="exact"/>
        <w:rPr>
          <w:rFonts w:ascii="Times New Roman" w:cs="Times New Roman" w:eastAsia="Times New Roman" w:hAnsi="Times New Roman"/>
          <w:sz w:val="22"/>
          <w:szCs w:val="22"/>
          <w:color w:val="auto"/>
        </w:rPr>
      </w:pPr>
    </w:p>
    <w:p>
      <w:pPr>
        <w:ind w:left="1300" w:firstLine="405"/>
        <w:spacing w:after="0" w:line="271" w:lineRule="auto"/>
        <w:tabs>
          <w:tab w:leader="none" w:pos="2021" w:val="left"/>
        </w:tabs>
        <w:numPr>
          <w:ilvl w:val="1"/>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net loss of any such Restricted Subsidiary for such period shall not be excluded in determining such Consolidated Net Income;</w:t>
      </w:r>
    </w:p>
    <w:p>
      <w:pPr>
        <w:spacing w:after="0" w:line="157" w:lineRule="exact"/>
        <w:rPr>
          <w:rFonts w:ascii="Times New Roman" w:cs="Times New Roman" w:eastAsia="Times New Roman" w:hAnsi="Times New Roman"/>
          <w:sz w:val="22"/>
          <w:szCs w:val="22"/>
          <w:color w:val="auto"/>
        </w:rPr>
      </w:pPr>
    </w:p>
    <w:p>
      <w:pPr>
        <w:jc w:val="both"/>
        <w:ind w:left="660" w:firstLine="721"/>
        <w:spacing w:after="0" w:line="256" w:lineRule="auto"/>
        <w:tabs>
          <w:tab w:leader="none" w:pos="1691"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gain (or loss) realized upon the sale or other disposition of any asset of the Borrower or its Consolidated Subsidiaries (including pursuant to any Sale/Leaseback Transaction) that is not sold or otherwise disposed of in the ordinary course of business and any gain (or loss) realized upon the sale or other disposition of any Capital Stock of any Person;</w:t>
      </w:r>
    </w:p>
    <w:p>
      <w:pPr>
        <w:spacing w:after="0" w:line="176" w:lineRule="exact"/>
        <w:rPr>
          <w:rFonts w:ascii="Times New Roman" w:cs="Times New Roman" w:eastAsia="Times New Roman" w:hAnsi="Times New Roman"/>
          <w:sz w:val="22"/>
          <w:szCs w:val="22"/>
          <w:color w:val="auto"/>
        </w:rPr>
      </w:pPr>
    </w:p>
    <w:p>
      <w:pPr>
        <w:ind w:left="1680" w:hanging="299"/>
        <w:spacing w:after="0"/>
        <w:tabs>
          <w:tab w:leader="none" w:pos="1680"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extraordinary, unusual or non-recurring gain or loss; and</w:t>
      </w:r>
    </w:p>
    <w:p>
      <w:pPr>
        <w:spacing w:after="0" w:line="219" w:lineRule="exact"/>
        <w:rPr>
          <w:rFonts w:ascii="Times New Roman" w:cs="Times New Roman" w:eastAsia="Times New Roman" w:hAnsi="Times New Roman"/>
          <w:sz w:val="22"/>
          <w:szCs w:val="22"/>
          <w:color w:val="auto"/>
        </w:rPr>
      </w:pPr>
    </w:p>
    <w:p>
      <w:pPr>
        <w:ind w:left="1660" w:hanging="279"/>
        <w:spacing w:after="0"/>
        <w:tabs>
          <w:tab w:leader="none" w:pos="1660"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cumulative effect of a change in accounting principles.</w:t>
      </w:r>
    </w:p>
    <w:p>
      <w:pPr>
        <w:spacing w:after="0" w:line="22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Notwithstanding the foregoing, for the purpose of Section 6.02 only, there shall be excluded from Consolidated Net Income any dividends, repayments of loans or advances or other transfers of assets from Unrestricted Subsidiaries to the Borrower or a Restricted Subsidiary to the extent such dividends, repayments or transfers increase the amount of Restricted Payments permitted under Section 6.02(a)(3)(iv).</w:t>
      </w:r>
    </w:p>
    <w:p>
      <w:pPr>
        <w:spacing w:after="0" w:line="176" w:lineRule="exact"/>
        <w:rPr>
          <w:sz w:val="20"/>
          <w:szCs w:val="20"/>
          <w:color w:val="auto"/>
        </w:rPr>
      </w:pPr>
    </w:p>
    <w:p>
      <w:pPr>
        <w:jc w:val="both"/>
        <w:ind w:right="20"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Revenue</w:t>
      </w:r>
      <w:r>
        <w:rPr>
          <w:rFonts w:ascii="Times New Roman" w:cs="Times New Roman" w:eastAsia="Times New Roman" w:hAnsi="Times New Roman"/>
          <w:sz w:val="22"/>
          <w:szCs w:val="22"/>
          <w:color w:val="auto"/>
        </w:rPr>
        <w:t>” means, for any period, the revenues for such period, determined in accordance with GAAP, of the Borrower and the Subsidiaries the accounts of which would be consolidated with those of the Borrower in the Borrower’s consolidated financial statements in accordance with GAAP.</w:t>
      </w:r>
    </w:p>
    <w:p>
      <w:pPr>
        <w:spacing w:after="0" w:line="16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Total Assets</w:t>
      </w:r>
      <w:r>
        <w:rPr>
          <w:rFonts w:ascii="Times New Roman" w:cs="Times New Roman" w:eastAsia="Times New Roman" w:hAnsi="Times New Roman"/>
          <w:sz w:val="22"/>
          <w:szCs w:val="22"/>
          <w:color w:val="auto"/>
        </w:rPr>
        <w:t>” means, at any date, the total assets, determined in accordance with GAAP, of the Borrower and the Subsidiaries the accounts of which would be consolidated with those of the Borrower in the Borrower’s consolidated financial statements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19" w:name="page220"/>
    <w:bookmarkEnd w:id="219"/>
    <w:p>
      <w:pPr>
        <w:jc w:val="both"/>
        <w:ind w:firstLine="1296"/>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Consolidation</w:t>
      </w:r>
      <w:r>
        <w:rPr>
          <w:rFonts w:ascii="Times New Roman" w:cs="Times New Roman" w:eastAsia="Times New Roman" w:hAnsi="Times New Roman"/>
          <w:sz w:val="21"/>
          <w:szCs w:val="21"/>
          <w:color w:val="auto"/>
        </w:rPr>
        <w:t xml:space="preserve">” means, unless the context otherwise requires, the consolidation of (1) in the case of the Borrower, the accounts of each of the Restricted Subsidiaries with those of the Borrower and (2) in the case of a Restricted Subsidiary, the accounts of each Subsidiary of such Restricted Subsidiary that is a Restricted Subsidiary with those of such Restricted Subsidiary, in each case in accordance with GAAP consistently applied;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w:t>
      </w:r>
      <w:r>
        <w:rPr>
          <w:rFonts w:ascii="Times New Roman" w:cs="Times New Roman" w:eastAsia="Times New Roman" w:hAnsi="Times New Roman"/>
          <w:sz w:val="21"/>
          <w:szCs w:val="21"/>
          <w:u w:val="single" w:color="auto"/>
          <w:color w:val="auto"/>
        </w:rPr>
        <w:t>Consolidation</w:t>
      </w:r>
      <w:r>
        <w:rPr>
          <w:rFonts w:ascii="Times New Roman" w:cs="Times New Roman" w:eastAsia="Times New Roman" w:hAnsi="Times New Roman"/>
          <w:sz w:val="21"/>
          <w:szCs w:val="21"/>
          <w:color w:val="auto"/>
        </w:rPr>
        <w:t>” will not include consolidation of the accounts of any Unrestricted Subsidiary, but the interest of the Borrower or any Restricted Subsidiary in an Unrestricted Subsidiary will be accounted for as an investment. The term “</w:t>
      </w:r>
      <w:r>
        <w:rPr>
          <w:rFonts w:ascii="Times New Roman" w:cs="Times New Roman" w:eastAsia="Times New Roman" w:hAnsi="Times New Roman"/>
          <w:sz w:val="21"/>
          <w:szCs w:val="21"/>
          <w:u w:val="single" w:color="auto"/>
          <w:color w:val="auto"/>
        </w:rPr>
        <w:t>Consolidated</w:t>
      </w:r>
      <w:r>
        <w:rPr>
          <w:rFonts w:ascii="Times New Roman" w:cs="Times New Roman" w:eastAsia="Times New Roman" w:hAnsi="Times New Roman"/>
          <w:sz w:val="21"/>
          <w:szCs w:val="21"/>
          <w:color w:val="auto"/>
        </w:rPr>
        <w:t>” has a correlative meaning.</w:t>
      </w:r>
    </w:p>
    <w:p>
      <w:pPr>
        <w:spacing w:after="0" w:line="169"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2"/>
          <w:szCs w:val="22"/>
          <w:u w:val="single" w:color="auto"/>
          <w:color w:val="auto"/>
        </w:rPr>
        <w:t>Controlling</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Controlled</w:t>
      </w:r>
      <w:r>
        <w:rPr>
          <w:rFonts w:ascii="Times New Roman" w:cs="Times New Roman" w:eastAsia="Times New Roman" w:hAnsi="Times New Roman"/>
          <w:sz w:val="22"/>
          <w:szCs w:val="22"/>
          <w:color w:val="auto"/>
        </w:rPr>
        <w:t>” have meanings correlative thereto.</w:t>
      </w:r>
    </w:p>
    <w:p>
      <w:pPr>
        <w:spacing w:after="0" w:line="16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Cooper</w:t>
      </w:r>
      <w:r>
        <w:rPr>
          <w:rFonts w:ascii="Times New Roman" w:cs="Times New Roman" w:eastAsia="Times New Roman" w:hAnsi="Times New Roman"/>
          <w:sz w:val="22"/>
          <w:szCs w:val="22"/>
          <w:color w:val="auto"/>
        </w:rPr>
        <w:t>” means Cooper Tire &amp; Rubber Company LLC (f/k/a Cooper Tire and Rubber Company), a Delaware limited liability company.</w:t>
      </w:r>
    </w:p>
    <w:p>
      <w:pPr>
        <w:spacing w:after="0" w:line="15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Corresponding Tenor</w:t>
      </w:r>
      <w:r>
        <w:rPr>
          <w:rFonts w:ascii="Times New Roman" w:cs="Times New Roman" w:eastAsia="Times New Roman" w:hAnsi="Times New Roman"/>
          <w:sz w:val="22"/>
          <w:szCs w:val="22"/>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Entity</w:t>
      </w:r>
      <w:r>
        <w:rPr>
          <w:rFonts w:ascii="Times New Roman" w:cs="Times New Roman" w:eastAsia="Times New Roman" w:hAnsi="Times New Roman"/>
          <w:sz w:val="22"/>
          <w:szCs w:val="22"/>
          <w:color w:val="auto"/>
        </w:rPr>
        <w:t>” means any of the following:</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 “covered entity” as that term is defined in, and interpreted in accordance with, 12 C.F.R. § 252.82(b);</w:t>
      </w:r>
    </w:p>
    <w:p>
      <w:pPr>
        <w:spacing w:after="0" w:line="220"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a “covered bank” as that term is defined in, and interpreted in accordance with, 12 C.F.R. § 47.3(b); or a “covered FSI” as that term is defined in, and interpreted in accordance with, 12 C.F.R. § 382.2(b).</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Party</w:t>
      </w:r>
      <w:r>
        <w:rPr>
          <w:rFonts w:ascii="Times New Roman" w:cs="Times New Roman" w:eastAsia="Times New Roman" w:hAnsi="Times New Roman"/>
          <w:sz w:val="22"/>
          <w:szCs w:val="22"/>
          <w:color w:val="auto"/>
        </w:rPr>
        <w:t>” has the meaning set forth in Section 9.22.</w:t>
      </w:r>
    </w:p>
    <w:p>
      <w:pPr>
        <w:spacing w:after="0" w:line="23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Documents</w:t>
      </w:r>
      <w:r>
        <w:rPr>
          <w:rFonts w:ascii="Times New Roman" w:cs="Times New Roman" w:eastAsia="Times New Roman" w:hAnsi="Times New Roman"/>
          <w:sz w:val="22"/>
          <w:szCs w:val="22"/>
          <w:color w:val="auto"/>
        </w:rPr>
        <w:t>” means this Agreement, the Issuing Bank Agreements, any Swingline Agreements, any Extension Agreements, any letter of credit applications referred to in Section 2.03(a), any promissory notes delivered pursuant to Section 2.08(e), the Security Documents, the Lien Subordination and Intercreditor Agreement and the Disclosure Letter.</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Credit Exposure</w:t>
      </w:r>
      <w:r>
        <w:rPr>
          <w:rFonts w:ascii="Times New Roman" w:cs="Times New Roman" w:eastAsia="Times New Roman" w:hAnsi="Times New Roman"/>
          <w:sz w:val="21"/>
          <w:szCs w:val="21"/>
          <w:color w:val="auto"/>
        </w:rPr>
        <w:t>” means, with respect to any Lender at any time, the sum of the outstanding principal amount of</w:t>
      </w:r>
    </w:p>
    <w:p>
      <w:pPr>
        <w:spacing w:after="0" w:line="39" w:lineRule="exact"/>
        <w:rPr>
          <w:sz w:val="20"/>
          <w:szCs w:val="20"/>
          <w:color w:val="auto"/>
        </w:rPr>
      </w:pPr>
    </w:p>
    <w:p>
      <w:pPr>
        <w:ind w:right="20" w:firstLine="8"/>
        <w:spacing w:after="0" w:line="261" w:lineRule="auto"/>
        <w:tabs>
          <w:tab w:leader="none" w:pos="309"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Lender’s Revolving Loans at such time, (b) such Lender’s LC Exposure at such time and (c) such Lender’s Swingline Exposure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20" w:name="page221"/>
    <w:bookmarkEnd w:id="220"/>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Facilities Agreements</w:t>
      </w:r>
      <w:r>
        <w:rPr>
          <w:rFonts w:ascii="Times New Roman" w:cs="Times New Roman" w:eastAsia="Times New Roman" w:hAnsi="Times New Roman"/>
          <w:sz w:val="22"/>
          <w:szCs w:val="22"/>
          <w:color w:val="auto"/>
        </w:rPr>
        <w:t>” means this Agreement and the European Facilities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Party</w:t>
      </w:r>
      <w:r>
        <w:rPr>
          <w:rFonts w:ascii="Times New Roman" w:cs="Times New Roman" w:eastAsia="Times New Roman" w:hAnsi="Times New Roman"/>
          <w:sz w:val="22"/>
          <w:szCs w:val="22"/>
          <w:color w:val="auto"/>
        </w:rPr>
        <w:t>” means the Borrower, each Subsidiary Guarantor and each Grantor.</w:t>
      </w:r>
    </w:p>
    <w:p>
      <w:pPr>
        <w:spacing w:after="0" w:line="220"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Currency Agreement</w:t>
      </w:r>
      <w:r>
        <w:rPr>
          <w:rFonts w:ascii="Times New Roman" w:cs="Times New Roman" w:eastAsia="Times New Roman" w:hAnsi="Times New Roman"/>
          <w:sz w:val="22"/>
          <w:szCs w:val="22"/>
          <w:color w:val="auto"/>
        </w:rPr>
        <w:t>” means with respect to any Person any foreign exchange contract, currency swap agreement or other similar agreement or arrangement to which such Person is a party or of which it is a beneficiary.</w:t>
      </w:r>
    </w:p>
    <w:p>
      <w:pPr>
        <w:spacing w:after="0" w:line="144"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Customs Broker</w:t>
      </w:r>
      <w:r>
        <w:rPr>
          <w:rFonts w:ascii="Times New Roman" w:cs="Times New Roman" w:eastAsia="Times New Roman" w:hAnsi="Times New Roman"/>
          <w:sz w:val="22"/>
          <w:szCs w:val="22"/>
          <w:color w:val="auto"/>
        </w:rPr>
        <w:t>” means a Person that is engaged to render customs brokering, freight forwarding and other services in connection with the importation and storage of Inventory.</w:t>
      </w:r>
    </w:p>
    <w:p>
      <w:pPr>
        <w:spacing w:after="0" w:line="15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Daily Simple SOFR</w:t>
      </w:r>
      <w:r>
        <w:rPr>
          <w:rFonts w:ascii="Times New Roman" w:cs="Times New Roman" w:eastAsia="Times New Roman" w:hAnsi="Times New Roman"/>
          <w:sz w:val="21"/>
          <w:szCs w:val="21"/>
          <w:color w:val="auto"/>
        </w:rPr>
        <w:t>” means, for any day (a “</w:t>
      </w:r>
      <w:r>
        <w:rPr>
          <w:rFonts w:ascii="Times New Roman" w:cs="Times New Roman" w:eastAsia="Times New Roman" w:hAnsi="Times New Roman"/>
          <w:sz w:val="21"/>
          <w:szCs w:val="21"/>
          <w:u w:val="single" w:color="auto"/>
          <w:color w:val="auto"/>
        </w:rPr>
        <w:t>SOFR Rate Day</w:t>
      </w:r>
      <w:r>
        <w:rPr>
          <w:rFonts w:ascii="Times New Roman" w:cs="Times New Roman" w:eastAsia="Times New Roman" w:hAnsi="Times New Roman"/>
          <w:sz w:val="21"/>
          <w:szCs w:val="21"/>
          <w:color w:val="auto"/>
        </w:rPr>
        <w:t>”), an interest rate per annum equal to SOFR for the day (a “</w:t>
      </w:r>
      <w:r>
        <w:rPr>
          <w:rFonts w:ascii="Times New Roman" w:cs="Times New Roman" w:eastAsia="Times New Roman" w:hAnsi="Times New Roman"/>
          <w:sz w:val="21"/>
          <w:szCs w:val="21"/>
          <w:u w:val="single" w:color="auto"/>
          <w:color w:val="auto"/>
        </w:rPr>
        <w:t>SOFR Determination Date</w:t>
      </w:r>
      <w:r>
        <w:rPr>
          <w:rFonts w:ascii="Times New Roman" w:cs="Times New Roman" w:eastAsia="Times New Roman" w:hAnsi="Times New Roman"/>
          <w:sz w:val="21"/>
          <w:szCs w:val="21"/>
          <w:color w:val="auto"/>
        </w:rPr>
        <w:t>”) that is three U.S. Government Securities Business Days prior to (a) if such SOFR Rate Day is a U.S. Government Securities Business Day, such SOFR Rate Day or (b)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 If by 5:00 p.m., New York City time, on the second U.S. Government Securities Business Day immediately following any SOFR Determination Date, SOFR in respect of such SOFR Determination Date has not been published on the SOFR Administrator’s Website and a Benchmark Replacement Date with respect to the Daily Simple SOFR has not occurred, then SOFR for such SOFR Determination Date will be SOFR as published in respect of the first preceding U.S. Government Securities Business Day for which such SOFR was published on the SOFR Administrator’s Website.</w:t>
      </w:r>
    </w:p>
    <w:p>
      <w:pPr>
        <w:spacing w:after="0" w:line="17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w:t>
      </w:r>
      <w:r>
        <w:rPr>
          <w:rFonts w:ascii="Times New Roman" w:cs="Times New Roman" w:eastAsia="Times New Roman" w:hAnsi="Times New Roman"/>
          <w:sz w:val="22"/>
          <w:szCs w:val="22"/>
          <w:color w:val="auto"/>
        </w:rPr>
        <w:t>” means any event or condition which constitutes an Event of Default or which upon notice, lapse of time or both would, unless cured or waived, become an Event of Default.</w:t>
      </w:r>
    </w:p>
    <w:p>
      <w:pPr>
        <w:spacing w:after="0" w:line="171"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Defaulting Lender</w:t>
      </w:r>
      <w:r>
        <w:rPr>
          <w:rFonts w:ascii="Times New Roman" w:cs="Times New Roman" w:eastAsia="Times New Roman" w:hAnsi="Times New Roman"/>
          <w:sz w:val="22"/>
          <w:szCs w:val="22"/>
          <w:color w:val="auto"/>
        </w:rPr>
        <w:t>” means any Lender that (a) has failed, within two Business Days of the date required to be funded or paid, to (i) fund any portion of its Loans, (ii) fund any portion of its participations in Letters of Credit or Swingline Loans or (iii) pay over to the Administrative Agent, any Swingline Lender, any Issuing Bank or any other Lender any other amount required to be paid by it hereunder, unless, in the case of clause (i) above, such Lender notifies the Administrative Agent and the Borrower in writing that such failure is the result of such Lender’s good faith determination that a condition precedent to funding (specifically identified and including the particular default, if any) has not been satisfied, (b) has notified the Borrower, the Administrative Agent, any Swingline Lender, any Issuing Bank or any other Lender in writing, or has made a public statement to the effect, that it does not intend or expect to comply with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21" w:name="page222"/>
    <w:bookmarkEnd w:id="221"/>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(c) has failed, within three Business Days after request by the Administrative Agent, the Borrower, any Issuing Bank, any Swingline Lender or any other Lender, acting in good faith, to provide a certification in writing from an authorized officer of such Lender that it will comply with its obligations (and is financially able to meet such obligations) to fund prospective Loans and participations in then outstanding Letters of Credit or Swingline Loans under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Lender shall cease to be a Defaulting Lender pursuant to this clause</w:t>
      </w:r>
    </w:p>
    <w:p>
      <w:pPr>
        <w:spacing w:after="0" w:line="3" w:lineRule="exact"/>
        <w:rPr>
          <w:sz w:val="20"/>
          <w:szCs w:val="20"/>
          <w:color w:val="auto"/>
        </w:rPr>
      </w:pPr>
    </w:p>
    <w:p>
      <w:pPr>
        <w:jc w:val="both"/>
        <w:ind w:firstLine="8"/>
        <w:spacing w:after="0" w:line="252" w:lineRule="auto"/>
        <w:tabs>
          <w:tab w:leader="none" w:pos="296"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receipt by the party making such request of such certification in form and substance satisfactory to it, the Administrative Agent and the Borrower, or (d) has, or has a Lender Parent that has, become the subject of a Bankruptcy Event or a Bail-In Action.</w:t>
      </w:r>
    </w:p>
    <w:p>
      <w:pPr>
        <w:spacing w:after="0" w:line="17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Right</w:t>
      </w:r>
      <w:r>
        <w:rPr>
          <w:rFonts w:ascii="Times New Roman" w:cs="Times New Roman" w:eastAsia="Times New Roman" w:hAnsi="Times New Roman"/>
          <w:sz w:val="22"/>
          <w:szCs w:val="22"/>
          <w:color w:val="auto"/>
        </w:rPr>
        <w:t>” has the meaning assigned to that term in, and shall be interpreted in accordance with, 12 C.F.R. §§ 252.81, 47.2 or 382.1, as applicable.</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Defined Benefit CPP</w:t>
      </w:r>
      <w:r>
        <w:rPr>
          <w:rFonts w:ascii="Times New Roman" w:cs="Times New Roman" w:eastAsia="Times New Roman" w:hAnsi="Times New Roman"/>
          <w:sz w:val="22"/>
          <w:szCs w:val="22"/>
          <w:color w:val="auto"/>
        </w:rPr>
        <w:t>” means any Canadian Pension Plan which contains a “defined benefit provision,” as defined in subsection 147.1(1) of the Income Tax Act (Canada).</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Deposit Account</w:t>
      </w:r>
      <w:r>
        <w:rPr>
          <w:rFonts w:ascii="Times New Roman" w:cs="Times New Roman" w:eastAsia="Times New Roman" w:hAnsi="Times New Roman"/>
          <w:sz w:val="22"/>
          <w:szCs w:val="22"/>
          <w:color w:val="auto"/>
        </w:rPr>
        <w:t>” has the meaning assigned to such term in the Guarantee and Collateral Agreement.</w:t>
      </w:r>
    </w:p>
    <w:p>
      <w:pPr>
        <w:spacing w:after="0" w:line="22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Designated Noncash Consideration</w:t>
      </w:r>
      <w:r>
        <w:rPr>
          <w:rFonts w:ascii="Times New Roman" w:cs="Times New Roman" w:eastAsia="Times New Roman" w:hAnsi="Times New Roman"/>
          <w:sz w:val="22"/>
          <w:szCs w:val="22"/>
          <w:color w:val="auto"/>
        </w:rPr>
        <w:t xml:space="preserve">” means noncash consideration received by the Borrower or one of its Restricted Subsidiaries in connection with an Asset Disposition that is designated by the Borrower as Designated Noncash Consideration, </w:t>
      </w:r>
      <w:r>
        <w:rPr>
          <w:rFonts w:ascii="Times New Roman" w:cs="Times New Roman" w:eastAsia="Times New Roman" w:hAnsi="Times New Roman"/>
          <w:sz w:val="22"/>
          <w:szCs w:val="22"/>
          <w:u w:val="single" w:color="auto"/>
          <w:color w:val="auto"/>
        </w:rPr>
        <w:t>less</w:t>
      </w:r>
      <w:r>
        <w:rPr>
          <w:rFonts w:ascii="Times New Roman" w:cs="Times New Roman" w:eastAsia="Times New Roman" w:hAnsi="Times New Roman"/>
          <w:sz w:val="22"/>
          <w:szCs w:val="22"/>
          <w:color w:val="auto"/>
        </w:rPr>
        <w:t xml:space="preserve"> the amount of cash or cash equivalents received in connection with a subsequent sale of such Designated Noncash Consideration, which cash and cash equivalents shall be considered Net Available Cash received as of such date and shall be applied pursuant to Section 6.04.</w:t>
      </w:r>
    </w:p>
    <w:p>
      <w:pPr>
        <w:spacing w:after="0" w:line="179"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Dilution Factors</w:t>
      </w:r>
      <w:r>
        <w:rPr>
          <w:rFonts w:ascii="Times New Roman" w:cs="Times New Roman" w:eastAsia="Times New Roman" w:hAnsi="Times New Roman"/>
          <w:sz w:val="22"/>
          <w:szCs w:val="22"/>
          <w:color w:val="auto"/>
        </w:rPr>
        <w:t>” means, with respect to any period, the aggregate amount recorded (in a manner consistent with current and historical accounting practices of the Borrower) to reduce Eligible Accounts Receivable on account of deductions, credit memos (net of related re-bills), returns, incorrect billings, adjustments, allowances, bad debt write-offs and other non-cash credits, in each case without duplication of any amounts relating to reserves for volume rebates or cash discounts or any other items that are included in the Accounts Receivable Reserves for such period or excluded from the value of Eligible Accounts Receivable pursuant to the definition thereof.</w:t>
      </w:r>
    </w:p>
    <w:p>
      <w:pPr>
        <w:spacing w:after="0" w:line="18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Dilution Ratio</w:t>
      </w:r>
      <w:r>
        <w:rPr>
          <w:rFonts w:ascii="Times New Roman" w:cs="Times New Roman" w:eastAsia="Times New Roman" w:hAnsi="Times New Roman"/>
          <w:sz w:val="22"/>
          <w:szCs w:val="22"/>
          <w:color w:val="auto"/>
        </w:rPr>
        <w:t>” means, on any date, the amount (expressed as a percentage) equal to (a) the aggregate amount of the applicable Dilution Factors for the 12 most recently ended fiscal months divided by (b) total gross sales for the 12 most recently ended fiscal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22" w:name="page223"/>
    <w:bookmarkEnd w:id="222"/>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Dilution Reserve</w:t>
      </w:r>
      <w:r>
        <w:rPr>
          <w:rFonts w:ascii="Times New Roman" w:cs="Times New Roman" w:eastAsia="Times New Roman" w:hAnsi="Times New Roman"/>
          <w:sz w:val="21"/>
          <w:szCs w:val="21"/>
          <w:color w:val="auto"/>
        </w:rPr>
        <w:t>” means, on any date, (a) the applicable Dilution Ratio on such date minus 5% multiplied by (b)</w:t>
      </w:r>
    </w:p>
    <w:p>
      <w:pPr>
        <w:spacing w:after="0" w:line="39" w:lineRule="exact"/>
        <w:rPr>
          <w:sz w:val="20"/>
          <w:szCs w:val="20"/>
          <w:color w:val="auto"/>
        </w:rPr>
      </w:pPr>
    </w:p>
    <w:p>
      <w:pPr>
        <w:ind w:firstLine="8"/>
        <w:spacing w:after="0" w:line="248" w:lineRule="auto"/>
        <w:tabs>
          <w:tab w:leader="none" w:pos="281"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Eligible Accounts Receivable on such date minus (ii) the Accounts Receivable Reserves on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circumstance shall the Dilution Reserve be less than 0.</w:t>
      </w:r>
    </w:p>
    <w:p>
      <w:pPr>
        <w:spacing w:after="0" w:line="19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Disclosure Documents</w:t>
      </w:r>
      <w:r>
        <w:rPr>
          <w:rFonts w:ascii="Times New Roman" w:cs="Times New Roman" w:eastAsia="Times New Roman" w:hAnsi="Times New Roman"/>
          <w:sz w:val="22"/>
          <w:szCs w:val="22"/>
          <w:color w:val="auto"/>
        </w:rPr>
        <w:t>” means reports of the Borrower on Forms 10-K, 10-Q and 8-K, and any amendments thereto and documents incorporated by reference therein, that shall have been (i) filed with or furnished to the SEC on or prior to May 16, 2025, or (ii) filed with or furnished to the SEC after such date and prior to the Restatement Date and delivered to the Administrative Agent prior to the date hereof.</w:t>
      </w:r>
    </w:p>
    <w:p>
      <w:pPr>
        <w:spacing w:after="0" w:line="179"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Disclosure Letter</w:t>
      </w:r>
      <w:r>
        <w:rPr>
          <w:rFonts w:ascii="Times New Roman" w:cs="Times New Roman" w:eastAsia="Times New Roman" w:hAnsi="Times New Roman"/>
          <w:sz w:val="22"/>
          <w:szCs w:val="22"/>
          <w:color w:val="auto"/>
        </w:rPr>
        <w:t>” means the letter to the Lenders and JPMCB from the Borrower, dated the Restatement Date, which identifies itself as the Disclosure Letter.</w:t>
      </w:r>
    </w:p>
    <w:p>
      <w:pPr>
        <w:spacing w:after="0" w:line="144"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Disqualified Stock</w:t>
      </w:r>
      <w:r>
        <w:rPr>
          <w:rFonts w:ascii="Times New Roman" w:cs="Times New Roman" w:eastAsia="Times New Roman" w:hAnsi="Times New Roman"/>
          <w:sz w:val="22"/>
          <w:szCs w:val="22"/>
          <w:color w:val="auto"/>
        </w:rPr>
        <w:t>” means, with respect to any Person, any Capital Stock which by its terms (or by the terms of any security into which it is convertible or for which it is exchangeable or exercisable) or upon the happening of any event:</w:t>
      </w:r>
    </w:p>
    <w:p>
      <w:pPr>
        <w:spacing w:after="0" w:line="158" w:lineRule="exact"/>
        <w:rPr>
          <w:sz w:val="20"/>
          <w:szCs w:val="20"/>
          <w:color w:val="auto"/>
        </w:rPr>
      </w:pPr>
    </w:p>
    <w:p>
      <w:pPr>
        <w:ind w:left="1680" w:hanging="299"/>
        <w:spacing w:after="0"/>
        <w:tabs>
          <w:tab w:leader="none" w:pos="1680"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matures or is mandatorily redeemable pursuant to a sinking fund obligation or otherwise;</w:t>
      </w:r>
    </w:p>
    <w:p>
      <w:pPr>
        <w:spacing w:after="0" w:line="219" w:lineRule="exact"/>
        <w:rPr>
          <w:rFonts w:ascii="Times New Roman" w:cs="Times New Roman" w:eastAsia="Times New Roman" w:hAnsi="Times New Roman"/>
          <w:sz w:val="22"/>
          <w:szCs w:val="22"/>
          <w:color w:val="auto"/>
        </w:rPr>
      </w:pPr>
    </w:p>
    <w:p>
      <w:pPr>
        <w:jc w:val="both"/>
        <w:ind w:left="660" w:firstLine="721"/>
        <w:spacing w:after="0" w:line="263" w:lineRule="auto"/>
        <w:tabs>
          <w:tab w:leader="none" w:pos="1691"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is convertible or exchangeable for Indebtedness or Disqualified Stock (excluding Capital Stock convertible or exchangeable solely at the option of the Borrower or a Restricted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such conversion or exchange shall be deemed an Incurrence of Indebtedness or Disqualified Stock, as applicable); or</w:t>
      </w:r>
    </w:p>
    <w:p>
      <w:pPr>
        <w:spacing w:after="0" w:line="167" w:lineRule="exact"/>
        <w:rPr>
          <w:rFonts w:ascii="Times New Roman" w:cs="Times New Roman" w:eastAsia="Times New Roman" w:hAnsi="Times New Roman"/>
          <w:sz w:val="22"/>
          <w:szCs w:val="22"/>
          <w:color w:val="auto"/>
        </w:rPr>
      </w:pPr>
    </w:p>
    <w:p>
      <w:pPr>
        <w:ind w:left="1680" w:hanging="299"/>
        <w:spacing w:after="0"/>
        <w:tabs>
          <w:tab w:leader="none" w:pos="1680"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redeemable at the option of the holder thereof, in whole or in part;</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in the case of each of clauses (a), (b) and (c), on or prior to 180 days after the Commitment Termination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any Capital Stock that would not constitute Disqualified Stock but for provisions thereof giving holders thereof the right to require such Person to repurchase or redeem such Capital Stock upon the occurrence of an “asset sale” or “ change of control” occurring prior to the date that is 180 days after the Commitment Termination Date shall not constitute Disqualified Stock if the “asset sale” or “change of control” provisions applicable to such Capital Stock are not more favorable in any material respect to the holders of such Capital Stock than the provisions of Section 4.06 and Section 4.08 of the Fifth Supplemental Indenture;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such Capital Stock is issued to any employee or to any plan for the benefit of employees of the Borrower or its Subsidiaries or by any such plan to such employees, such Capital Stock shall not constitute Disqualified Stock solely because it may be required to be repurchased by the Borrower in order to satisfy applicable statutory or regulatory obligations or as a result of such employee’s termination, retirement, death or disability.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23" w:name="page224"/>
    <w:bookmarkEnd w:id="223"/>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The amount of any Disqualified Stock that does not have a fixed redemption, repayment or repurchase price will be calculated in accordance with the terms of such Disqualified Stock as if such Disqualified Stock were redeemed, repaid or repurchased on any date on which the amount of such Disqualified Stock is to be determined pursuant to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such Disqualified Stock could not be required to be redeemed, repaid or repurchased at the time of such determination, the redemption, repayment or repurchase price will be the book value of such Disqualified Stock as reflected in the most recent financial statements of such Person.</w:t>
      </w:r>
    </w:p>
    <w:p>
      <w:pPr>
        <w:spacing w:after="0" w:line="18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Documentation Agent</w:t>
      </w:r>
      <w:r>
        <w:rPr>
          <w:rFonts w:ascii="Times New Roman" w:cs="Times New Roman" w:eastAsia="Times New Roman" w:hAnsi="Times New Roman"/>
          <w:sz w:val="22"/>
          <w:szCs w:val="22"/>
          <w:color w:val="auto"/>
        </w:rPr>
        <w:t>” means each of Capital One, National Association, CIBC Bank USA, Flagstar Bank, N.A., The Huntington National Bank and Regions Bank, in its capacity as documentation agent hereunder.</w:t>
      </w:r>
    </w:p>
    <w:p>
      <w:pPr>
        <w:spacing w:after="0" w:line="17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Document of Title</w:t>
      </w:r>
      <w:r>
        <w:rPr>
          <w:rFonts w:ascii="Times New Roman" w:cs="Times New Roman" w:eastAsia="Times New Roman" w:hAnsi="Times New Roman"/>
          <w:sz w:val="22"/>
          <w:szCs w:val="22"/>
          <w:color w:val="auto"/>
        </w:rPr>
        <w:t>” has the meaning set forth in Article I of the Uniform Commercial Code as from time to time in effect in the State of New York.</w:t>
      </w:r>
    </w:p>
    <w:p>
      <w:pPr>
        <w:spacing w:after="0" w:line="158"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 Equivalent</w:t>
      </w:r>
      <w:r>
        <w:rPr>
          <w:rFonts w:ascii="Times New Roman" w:cs="Times New Roman" w:eastAsia="Times New Roman" w:hAnsi="Times New Roman"/>
          <w:sz w:val="22"/>
          <w:szCs w:val="22"/>
          <w:color w:val="auto"/>
        </w:rPr>
        <w:t>” means, on any date of determination, (a) with respect to any amount in dollars, such amount, and (b) with respect to any amount in Canadian Dollars, Euros or Pounds Sterling, the equivalent in dollars of such amount, determined by the Administrative Agent using the Exchange Rate or the LC Exchange Rate, as applicable, with respect to Canadian Dollars, Euros or Pounds Sterling, as the case may be, in effect for such amount on such date. The Dollar Equivalent amount at any time of any Letter of Credit or LC Disbursement denominated in Canadian Dollars, Euros or Pounds Sterling shall be the amount most recently determined as provided in Section 1.03.</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dollars</w:t>
      </w:r>
      <w:r>
        <w:rPr>
          <w:rFonts w:ascii="Times New Roman" w:cs="Times New Roman" w:eastAsia="Times New Roman" w:hAnsi="Times New Roman"/>
          <w:sz w:val="22"/>
          <w:szCs w:val="22"/>
          <w:color w:val="auto"/>
        </w:rPr>
        <w:t>” or “$” refers to lawful money of the United States of America.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Domestic Subsidiary</w:t>
      </w:r>
      <w:r>
        <w:rPr>
          <w:rFonts w:ascii="Times New Roman" w:cs="Times New Roman" w:eastAsia="Times New Roman" w:hAnsi="Times New Roman"/>
          <w:sz w:val="22"/>
          <w:szCs w:val="22"/>
          <w:color w:val="auto"/>
        </w:rPr>
        <w:t>” means any Subsidiary that is not a Foreign Subsidiary.</w:t>
      </w:r>
    </w:p>
    <w:p>
      <w:pPr>
        <w:spacing w:after="0" w:line="220"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EBITDA</w:t>
      </w:r>
      <w:r>
        <w:rPr>
          <w:rFonts w:ascii="Times New Roman" w:cs="Times New Roman" w:eastAsia="Times New Roman" w:hAnsi="Times New Roman"/>
          <w:sz w:val="22"/>
          <w:szCs w:val="22"/>
          <w:color w:val="auto"/>
        </w:rPr>
        <w:t>” means, for any period, the Consolidated Net Income for such period, plus, without duplication, the following, to the extent deducted in calculating such Consolidated Net Income:</w:t>
      </w:r>
    </w:p>
    <w:p>
      <w:pPr>
        <w:spacing w:after="0" w:line="144" w:lineRule="exact"/>
        <w:rPr>
          <w:sz w:val="20"/>
          <w:szCs w:val="20"/>
          <w:color w:val="auto"/>
        </w:rPr>
      </w:pPr>
    </w:p>
    <w:p>
      <w:pPr>
        <w:ind w:left="1680" w:hanging="299"/>
        <w:spacing w:after="0"/>
        <w:tabs>
          <w:tab w:leader="none" w:pos="1680"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income tax expense of the Borrower and its Consolidated Restricted Subsidiaries;</w:t>
      </w:r>
    </w:p>
    <w:p>
      <w:pPr>
        <w:spacing w:after="0" w:line="219" w:lineRule="exact"/>
        <w:rPr>
          <w:rFonts w:ascii="Times New Roman" w:cs="Times New Roman" w:eastAsia="Times New Roman" w:hAnsi="Times New Roman"/>
          <w:sz w:val="22"/>
          <w:szCs w:val="22"/>
          <w:color w:val="auto"/>
        </w:rPr>
      </w:pPr>
    </w:p>
    <w:p>
      <w:pPr>
        <w:ind w:left="1680" w:hanging="299"/>
        <w:spacing w:after="0"/>
        <w:tabs>
          <w:tab w:leader="none" w:pos="1680"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Consolidated Interest Expense;</w:t>
      </w:r>
    </w:p>
    <w:p>
      <w:pPr>
        <w:spacing w:after="0" w:line="219" w:lineRule="exact"/>
        <w:rPr>
          <w:rFonts w:ascii="Times New Roman" w:cs="Times New Roman" w:eastAsia="Times New Roman" w:hAnsi="Times New Roman"/>
          <w:sz w:val="22"/>
          <w:szCs w:val="22"/>
          <w:color w:val="auto"/>
        </w:rPr>
      </w:pPr>
    </w:p>
    <w:p>
      <w:pPr>
        <w:ind w:left="1680" w:hanging="299"/>
        <w:spacing w:after="0"/>
        <w:tabs>
          <w:tab w:leader="none" w:pos="1680"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depreciation expense of the Borrower and its Consolidated Restricted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24" w:name="page225"/>
    <w:bookmarkEnd w:id="224"/>
    <w:p>
      <w:pPr>
        <w:ind w:left="660" w:firstLine="721"/>
        <w:spacing w:after="0" w:line="271" w:lineRule="auto"/>
        <w:tabs>
          <w:tab w:leader="none" w:pos="1705"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amortization expense of the Borrower and its Consolidated Restricted Subsidiaries (excluding amortization expense attributable to a prepaid cash item that was paid in a prior period); and</w:t>
      </w:r>
    </w:p>
    <w:p>
      <w:pPr>
        <w:spacing w:after="0" w:line="157" w:lineRule="exact"/>
        <w:rPr>
          <w:rFonts w:ascii="Times New Roman" w:cs="Times New Roman" w:eastAsia="Times New Roman" w:hAnsi="Times New Roman"/>
          <w:sz w:val="22"/>
          <w:szCs w:val="22"/>
          <w:color w:val="auto"/>
        </w:rPr>
      </w:pPr>
    </w:p>
    <w:p>
      <w:pPr>
        <w:jc w:val="both"/>
        <w:ind w:left="660" w:firstLine="721"/>
        <w:spacing w:after="0" w:line="256" w:lineRule="auto"/>
        <w:tabs>
          <w:tab w:leader="none" w:pos="1692"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noncash charges of the Borrower and its Consolidated Restricted Subsidiaries (excluding any such noncash charge to the extent it represents an accrual of or reserve for cash expenditures in any future period) less all noncash items of income of the Borrower and its Restricted Subsidiaries in each case for such period (other than normal accruals in the ordinary course of business).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 xml:space="preserve">Notwithstanding the foregoing, the provision for taxes based on the income or profits of, and the depreciation and amortization and noncash charges of, a Restricted Subsidiary of the Borrower shall be added to Consolidated Net Income to compute EBITDA only to the extent (and in the same proportion) that the net income of such Restricted Subsidiary was included in calculating Consolidated Net Income and only if (A) a corresponding amount would be permitted at the date of determination to be dividended to the Borrower by such Restricted Subsidiary without prior approval (that has not been obtained), pursuant to the terms of its charter and all agreements, instruments, judgments, decrees, orders, statutes, rules and governmental regulations applicable to such Restricted Subsidiary or its shareholders or (B) in the case of any Foreign Restricted Subsidiary, a corresponding amount of cash is readily procurable by the Borrower from such Foreign Restricted Subsidiary (as determined in good faith by a Financial Officer of the Borrower) pursuant to intercompany loans, repurchases of Capital Stock or otherwise,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to the extent cash of such Foreign Restricted Subsidiary provided the basis for including the net income of such Foreign Subsidiary in Consolidated Net Income pursuant to clause (c) of the definition of “Consolidated Net Income,” such cash shall not be taken into account for the purposes of determining readily procurable cash under this clause (B).</w:t>
      </w:r>
    </w:p>
    <w:p>
      <w:pPr>
        <w:spacing w:after="0" w:line="17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Financial Institution</w:t>
      </w:r>
      <w:r>
        <w:rPr>
          <w:rFonts w:ascii="Times New Roman" w:cs="Times New Roman" w:eastAsia="Times New Roman" w:hAnsi="Times New Roman"/>
          <w:sz w:val="22"/>
          <w:szCs w:val="22"/>
          <w:color w:val="auto"/>
        </w:rPr>
        <w:t>” has the meaning set forth in Section 9.21.</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Member Country</w:t>
      </w:r>
      <w:r>
        <w:rPr>
          <w:rFonts w:ascii="Times New Roman" w:cs="Times New Roman" w:eastAsia="Times New Roman" w:hAnsi="Times New Roman"/>
          <w:sz w:val="22"/>
          <w:szCs w:val="22"/>
          <w:color w:val="auto"/>
        </w:rPr>
        <w:t>” has the meaning set forth in Section 9.21.</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Resolution Authority</w:t>
      </w:r>
      <w:r>
        <w:rPr>
          <w:rFonts w:ascii="Times New Roman" w:cs="Times New Roman" w:eastAsia="Times New Roman" w:hAnsi="Times New Roman"/>
          <w:sz w:val="22"/>
          <w:szCs w:val="22"/>
          <w:color w:val="auto"/>
        </w:rPr>
        <w:t>” has the meaning set forth in Section 9.21.</w:t>
      </w:r>
    </w:p>
    <w:p>
      <w:pPr>
        <w:spacing w:after="0" w:line="22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Advance Rate</w:t>
      </w:r>
      <w:r>
        <w:rPr>
          <w:rFonts w:ascii="Times New Roman" w:cs="Times New Roman" w:eastAsia="Times New Roman" w:hAnsi="Times New Roman"/>
          <w:sz w:val="22"/>
          <w:szCs w:val="22"/>
          <w:color w:val="auto"/>
        </w:rPr>
        <w:t>” means, on any date, the percentage equal to the Inventory Advance Amount (as defined in the definition of “Borrowing Base”) on such date divided by the Inventory Value of all Inventory of the Borrower and each other Grantor on such date.</w:t>
      </w:r>
    </w:p>
    <w:p>
      <w:pPr>
        <w:spacing w:after="0" w:line="18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Eighth Supplemental Indenture</w:t>
      </w:r>
      <w:r>
        <w:rPr>
          <w:rFonts w:ascii="Times New Roman" w:cs="Times New Roman" w:eastAsia="Times New Roman" w:hAnsi="Times New Roman"/>
          <w:sz w:val="22"/>
          <w:szCs w:val="22"/>
          <w:color w:val="auto"/>
        </w:rPr>
        <w:t>” means, collectively, the Indenture dated as of August 13, 2010, among the Borrower, the subsidiary guarantors thereunder and Wells Fargo Bank, N.A., as trustee, and the Eighth Supplemental Indenture dated as of April 6, 2021, among the Borrower, the subsidiary guarantors thereunder and Wells Fargo Bank, N.A., as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25" w:name="page226"/>
    <w:bookmarkEnd w:id="225"/>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Electronic Signature</w:t>
      </w:r>
      <w:r>
        <w:rPr>
          <w:rFonts w:ascii="Times New Roman" w:cs="Times New Roman" w:eastAsia="Times New Roman" w:hAnsi="Times New Roman"/>
          <w:sz w:val="22"/>
          <w:szCs w:val="22"/>
          <w:color w:val="auto"/>
        </w:rPr>
        <w:t>” means an electronic sound, symbol or process attached to, or associated with, a contract or other record and adopted by a Person with the intent to sign, authenticate or accept such contract or record.</w:t>
      </w:r>
    </w:p>
    <w:p>
      <w:pPr>
        <w:spacing w:after="0" w:line="158" w:lineRule="exact"/>
        <w:rPr>
          <w:sz w:val="20"/>
          <w:szCs w:val="20"/>
          <w:color w:val="auto"/>
        </w:rPr>
      </w:pPr>
    </w:p>
    <w:p>
      <w:pPr>
        <w:jc w:val="both"/>
        <w:ind w:firstLine="1296"/>
        <w:spacing w:after="0" w:line="28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Eleventh Supplemental Indenture</w:t>
      </w:r>
      <w:r>
        <w:rPr>
          <w:rFonts w:ascii="Times New Roman" w:cs="Times New Roman" w:eastAsia="Times New Roman" w:hAnsi="Times New Roman"/>
          <w:sz w:val="21"/>
          <w:szCs w:val="21"/>
          <w:color w:val="auto"/>
        </w:rPr>
        <w:t>” means, collectively, the Indenture dated as of August 13, 2010, among the Borrower, the subsidiary guarantors thereunder and Wells Fargo Bank, N.A., as trustee, and the Eleventh Supplemental Indenture dated as of May 18, 2021, among the Borrower, the subsidiary guarantors thereunder and Wells Fargo Bank, N.A., as trustee.</w:t>
      </w:r>
    </w:p>
    <w:p>
      <w:pPr>
        <w:spacing w:after="0" w:line="151"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Eligible Accounts Receivable</w:t>
      </w:r>
      <w:r>
        <w:rPr>
          <w:rFonts w:ascii="Times New Roman" w:cs="Times New Roman" w:eastAsia="Times New Roman" w:hAnsi="Times New Roman"/>
          <w:sz w:val="21"/>
          <w:szCs w:val="21"/>
          <w:color w:val="auto"/>
        </w:rPr>
        <w:t xml:space="preserve">” means, at the time of any determination, each Account that satisfies the following criteria at the time of such determination: such Account (a) has been invoiced to, and represents the bona fide amounts due to the Borrower or another Grantor from, the purchaser of goods or services, in each case originated in the ordinary course of business of the Borrower or such Grantor and (b) is not ineligible for inclusion in the calculation of the Borrowing Base pursuant to any of clauses (i) through (xxii) below or otherwise deemed by the Administrative Agent or the Majority Lenders in their discretion (not to be exercised unreasonably) to be ineligible for inclusion in the calculation of the Borrowing Base based on the results of collateral and borrowing base evaluations and monitoring conducted by the Administrative Agent and its designated representatives; any such decision by the Administrative Agent or the Majority Lenders shall be made by written notice to the Borrower setting forth in reasonable detail the basis for such decision, and shall become effective for purposes of the first Borrowing Base Certificate that is delivered pursuant to Section 5.09 at least five Business Days after the date of receipt by the Borrower of such written notice. Without limiting the generality of the foregoing, to qualify as Eligible Accounts Receivable an Account shall indicate no Person other than the Borrower or another Grantor as payee or remittance party. In determining the amount to be so included, the face amount of an Account shall be reduced by, without duplication, to the extent not reflected in such face amount, (a) the amount of all accrued and actual discounts, claims, credits or credits pending, promotional program allowances, price adjustments, finance charges or other allowances (including any amount that the Borrower or another Grantor could reasonably be expected to be obligated to rebate to a customer pursuant to the terms of any agreement or understanding (written or oral)), in each case without duplication of any amounts that are included in the Accounts Receivable Reserves or the Dilution Factors for such period, (b) the aggregate amount of all limits and deductions provided for in this definition and (c) the aggregate amount of all cash received in respect of such Account but not yet applied by the Borrower or another Grantor to reduce the amount of such Account. Standards of eligibility may be fixed from time to time by the Administrative Agent or the Majority Lenders in their discretion (not to be exercised unreasonably) based on the results of collateral and borrowing base evaluations and monitoring conducted by the Administrative Agent and its designated representatives;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prior written consent of Lenders having aggregate Credit Exposures and unused Commitments representing at least 66-2/3% of the sum of the total Credit Exposures and unused Commitments at such time shall be required to change such eligibility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26" w:name="page227"/>
    <w:bookmarkEnd w:id="226"/>
    <w:p>
      <w:pPr>
        <w:jc w:val="both"/>
        <w:spacing w:after="0" w:line="250" w:lineRule="auto"/>
        <w:rPr>
          <w:sz w:val="20"/>
          <w:szCs w:val="20"/>
          <w:color w:val="auto"/>
        </w:rPr>
      </w:pPr>
      <w:r>
        <w:rPr>
          <w:rFonts w:ascii="Times New Roman" w:cs="Times New Roman" w:eastAsia="Times New Roman" w:hAnsi="Times New Roman"/>
          <w:sz w:val="22"/>
          <w:szCs w:val="22"/>
          <w:color w:val="auto"/>
        </w:rPr>
        <w:t>in a manner which would increase the amount of the Borrowing Base Availability. Any changes to such standards by the Administrative Agent or the Majority Lenders shall be made by written notice to the Borrower setting forth in reasonable detail the basis for such change, and shall become effective for purposes of the first Borrowing Base Certificate that is delivered pursuant to Section 5.09 at least five Business Days after the date of receipt by the Borrower of such written notice. Unless otherwise approved from time to time in writing by the Administrative Agent, an Account shall not be an Eligible Accounts Receivable (or, in the case of clauses (vii) and (xv) below, the affected portion of such Account shall be deemed not to be an Eligible Accounts Receivable) if, without duplication:</w:t>
      </w:r>
    </w:p>
    <w:p>
      <w:pPr>
        <w:spacing w:after="0" w:line="180" w:lineRule="exact"/>
        <w:rPr>
          <w:sz w:val="20"/>
          <w:szCs w:val="20"/>
          <w:color w:val="auto"/>
        </w:rPr>
      </w:pPr>
    </w:p>
    <w:p>
      <w:pPr>
        <w:ind w:left="1560" w:hanging="256"/>
        <w:spacing w:after="0"/>
        <w:tabs>
          <w:tab w:leader="none" w:pos="1560"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or another Grantor does not have good and valid title to such Account; or</w:t>
      </w:r>
    </w:p>
    <w:p>
      <w:pPr>
        <w:spacing w:after="0" w:line="233" w:lineRule="exact"/>
        <w:rPr>
          <w:rFonts w:ascii="Times New Roman" w:cs="Times New Roman" w:eastAsia="Times New Roman" w:hAnsi="Times New Roman"/>
          <w:sz w:val="22"/>
          <w:szCs w:val="22"/>
          <w:color w:val="auto"/>
        </w:rPr>
      </w:pPr>
    </w:p>
    <w:p>
      <w:pPr>
        <w:ind w:left="660" w:firstLine="644"/>
        <w:spacing w:after="0" w:line="271" w:lineRule="auto"/>
        <w:tabs>
          <w:tab w:leader="none" w:pos="1626"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Account (x) is unpaid more than 60 days from the original due date or (y) has been written off the books of the Borrower or another Grantor or has been otherwise designated on such books as uncollectible; or</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686"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more than 50% in face amount of all Accounts of the same Account Debtor (x) are unpaid more than 60 days from the original due date or (y) have been written off the books of the Borrower or another Grantor or have been otherwise designated on such books as uncollectible; or</w:t>
      </w:r>
    </w:p>
    <w:p>
      <w:pPr>
        <w:spacing w:after="0" w:line="172" w:lineRule="exact"/>
        <w:rPr>
          <w:rFonts w:ascii="Times New Roman" w:cs="Times New Roman" w:eastAsia="Times New Roman" w:hAnsi="Times New Roman"/>
          <w:sz w:val="22"/>
          <w:szCs w:val="22"/>
          <w:color w:val="auto"/>
        </w:rPr>
      </w:pPr>
    </w:p>
    <w:p>
      <w:pPr>
        <w:ind w:left="1660" w:hanging="356"/>
        <w:spacing w:after="0"/>
        <w:tabs>
          <w:tab w:leader="none" w:pos="1660"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Account Debtor is insolvent or the subject of any bankruptcy case or insolvency proceeding of any kind;</w:t>
      </w:r>
    </w:p>
    <w:p>
      <w:pPr>
        <w:spacing w:after="0" w:line="29"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w:t>
      </w:r>
    </w:p>
    <w:p>
      <w:pPr>
        <w:spacing w:after="0" w:line="207"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1641"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Account is not payable in dollars and/or Canadian Dollars, the Account Debtor is not located (or, for purposes of the Quebec Civil Code, if applicable, its principal place of business or domicile is not located) inside the United States or Canada, the Account Debtor does not have significant assets inside the United States or Canada or the enforceability of such Account is not governed by the laws of the United States or Canada or any of their respective states, provinces, territories or possessions or any political subdivision of any thereof; or</w:t>
      </w:r>
    </w:p>
    <w:p>
      <w:pPr>
        <w:spacing w:after="0" w:line="178"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1687"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Account Debtor is the United States of America or Canada or any department, agency or instrumentality thereof, unless the Borrower or the other applicable Grantor duly assigns its rights to payment of such Account to the Administrative Agent pursuant to the Assignment of Claims Act of 1940, as amended, or the Financial Administration Act (Canada), as amended, as applicable, which assignment and related documents and filings shall be in form and substance satisfactory to the Administrative Agent; or</w:t>
      </w:r>
    </w:p>
    <w:p>
      <w:pPr>
        <w:spacing w:after="0" w:line="178"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734"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of any security deposit, progress payment, retainage or other similar advance made by or for the benefit of the applicable Account Debtor to which such Account is subject;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27" w:name="page228"/>
    <w:bookmarkEnd w:id="227"/>
    <w:p>
      <w:pPr>
        <w:jc w:val="both"/>
        <w:ind w:left="660" w:firstLine="644"/>
        <w:spacing w:after="0" w:line="250" w:lineRule="auto"/>
        <w:tabs>
          <w:tab w:leader="none" w:pos="1807"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Account (x) is not subject to a valid and perfected first priority Lien in favor of the Administrative Agent for the benefit of the Secured Parties to the extent that such a Lien may be perfected by filing UCC financing statements or making such other personal property security filings or registrations as may be required under the laws of the applicable jurisdiction in which such Account Debtor is located or has its principal place of business or domicile (for the purposes of the Quebec Civil Code, if applicable), subject to no other Liens other than Permitted Encumbrances or (y) does not otherwise conform in all material respects to the applicable representations and warranties contained in the Credit Documents; or</w:t>
      </w:r>
    </w:p>
    <w:p>
      <w:pPr>
        <w:spacing w:after="0" w:line="180" w:lineRule="exact"/>
        <w:rPr>
          <w:rFonts w:ascii="Times New Roman" w:cs="Times New Roman" w:eastAsia="Times New Roman" w:hAnsi="Times New Roman"/>
          <w:sz w:val="22"/>
          <w:szCs w:val="22"/>
          <w:color w:val="auto"/>
        </w:rPr>
      </w:pPr>
    </w:p>
    <w:p>
      <w:pPr>
        <w:ind w:left="660" w:right="20" w:firstLine="644"/>
        <w:spacing w:after="0" w:line="284" w:lineRule="auto"/>
        <w:tabs>
          <w:tab w:leader="none" w:pos="1674"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such Account was invoiced or payment was received thereon (A) in advance of goods or services provided or (B) more than once or (y) the associated income has not been earned; or</w:t>
      </w:r>
    </w:p>
    <w:p>
      <w:pPr>
        <w:spacing w:after="0" w:line="143" w:lineRule="exact"/>
        <w:rPr>
          <w:rFonts w:ascii="Times New Roman" w:cs="Times New Roman" w:eastAsia="Times New Roman" w:hAnsi="Times New Roman"/>
          <w:sz w:val="22"/>
          <w:szCs w:val="22"/>
          <w:color w:val="auto"/>
        </w:rPr>
      </w:pPr>
    </w:p>
    <w:p>
      <w:pPr>
        <w:ind w:left="1600" w:hanging="296"/>
        <w:spacing w:after="0"/>
        <w:tabs>
          <w:tab w:leader="none" w:pos="1600"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Account is a note receivable or non-trade Account or relates to payments for rent or interest; or</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1674"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to the Account Debtor is on a bill-and-hold, sale on approval or consignment (it being understood and agreed that an Account that arises in connection with a sale of such goods by the consignee thereof shall not be deemed to be ineligible by reason of this clause (xi)) or other similar basis or made pursuant to any other agreement (other than an ordinary course customer warranty) providing for repurchases or return of any merchandise which has been claimed to be defective or otherwise unsatisfactory; or</w:t>
      </w:r>
    </w:p>
    <w:p>
      <w:pPr>
        <w:spacing w:after="0" w:line="178"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1734"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goods giving rise to such Account have not been shipped and title has not been transferred to the Account Debtor or such Account represents a progress-billing; for purposes hereof, progress-billing means any invoice for goods sold or leased or services rendered under a contract or agreement pursuant to which the Account Debtor’s obligation to pay such invoice is conditioned upon the Borrower’s or the other applicable Grantor’s completion of any further performance under such contract or agreement; or</w:t>
      </w:r>
    </w:p>
    <w:p>
      <w:pPr>
        <w:spacing w:after="0" w:line="178" w:lineRule="exact"/>
        <w:rPr>
          <w:rFonts w:ascii="Times New Roman" w:cs="Times New Roman" w:eastAsia="Times New Roman" w:hAnsi="Times New Roman"/>
          <w:sz w:val="22"/>
          <w:szCs w:val="22"/>
          <w:color w:val="auto"/>
        </w:rPr>
      </w:pPr>
    </w:p>
    <w:p>
      <w:pPr>
        <w:ind w:left="660" w:firstLine="644"/>
        <w:spacing w:after="0" w:line="271" w:lineRule="auto"/>
        <w:tabs>
          <w:tab w:leader="none" w:pos="1807"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Account arises out of a sale made by the Borrower or another Grantor to an Affiliate (other than an Eligible Affiliate) of the Borrower or such Grantor; or</w:t>
      </w:r>
    </w:p>
    <w:p>
      <w:pPr>
        <w:spacing w:after="0" w:line="157" w:lineRule="exact"/>
        <w:rPr>
          <w:rFonts w:ascii="Times New Roman" w:cs="Times New Roman" w:eastAsia="Times New Roman" w:hAnsi="Times New Roman"/>
          <w:sz w:val="22"/>
          <w:szCs w:val="22"/>
          <w:color w:val="auto"/>
        </w:rPr>
      </w:pPr>
    </w:p>
    <w:p>
      <w:pPr>
        <w:ind w:left="660" w:firstLine="644"/>
        <w:spacing w:after="0" w:line="271" w:lineRule="auto"/>
        <w:tabs>
          <w:tab w:leader="none" w:pos="1782"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Account was created by the Borrower or another Grantor as a new receivable for the unpaid portion of an outstanding Account; or</w:t>
      </w:r>
    </w:p>
    <w:p>
      <w:pPr>
        <w:spacing w:after="0" w:line="171"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722"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Account Debtor (x) is a creditor, (y) has or has asserted a right of set-off against the Borrower or another Grantor with respect to such Account (unless such Account Debtor has entered into a written agreement reasonably acceptable to the Administrative Agent to waive such set-off rights) or (z) has disputed its liability (whether by chargeback, dispute or otherwise) or made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28" w:name="page229"/>
    <w:bookmarkEnd w:id="228"/>
    <w:p>
      <w:pPr>
        <w:jc w:val="both"/>
        <w:ind w:left="660"/>
        <w:spacing w:after="0" w:line="256" w:lineRule="auto"/>
        <w:rPr>
          <w:sz w:val="20"/>
          <w:szCs w:val="20"/>
          <w:color w:val="auto"/>
        </w:rPr>
      </w:pPr>
      <w:r>
        <w:rPr>
          <w:rFonts w:ascii="Times New Roman" w:cs="Times New Roman" w:eastAsia="Times New Roman" w:hAnsi="Times New Roman"/>
          <w:sz w:val="22"/>
          <w:szCs w:val="22"/>
          <w:color w:val="auto"/>
        </w:rPr>
        <w:t>asserted or unasserted claim with respect to such Account or any other Account of the Borrower or such other Grantor (as applicable) which has not been resolved, in each case, without duplication, to the extent of the amount owed by the Borrower or such other Grantor (as applicable) to the Account Debtor, the amount of such actual or asserted right of set-off or the amount of such dispute or claim, as the case may be; or</w:t>
      </w:r>
    </w:p>
    <w:p>
      <w:pPr>
        <w:spacing w:after="0" w:line="176" w:lineRule="exact"/>
        <w:rPr>
          <w:sz w:val="20"/>
          <w:szCs w:val="20"/>
          <w:color w:val="auto"/>
        </w:rPr>
      </w:pPr>
    </w:p>
    <w:p>
      <w:pPr>
        <w:jc w:val="both"/>
        <w:ind w:left="660" w:firstLine="644"/>
        <w:spacing w:after="0" w:line="252" w:lineRule="auto"/>
        <w:tabs>
          <w:tab w:leader="none" w:pos="1809"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Account does not comply in all material respects with the requirements of all applicable laws and regulations, whether Federal, State, provincial, territorial or local, including the Federal Consumer Credit Protection Act, the Federal Truth in Lending Act and Regulation Z of the Board and applicable Canadian provincial consumer protection/cost of credit disclosure legislation; or</w:t>
      </w:r>
    </w:p>
    <w:p>
      <w:pPr>
        <w:spacing w:after="0" w:line="192"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842"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Account is for goods that have been sold under a purchase order or pursuant to the terms of a contract or other agreement or understanding (written or oral) that indicates that any Person other than the Borrower or another Grantor has or has had or has purported to have or have had an ownership interest in such goods and in the Account resulting from the sale of such goods; or</w:t>
      </w:r>
    </w:p>
    <w:p>
      <w:pPr>
        <w:spacing w:after="0" w:line="179"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902"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Account is an extended terms account, which is not due and payable within 180 days from the original date of invoice; or</w:t>
      </w:r>
    </w:p>
    <w:p>
      <w:pPr>
        <w:spacing w:after="0" w:line="171"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Account is created on cash on delivery terms or is payment for freight claims; or</w:t>
      </w:r>
    </w:p>
    <w:p>
      <w:pPr>
        <w:spacing w:after="0" w:line="219"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749"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such Account has been reclassified, as a result of a workout or other similar situation relating to the credit worthiness of the applicable Account Debtor, from an account receivable to a note receivable; or</w:t>
      </w:r>
    </w:p>
    <w:p>
      <w:pPr>
        <w:spacing w:after="0" w:line="157"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809"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Account Debtor has not been instructed by the Borrower or any of the other Grantors to pay such Account directly into a Deposit Account in the Lockbox System; or</w:t>
      </w:r>
    </w:p>
    <w:p>
      <w:pPr>
        <w:spacing w:after="0" w:line="171"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842"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Account relates to the Retail Division, unless (x) the applicable Account Debtor has been instructed by the Borrower or any of the other Grantors to pay such Account (or, such payment is deposited) directly into a Deposit Account that is swept into a Deposit Account in the Lockbox System on at least a weekly basis or (y) such Account meets certain criteria and is deemed eligible by the Administrative Agent in its sole discretion.</w:t>
      </w:r>
    </w:p>
    <w:p>
      <w:pPr>
        <w:spacing w:after="0" w:line="17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Notwithstanding the foregoing, at the time of any determination of Eligible Accounts Receivable, an amount equal to all Eligible Accounts Receivable of any single Account Debtor and its Affiliates which in the aggregate exceed (a) 20% in respect of (i) an Account Debtor that is rated Investment Grade by either Moody’s or Standard &amp; Poor’s and (ii) TireHub JV and its Affiliates (regardless of their respective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29" w:name="page230"/>
    <w:bookmarkEnd w:id="229"/>
    <w:p>
      <w:pPr>
        <w:jc w:val="both"/>
        <w:spacing w:after="0" w:line="250" w:lineRule="auto"/>
        <w:rPr>
          <w:sz w:val="20"/>
          <w:szCs w:val="20"/>
          <w:color w:val="auto"/>
        </w:rPr>
      </w:pPr>
      <w:r>
        <w:rPr>
          <w:rFonts w:ascii="Times New Roman" w:cs="Times New Roman" w:eastAsia="Times New Roman" w:hAnsi="Times New Roman"/>
          <w:sz w:val="22"/>
          <w:szCs w:val="22"/>
          <w:color w:val="auto"/>
        </w:rPr>
        <w:t>credit ratings), (b) 17% in respect of U.S. Venture, Inc. and its Affiliates or (c) 12% in respect of any other Account Debtor, in each case of the total amount of all Eligible Accounts Receivable at such time of determination shall be deemed not to be Eligible Accounts Receivable to the extent of such excess. In determining the aggregate amount of Accounts from all Account Debtors that are unpaid more than 60 days from the due date pursuant to clause (ii) above, any net credit balances relating to Accounts of any Account Debtor that are unpaid for more than 60 days from the due date shall not be included, to the extent such net credit balances do not exceed the total Accounts (excluding any Accounts that are included in the calculation of such net credit balances) that are unpaid from such Account Debtor.</w:t>
      </w:r>
    </w:p>
    <w:p>
      <w:pPr>
        <w:spacing w:after="0" w:line="180"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Affiliate</w:t>
      </w:r>
      <w:r>
        <w:rPr>
          <w:rFonts w:ascii="Times New Roman" w:cs="Times New Roman" w:eastAsia="Times New Roman" w:hAnsi="Times New Roman"/>
          <w:sz w:val="22"/>
          <w:szCs w:val="22"/>
          <w:color w:val="auto"/>
        </w:rPr>
        <w:t xml:space="preserve">” means any Affiliate of the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the Borrower and the Subsidiaries do not own, control or hold, directly or indirectly, individually or in the aggregate, Capital Stock of such Affiliate representing 50% or more of the equity or 50% or more of the voting power or, in the case of a partnership, 50% or more of the general partnership interests of such Affiliate, (b) the accounts of such Affiliate are not consolidated with those of the Borrower in the Borrower’s consolidated financial statements (and are not required to be so consolidated in accordance with GAAP), (c) each Account due to the Borrower or another Grantor from such Affiliate requires payment for the goods sold or leased or the services rendered to such Affiliate in cash and on terms that are no less favorable to the Borrower or such Grantor, as the case may be, than those that could be obtained at such time in arm’s-length dealings with a Person who is not such an Affiliate and (d) such Affiliate meets any other eligibility standard or requirement that is imposed by the Administrative Agent or the Majority Lenders in their discretion (not to be exercised unreasonably) based on the results of collateral and borrowing base evaluations and monitoring conducted by the Administrative Agent and its designated representatives; any changes to such standards or requirements or the imposition of any additional standard or requirement by the Administrative Agent or the Majority Lenders shall be made by written notice to the Borrower setting forth in reasonable detail the basis for such change or addition, and shall become effective for purposes of the first Borrowing Base Certificate that is delivered pursuant to Section 5.09 at least five Business Days after the date of receipt by the Borrower of such written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-2472055</wp:posOffset>
            </wp:positionV>
            <wp:extent cx="497205" cy="1454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6">
                      <a:extLst>
                        <a:ext uri="{28A0092B-C50C-407E-A947-70E740481C1C}"/>
                      </a:extLst>
                    </a:blip>
                    <a:srcRect/>
                    <a:stretch>
                      <a:fillRect/>
                    </a:stretch>
                  </pic:blipFill>
                  <pic:spPr bwMode="auto">
                    <a:xfrm>
                      <a:off x="0" y="0"/>
                      <a:ext cx="497205" cy="145415"/>
                    </a:xfrm>
                    <a:prstGeom prst="rect">
                      <a:avLst/>
                    </a:prstGeom>
                    <a:noFill/>
                  </pic:spPr>
                </pic:pic>
              </a:graphicData>
            </a:graphic>
          </wp:anchor>
        </w:drawing>
      </w:r>
    </w:p>
    <w:p>
      <w:pPr>
        <w:spacing w:after="0" w:line="16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Cash</w:t>
      </w:r>
      <w:r>
        <w:rPr>
          <w:rFonts w:ascii="Times New Roman" w:cs="Times New Roman" w:eastAsia="Times New Roman" w:hAnsi="Times New Roman"/>
          <w:sz w:val="22"/>
          <w:szCs w:val="22"/>
          <w:color w:val="auto"/>
        </w:rPr>
        <w:t>” means cash identified as “eligible cash” on the applicable Borrowing Base Certificate that is held in one or more United States or Canadian Deposit Accounts that are (a) owned by one or more Grantors, (b) maintained with the Administrative Agent or one or more Lenders and (c) subject to one or more account control agreements for the benefit of, and reasonably satisfactory to, the Administrative Agent.</w:t>
      </w:r>
    </w:p>
    <w:p>
      <w:pPr>
        <w:spacing w:after="0" w:line="17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Finished Goods</w:t>
      </w:r>
      <w:r>
        <w:rPr>
          <w:rFonts w:ascii="Times New Roman" w:cs="Times New Roman" w:eastAsia="Times New Roman" w:hAnsi="Times New Roman"/>
          <w:sz w:val="22"/>
          <w:szCs w:val="22"/>
          <w:color w:val="auto"/>
        </w:rPr>
        <w:t>” means, on any date, without duplication, the Inventory Value of all Eligible Inventory and Eligible In-Transit Inventory of the Borrower and each other Grantor defined as Finished Goods by the Borrower on such date as shown on the Borrower’s (or such Grantor’s, as the case may be) perpetual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30" w:name="page231"/>
    <w:bookmarkEnd w:id="230"/>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inventory records in accordance with its (or such Grantor’s, as the case may be) current and historical accounting practices;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aggregate amount of such Inventory Value attributable to Eligible In-Transit Inventory shall not exceed $75,000,000.</w:t>
      </w:r>
    </w:p>
    <w:p>
      <w:pPr>
        <w:spacing w:after="0" w:line="18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In-Transit Inventory</w:t>
      </w:r>
      <w:r>
        <w:rPr>
          <w:rFonts w:ascii="Times New Roman" w:cs="Times New Roman" w:eastAsia="Times New Roman" w:hAnsi="Times New Roman"/>
          <w:sz w:val="22"/>
          <w:szCs w:val="22"/>
          <w:color w:val="auto"/>
        </w:rPr>
        <w:t xml:space="preserve">” means, on any date, any In-Transit Inventory of the Borrower or another Grantor that on such date would constitute Eligible Inventory, disregarding for purposes of the foregoing the ineligibility criteria set forth in clauses (a) (but subject to the requirements of clause (a) below), (c), (d)(ii), (d)(iv) and (i)(ii) of the definition of the term “Eligible Inventory”;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179" w:lineRule="exact"/>
        <w:rPr>
          <w:sz w:val="20"/>
          <w:szCs w:val="20"/>
          <w:color w:val="auto"/>
        </w:rPr>
      </w:pPr>
    </w:p>
    <w:p>
      <w:pPr>
        <w:jc w:val="both"/>
        <w:ind w:left="660" w:firstLine="721"/>
        <w:spacing w:after="0" w:line="253" w:lineRule="auto"/>
        <w:tabs>
          <w:tab w:leader="none" w:pos="1679"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 the terms of sale applicable to such Inventory, title and risk of loss with respect to such Inventory shall have passed from the applicable Inventory Vendor to, and such Inventory shall be owned by, the Borrower or another such Grantor (or to and by the Administrative Agent solely on account of a Bill of Lading or other another Document of Title covering such Inventory having been duly negotiated to, or otherwise being held by, the Administrative Agent (or any appointed agent thereof));</w:t>
      </w:r>
    </w:p>
    <w:p>
      <w:pPr>
        <w:spacing w:after="0" w:line="178" w:lineRule="exact"/>
        <w:rPr>
          <w:rFonts w:ascii="Times New Roman" w:cs="Times New Roman" w:eastAsia="Times New Roman" w:hAnsi="Times New Roman"/>
          <w:sz w:val="22"/>
          <w:szCs w:val="22"/>
          <w:color w:val="auto"/>
        </w:rPr>
      </w:pPr>
    </w:p>
    <w:p>
      <w:pPr>
        <w:jc w:val="both"/>
        <w:ind w:left="660" w:firstLine="721"/>
        <w:spacing w:after="0" w:line="264" w:lineRule="auto"/>
        <w:tabs>
          <w:tab w:leader="none" w:pos="1705"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applicable Inventory Vendor is not the Borrower or a Subsidiary, (i) the Borrower or another Grantor shall have paid the applicable Inventory Vendor in full for such Inventory, (ii) under the terms of sale applicable to such Inventory, no payment shall be due by the Borrower or any Subsidiary to the applicable Inventory Vendor with respect to such Inventory until after the date reasonably expected to be the date on which such Inventory is physically delivered to the Borrower or another Grantor, as applicable (and the applicable Inventory Vendor not having any “ stoppage in-transit” or similar rights with respect to such Inventory under applicable law) or (iii) the payment obligations of the Borrower or another such Grantor, as applicable, to the applicable Inventory Vendor with respect to such Inventory shall be covered in full by a letter of credit and all related documents shall be in compliance with the terms of such letter of credit;</w:t>
      </w:r>
    </w:p>
    <w:p>
      <w:pPr>
        <w:spacing w:after="0" w:line="169" w:lineRule="exact"/>
        <w:rPr>
          <w:rFonts w:ascii="Times New Roman" w:cs="Times New Roman" w:eastAsia="Times New Roman" w:hAnsi="Times New Roman"/>
          <w:sz w:val="21"/>
          <w:szCs w:val="21"/>
          <w:color w:val="auto"/>
        </w:rPr>
      </w:pPr>
    </w:p>
    <w:p>
      <w:pPr>
        <w:jc w:val="both"/>
        <w:ind w:left="660" w:firstLine="721"/>
        <w:spacing w:after="0" w:line="253" w:lineRule="auto"/>
        <w:tabs>
          <w:tab w:leader="none" w:pos="1679"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Inventory shall be fully insured, to the extent of at least 100% of its cost, by marine or air cargo or other casualty insurance maintained by the Borrower or another Grantor, in such amounts, with such insurance companies, subject to such deductibles and against such risks (including war and terrorism risks) as are reasonably satisfactory to the Administrative Agent and in respect of which the Administrative Agent has been named as a lender loss payee pursuant to a lender loss payee endorsement reasonably acceptable to the Administrative Agent;</w:t>
      </w:r>
    </w:p>
    <w:p>
      <w:pPr>
        <w:spacing w:after="0" w:line="178" w:lineRule="exact"/>
        <w:rPr>
          <w:rFonts w:ascii="Times New Roman" w:cs="Times New Roman" w:eastAsia="Times New Roman" w:hAnsi="Times New Roman"/>
          <w:sz w:val="22"/>
          <w:szCs w:val="22"/>
          <w:color w:val="auto"/>
        </w:rPr>
      </w:pPr>
    </w:p>
    <w:p>
      <w:pPr>
        <w:ind w:left="660" w:firstLine="721"/>
        <w:spacing w:after="0" w:line="271" w:lineRule="auto"/>
        <w:tabs>
          <w:tab w:leader="none" w:pos="1705"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Inventory (including any Inventory originating in Mexico) shall be (i) located in the United States or Canada, or (ii) in transit via ship or other marine vessel in international waters;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31" w:name="page232"/>
    <w:bookmarkEnd w:id="231"/>
    <w:p>
      <w:pPr>
        <w:jc w:val="both"/>
        <w:ind w:left="660" w:firstLine="721"/>
        <w:spacing w:after="0" w:line="251" w:lineRule="auto"/>
        <w:tabs>
          <w:tab w:leader="none" w:pos="1679"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Inventory is evidenced by a (i) negotiable Document of Title, all originals of which have been delivered to the Administrative Agent, (ii) negotiable Bill of Lading or similar document providing for the right to take possession of the Inventory, in each case under clauses (i) and (ii) above, that reflects the Borrower or a Grantor as consignee or, if requested by the Administrative Agent after the occurrence of an Event of Default, names the Administrative Agent as consignee or (iii) such other arrangements as may be acceptable to the Administrative Agent in its sole discretion that results in a valid and perfected first priority Lien of the Administrative Agent;</w:t>
      </w:r>
    </w:p>
    <w:p>
      <w:pPr>
        <w:spacing w:after="0" w:line="181" w:lineRule="exact"/>
        <w:rPr>
          <w:rFonts w:ascii="Times New Roman" w:cs="Times New Roman" w:eastAsia="Times New Roman" w:hAnsi="Times New Roman"/>
          <w:sz w:val="22"/>
          <w:szCs w:val="22"/>
          <w:color w:val="auto"/>
        </w:rPr>
      </w:pPr>
    </w:p>
    <w:p>
      <w:pPr>
        <w:jc w:val="both"/>
        <w:ind w:left="660" w:firstLine="721"/>
        <w:spacing w:after="0" w:line="253" w:lineRule="auto"/>
        <w:tabs>
          <w:tab w:leader="none" w:pos="1695"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Documents of Title related thereto are subject to the valid and perfected first priority Lien of the Administrative Agent for the benefit of the Secured Parties to the extent that such a Lien may be perfected by filing UCC financing statements or such other personal property security filings or registrations as may be required under the laws of the applicable jurisdiction in which such Inventory is located, subject to no other Liens other than Permitted Encumbrances (other than those described in clause (f) of the definition of “Permitted Encumbrances”);</w:t>
      </w:r>
    </w:p>
    <w:p>
      <w:pPr>
        <w:spacing w:after="0" w:line="178" w:lineRule="exact"/>
        <w:rPr>
          <w:rFonts w:ascii="Times New Roman" w:cs="Times New Roman" w:eastAsia="Times New Roman" w:hAnsi="Times New Roman"/>
          <w:sz w:val="22"/>
          <w:szCs w:val="22"/>
          <w:color w:val="auto"/>
        </w:rPr>
      </w:pPr>
    </w:p>
    <w:p>
      <w:pPr>
        <w:ind w:left="1680" w:hanging="299"/>
        <w:spacing w:after="0"/>
        <w:tabs>
          <w:tab w:leader="none" w:pos="1680"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Inventory has not been in transit for more than 75 days;</w:t>
      </w:r>
    </w:p>
    <w:p>
      <w:pPr>
        <w:spacing w:after="0" w:line="219" w:lineRule="exact"/>
        <w:rPr>
          <w:rFonts w:ascii="Times New Roman" w:cs="Times New Roman" w:eastAsia="Times New Roman" w:hAnsi="Times New Roman"/>
          <w:sz w:val="22"/>
          <w:szCs w:val="22"/>
          <w:color w:val="auto"/>
        </w:rPr>
      </w:pPr>
    </w:p>
    <w:p>
      <w:pPr>
        <w:ind w:left="660" w:firstLine="721"/>
        <w:spacing w:after="0" w:line="271" w:lineRule="auto"/>
        <w:tabs>
          <w:tab w:leader="none" w:pos="1732"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common carrier or other third party carrier is not an Affiliate of the Borrower or of the applicable Inventory Vendor; and</w:t>
      </w:r>
    </w:p>
    <w:p>
      <w:pPr>
        <w:spacing w:after="0" w:line="171" w:lineRule="exact"/>
        <w:rPr>
          <w:rFonts w:ascii="Times New Roman" w:cs="Times New Roman" w:eastAsia="Times New Roman" w:hAnsi="Times New Roman"/>
          <w:sz w:val="22"/>
          <w:szCs w:val="22"/>
          <w:color w:val="auto"/>
        </w:rPr>
      </w:pPr>
    </w:p>
    <w:p>
      <w:pPr>
        <w:ind w:left="1640" w:hanging="259"/>
        <w:spacing w:after="0"/>
        <w:tabs>
          <w:tab w:leader="none" w:pos="1640"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Customs Broker for such Inventory is not an Affiliate of the Borrower.</w:t>
      </w:r>
    </w:p>
    <w:p>
      <w:pPr>
        <w:spacing w:after="0" w:line="220"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Eligible Inventory</w:t>
      </w:r>
      <w:r>
        <w:rPr>
          <w:rFonts w:ascii="Times New Roman" w:cs="Times New Roman" w:eastAsia="Times New Roman" w:hAnsi="Times New Roman"/>
          <w:sz w:val="21"/>
          <w:szCs w:val="21"/>
          <w:color w:val="auto"/>
        </w:rPr>
        <w:t>” means, at the time of any determination thereof, without duplication, the Inventory Value of the Inventory of the Borrower and each other Grantor at the time of such determination that is not ineligible for inclusion in the calculation of the Borrowing Base pursuant to any of clauses (a) through (n) below or otherwise deemed by the Administrative Agent or the Majority Lenders in their discretion (not to be exercised unreasonably) to be ineligible for inclusion in the calculation of the Borrowing Base based on the results of collateral and borrowing base evaluations and monitoring conducted by the Administrative Agent and its designated representatives; any such decision by the Administrative Agent or the Majority Lenders shall be made by written notice to the Borrower setting forth in reasonable detail the basis for such decision, and shall become effective for purposes of the first Borrowing Base Certificate that is delivered pursuant to Section 5.09 at least five Business Days after the date of receipt by the Borrower of such written notice. Without limiting the generality of the foregoing, to qualify as “Eligible Inventory” no Person other than the Borrower or another Grantor shall have any direct or indirect ownership, interest or title to such Inventory and no Person other than the Borrower or another Grantor shall be indicated on any purchase order or invoice with respect to such Inventory as having or purporting to have an interest therein. Unless otherwise approved from time to time in writing by the Administrative Agent, no Inventory shall be deemed Eligible Inventory to the extent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32" w:name="page233"/>
    <w:bookmarkEnd w:id="232"/>
    <w:p>
      <w:pPr>
        <w:spacing w:after="0" w:line="271" w:lineRule="auto"/>
        <w:rPr>
          <w:sz w:val="20"/>
          <w:szCs w:val="20"/>
          <w:color w:val="auto"/>
        </w:rPr>
      </w:pPr>
      <w:r>
        <w:rPr>
          <w:rFonts w:ascii="Times New Roman" w:cs="Times New Roman" w:eastAsia="Times New Roman" w:hAnsi="Times New Roman"/>
          <w:sz w:val="22"/>
          <w:szCs w:val="22"/>
          <w:color w:val="auto"/>
        </w:rPr>
        <w:t>such Inventory is accounted for in the Borrower’s (or such Grantor’s, as the case may be) perpetual inventory balance and, without duplication:</w:t>
      </w:r>
    </w:p>
    <w:p>
      <w:pPr>
        <w:spacing w:after="0" w:line="158" w:lineRule="exact"/>
        <w:rPr>
          <w:sz w:val="20"/>
          <w:szCs w:val="20"/>
          <w:color w:val="auto"/>
        </w:rPr>
      </w:pPr>
    </w:p>
    <w:p>
      <w:pPr>
        <w:jc w:val="both"/>
        <w:ind w:left="660" w:firstLine="721"/>
        <w:spacing w:after="0" w:line="263" w:lineRule="auto"/>
        <w:tabs>
          <w:tab w:leader="none" w:pos="1679"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not owned solely by the Borrower or another Grantor or the Borrower or another Grantor does not have good and valid title thereto or any interest therein has been sold pursuant to, or is otherwise subject to, a Qualified Receivables Transaction; or</w:t>
      </w:r>
    </w:p>
    <w:p>
      <w:pPr>
        <w:spacing w:after="0" w:line="167" w:lineRule="exact"/>
        <w:rPr>
          <w:rFonts w:ascii="Times New Roman" w:cs="Times New Roman" w:eastAsia="Times New Roman" w:hAnsi="Times New Roman"/>
          <w:sz w:val="22"/>
          <w:szCs w:val="22"/>
          <w:color w:val="auto"/>
        </w:rPr>
      </w:pPr>
    </w:p>
    <w:p>
      <w:pPr>
        <w:ind w:left="1680" w:hanging="299"/>
        <w:spacing w:after="0"/>
        <w:tabs>
          <w:tab w:leader="none" w:pos="1680"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not located in the United States or Canada; or</w:t>
      </w:r>
    </w:p>
    <w:p>
      <w:pPr>
        <w:spacing w:after="0" w:line="219" w:lineRule="exact"/>
        <w:rPr>
          <w:rFonts w:ascii="Times New Roman" w:cs="Times New Roman" w:eastAsia="Times New Roman" w:hAnsi="Times New Roman"/>
          <w:sz w:val="22"/>
          <w:szCs w:val="22"/>
          <w:color w:val="auto"/>
        </w:rPr>
      </w:pPr>
    </w:p>
    <w:p>
      <w:pPr>
        <w:jc w:val="both"/>
        <w:ind w:left="660" w:firstLine="721"/>
        <w:spacing w:after="0" w:line="263" w:lineRule="auto"/>
        <w:tabs>
          <w:tab w:leader="none" w:pos="1692"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 is not either (x) located on a Permitted Inventory Location or (y) in transit from a Permitted Inventory Location to another Permitted Inventory Location or (ii) is located at a dormant facility that is no longer operated by the Borrower or another Grantor; or</w:t>
      </w:r>
    </w:p>
    <w:p>
      <w:pPr>
        <w:spacing w:after="0" w:line="167" w:lineRule="exact"/>
        <w:rPr>
          <w:rFonts w:ascii="Times New Roman" w:cs="Times New Roman" w:eastAsia="Times New Roman" w:hAnsi="Times New Roman"/>
          <w:sz w:val="22"/>
          <w:szCs w:val="22"/>
          <w:color w:val="auto"/>
        </w:rPr>
      </w:pPr>
    </w:p>
    <w:p>
      <w:pPr>
        <w:jc w:val="both"/>
        <w:ind w:left="660" w:firstLine="721"/>
        <w:spacing w:after="0" w:line="250" w:lineRule="auto"/>
        <w:tabs>
          <w:tab w:leader="none" w:pos="1691"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(i) goods returned or rejected by the Borrower’s or another Grantor’s customers and is not saleable in the ordinary course of business of the Borrower or another Grantor, (ii) Inventory in transit on the water via ship or other marine vessel to the Borrower or another Grantor (outside the United States or Canada), (iii) goods in transit from the Borrower or another Grantor to customers of the Borrower or another Grantor, or (iv) Inventory in transit to the Borrower or another Grantor from a third party vendor; or</w:t>
      </w:r>
    </w:p>
    <w:p>
      <w:pPr>
        <w:spacing w:after="0" w:line="194" w:lineRule="exact"/>
        <w:rPr>
          <w:rFonts w:ascii="Times New Roman" w:cs="Times New Roman" w:eastAsia="Times New Roman" w:hAnsi="Times New Roman"/>
          <w:sz w:val="22"/>
          <w:szCs w:val="22"/>
          <w:color w:val="auto"/>
        </w:rPr>
      </w:pPr>
    </w:p>
    <w:p>
      <w:pPr>
        <w:jc w:val="both"/>
        <w:ind w:left="660" w:firstLine="721"/>
        <w:spacing w:after="0" w:line="257" w:lineRule="auto"/>
        <w:tabs>
          <w:tab w:leader="none" w:pos="1679"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Inventory (other than Raw Materials or Work in Process) not sold in the ordinary course of business of the Borrower or another Grantor, including engineering stores, miscellaneous supplies, packaging or shipping materials, cartons, repair parts, fuel, labels, miscellaneous spare parts, samples, prototypes, displays or display items; or</w:t>
      </w:r>
    </w:p>
    <w:p>
      <w:pPr>
        <w:spacing w:after="0" w:line="172" w:lineRule="exact"/>
        <w:rPr>
          <w:rFonts w:ascii="Times New Roman" w:cs="Times New Roman" w:eastAsia="Times New Roman" w:hAnsi="Times New Roman"/>
          <w:sz w:val="22"/>
          <w:szCs w:val="22"/>
          <w:color w:val="auto"/>
        </w:rPr>
      </w:pPr>
    </w:p>
    <w:p>
      <w:pPr>
        <w:jc w:val="both"/>
        <w:ind w:left="660" w:firstLine="721"/>
        <w:spacing w:after="0" w:line="253" w:lineRule="auto"/>
        <w:tabs>
          <w:tab w:leader="none" w:pos="1655"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not subject to a valid and perfected first priority Lien in favor of the Administrative Agent for the benefit of the Secured Parties to the extent that such a Lien may be perfected by filing UCC financing statements or such other personal property security filings or registrations as may be required under the laws of the applicable jurisdiction in which such Inventory is located, subject to no other Liens other than Permitted Encumbrances (other than those described in clause (f) of the definition of “Permitted Encumbrances”); or</w:t>
      </w:r>
    </w:p>
    <w:p>
      <w:pPr>
        <w:spacing w:after="0" w:line="178" w:lineRule="exact"/>
        <w:rPr>
          <w:rFonts w:ascii="Times New Roman" w:cs="Times New Roman" w:eastAsia="Times New Roman" w:hAnsi="Times New Roman"/>
          <w:sz w:val="22"/>
          <w:szCs w:val="22"/>
          <w:color w:val="auto"/>
        </w:rPr>
      </w:pPr>
    </w:p>
    <w:p>
      <w:pPr>
        <w:ind w:left="1680" w:hanging="299"/>
        <w:spacing w:after="0"/>
        <w:tabs>
          <w:tab w:leader="none" w:pos="1680"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Work in Process that will be reclassified as Raw Material prior to becoming Finished Goods; or</w:t>
      </w:r>
    </w:p>
    <w:p>
      <w:pPr>
        <w:spacing w:after="0" w:line="219" w:lineRule="exact"/>
        <w:rPr>
          <w:rFonts w:ascii="Times New Roman" w:cs="Times New Roman" w:eastAsia="Times New Roman" w:hAnsi="Times New Roman"/>
          <w:sz w:val="22"/>
          <w:szCs w:val="22"/>
          <w:color w:val="auto"/>
        </w:rPr>
      </w:pPr>
    </w:p>
    <w:p>
      <w:pPr>
        <w:jc w:val="both"/>
        <w:ind w:left="660" w:right="20" w:firstLine="721"/>
        <w:spacing w:after="0" w:line="281" w:lineRule="auto"/>
        <w:tabs>
          <w:tab w:leader="none" w:pos="1691" w:val="left"/>
        </w:tabs>
        <w:numPr>
          <w:ilvl w:val="0"/>
          <w:numId w:val="2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is consigned or at a customer location (other than Inventory consigned to original equipment manufacturers at no more than 20 locations in total, each of which has Inventory of the Borrower and the other Grantors with an Inventory Value in excess of $300,000 and with respect to which an Access Agreement has been obtained);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33" w:name="page234"/>
    <w:bookmarkEnd w:id="233"/>
    <w:p>
      <w:pPr>
        <w:ind w:left="660" w:firstLine="721"/>
        <w:spacing w:after="0" w:line="271" w:lineRule="auto"/>
        <w:tabs>
          <w:tab w:leader="none" w:pos="1643"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(i) being processed offsite at a third party processor at premises neither reflected in the Rent Reserve nor subject to a Lien Waiver or (ii) in transit to or from any such third party processor; or</w:t>
      </w:r>
    </w:p>
    <w:p>
      <w:pPr>
        <w:spacing w:after="0" w:line="157" w:lineRule="exact"/>
        <w:rPr>
          <w:rFonts w:ascii="Times New Roman" w:cs="Times New Roman" w:eastAsia="Times New Roman" w:hAnsi="Times New Roman"/>
          <w:sz w:val="22"/>
          <w:szCs w:val="22"/>
          <w:color w:val="auto"/>
        </w:rPr>
      </w:pPr>
    </w:p>
    <w:p>
      <w:pPr>
        <w:jc w:val="both"/>
        <w:ind w:left="660" w:firstLine="721"/>
        <w:spacing w:after="0" w:line="263" w:lineRule="auto"/>
        <w:tabs>
          <w:tab w:leader="none" w:pos="1670"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classified by the Borrower or another Grantor as “obsolete”, “unmerchantable” or “off spec without a ready market”, or does not otherwise conform in all material respects to the applicable representations and warranties contained in the Credit Documents; or</w:t>
      </w:r>
    </w:p>
    <w:p>
      <w:pPr>
        <w:spacing w:after="0" w:line="167" w:lineRule="exact"/>
        <w:rPr>
          <w:rFonts w:ascii="Times New Roman" w:cs="Times New Roman" w:eastAsia="Times New Roman" w:hAnsi="Times New Roman"/>
          <w:sz w:val="22"/>
          <w:szCs w:val="22"/>
          <w:color w:val="auto"/>
        </w:rPr>
      </w:pPr>
    </w:p>
    <w:p>
      <w:pPr>
        <w:ind w:left="1680" w:hanging="299"/>
        <w:spacing w:after="0"/>
        <w:tabs>
          <w:tab w:leader="none" w:pos="1680"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marked for return by the Borrower or another Grantor to the vendor of such Inventory; or</w:t>
      </w:r>
    </w:p>
    <w:p>
      <w:pPr>
        <w:spacing w:after="0" w:line="219" w:lineRule="exact"/>
        <w:rPr>
          <w:rFonts w:ascii="Times New Roman" w:cs="Times New Roman" w:eastAsia="Times New Roman" w:hAnsi="Times New Roman"/>
          <w:sz w:val="22"/>
          <w:szCs w:val="22"/>
          <w:color w:val="auto"/>
        </w:rPr>
      </w:pPr>
    </w:p>
    <w:p>
      <w:pPr>
        <w:ind w:left="660" w:right="20" w:firstLine="721"/>
        <w:spacing w:after="0" w:line="271" w:lineRule="auto"/>
        <w:tabs>
          <w:tab w:leader="none" w:pos="1670"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does not meet in all material respects all materials standards imposed by any Governmental Authority having regulatory authority over it; or</w:t>
      </w:r>
    </w:p>
    <w:p>
      <w:pPr>
        <w:spacing w:after="0" w:line="171" w:lineRule="exact"/>
        <w:rPr>
          <w:rFonts w:ascii="Times New Roman" w:cs="Times New Roman" w:eastAsia="Times New Roman" w:hAnsi="Times New Roman"/>
          <w:sz w:val="22"/>
          <w:szCs w:val="22"/>
          <w:color w:val="auto"/>
        </w:rPr>
      </w:pPr>
    </w:p>
    <w:p>
      <w:pPr>
        <w:ind w:left="1760" w:hanging="379"/>
        <w:spacing w:after="0"/>
        <w:tabs>
          <w:tab w:leader="none" w:pos="1760"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classified by the Borrower or another Grantor as casings used for the retreading of commercial truck</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tires; or</w:t>
      </w:r>
    </w:p>
    <w:p>
      <w:pPr>
        <w:spacing w:after="0" w:line="195" w:lineRule="exact"/>
        <w:rPr>
          <w:rFonts w:ascii="Times New Roman" w:cs="Times New Roman" w:eastAsia="Times New Roman" w:hAnsi="Times New Roman"/>
          <w:sz w:val="22"/>
          <w:szCs w:val="22"/>
          <w:color w:val="auto"/>
        </w:rPr>
      </w:pPr>
    </w:p>
    <w:p>
      <w:pPr>
        <w:ind w:left="1680" w:hanging="299"/>
        <w:spacing w:after="0"/>
        <w:tabs>
          <w:tab w:leader="none" w:pos="1680"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classified by the Borrower or another Grantor as “shipped but not billed”.</w:t>
      </w:r>
    </w:p>
    <w:p>
      <w:pPr>
        <w:spacing w:after="0" w:line="22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Investment Grade Accounts Receivable</w:t>
      </w:r>
      <w:r>
        <w:rPr>
          <w:rFonts w:ascii="Times New Roman" w:cs="Times New Roman" w:eastAsia="Times New Roman" w:hAnsi="Times New Roman"/>
          <w:sz w:val="22"/>
          <w:szCs w:val="22"/>
          <w:color w:val="auto"/>
        </w:rPr>
        <w:t>” means, at the time of any determination, all Eligible Accounts Receivable for which the Account Debtor in respect of such Eligible Accounts Receivable is rated Investment Grade by either Moody’s or Standard &amp; Poor’s.</w:t>
      </w:r>
    </w:p>
    <w:p>
      <w:pPr>
        <w:spacing w:after="0" w:line="18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Eligible Machinery and Equipment</w:t>
      </w:r>
      <w:r>
        <w:rPr>
          <w:rFonts w:ascii="Times New Roman" w:cs="Times New Roman" w:eastAsia="Times New Roman" w:hAnsi="Times New Roman"/>
          <w:sz w:val="21"/>
          <w:szCs w:val="21"/>
          <w:color w:val="auto"/>
        </w:rPr>
        <w:t>” means, at the time of any determination thereof, without duplication, the value of the Goodyear Equipment of the Borrower and each other Grantor at the time of such determination that is not ineligible for inclusion in the calculation of the Borrowing Base pursuant to any of clauses (a) through (k) below or otherwise deemed by the Administrative Agent or the Majority Lenders in their discretion (not to be exercised unreasonably) to be ineligible for inclusion in the calculation of the Borrowing Base based on the results of collateral and borrowing base evaluations and monitoring conducted by the Administrative Agent and its designated representatives; any such decision by the Administrative Agent or the Majority Lenders shall be made by written notice to the Borrower setting forth in reasonable detail the basis for such decision and shall become effective for purposes of the first Borrowing Base Certificate that is delivered pursuant to Section 5.09 at least five Business Days after receipt by the Borrower of such written notice. Without limiting the generality of the foregoing, to qualify as “Eligible Machinery and Equipment” no Person other than the Borrower or another Grantor shall have any direct or indirect ownership, interest or title to such Goodyear Equipment. Unless otherwise approved from time to time in writing by the Administrative Agent, Goodyear Equipment shall not be Eligible Machinery and Equipment if, without duplication: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34" w:name="page235"/>
    <w:bookmarkEnd w:id="234"/>
    <w:p>
      <w:pPr>
        <w:ind w:left="660" w:firstLine="721"/>
        <w:spacing w:after="0" w:line="271" w:lineRule="auto"/>
        <w:tabs>
          <w:tab w:leader="none" w:pos="1679"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not owned solely by the Borrower or another Grantor or the Borrower or another Grantor does not have good and valid title thereto; or</w:t>
      </w:r>
    </w:p>
    <w:p>
      <w:pPr>
        <w:spacing w:after="0" w:line="157" w:lineRule="exact"/>
        <w:rPr>
          <w:rFonts w:ascii="Times New Roman" w:cs="Times New Roman" w:eastAsia="Times New Roman" w:hAnsi="Times New Roman"/>
          <w:sz w:val="22"/>
          <w:szCs w:val="22"/>
          <w:color w:val="auto"/>
        </w:rPr>
      </w:pPr>
    </w:p>
    <w:p>
      <w:pPr>
        <w:ind w:left="1700" w:hanging="319"/>
        <w:spacing w:after="0"/>
        <w:tabs>
          <w:tab w:leader="none" w:pos="1700"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full purchase price for such Goodyear Equipment has not been paid by the Borrower or the applicable</w:t>
      </w:r>
    </w:p>
    <w:p>
      <w:pPr>
        <w:spacing w:after="0" w:line="29"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Grantor; or</w:t>
      </w:r>
    </w:p>
    <w:p>
      <w:pPr>
        <w:spacing w:after="0" w:line="207" w:lineRule="exact"/>
        <w:rPr>
          <w:rFonts w:ascii="Times New Roman" w:cs="Times New Roman" w:eastAsia="Times New Roman" w:hAnsi="Times New Roman"/>
          <w:sz w:val="22"/>
          <w:szCs w:val="22"/>
          <w:color w:val="auto"/>
        </w:rPr>
      </w:pPr>
    </w:p>
    <w:p>
      <w:pPr>
        <w:ind w:left="1680" w:hanging="299"/>
        <w:spacing w:after="0"/>
        <w:tabs>
          <w:tab w:leader="none" w:pos="1680"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not located on property in the United States or Canada owned by the Borrower or another Grantor; or</w:t>
      </w:r>
    </w:p>
    <w:p>
      <w:pPr>
        <w:spacing w:after="0" w:line="219" w:lineRule="exact"/>
        <w:rPr>
          <w:rFonts w:ascii="Times New Roman" w:cs="Times New Roman" w:eastAsia="Times New Roman" w:hAnsi="Times New Roman"/>
          <w:sz w:val="22"/>
          <w:szCs w:val="22"/>
          <w:color w:val="auto"/>
        </w:rPr>
      </w:pPr>
    </w:p>
    <w:p>
      <w:pPr>
        <w:ind w:left="660" w:firstLine="721"/>
        <w:spacing w:after="0" w:line="271" w:lineRule="auto"/>
        <w:tabs>
          <w:tab w:leader="none" w:pos="1691"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obsolete, unmerchantable or is not in good working condition (ordinary wear and tear excepted) or is not used or held for use by the Borrower or another Grantor in the ordinary course of business; or</w:t>
      </w:r>
    </w:p>
    <w:p>
      <w:pPr>
        <w:spacing w:after="0" w:line="157" w:lineRule="exact"/>
        <w:rPr>
          <w:rFonts w:ascii="Times New Roman" w:cs="Times New Roman" w:eastAsia="Times New Roman" w:hAnsi="Times New Roman"/>
          <w:sz w:val="22"/>
          <w:szCs w:val="22"/>
          <w:color w:val="auto"/>
        </w:rPr>
      </w:pPr>
    </w:p>
    <w:p>
      <w:pPr>
        <w:ind w:left="1680" w:hanging="299"/>
        <w:spacing w:after="0"/>
        <w:tabs>
          <w:tab w:leader="none" w:pos="1680"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damaged or defective and is not repairable; or</w:t>
      </w:r>
    </w:p>
    <w:p>
      <w:pPr>
        <w:spacing w:after="0" w:line="233" w:lineRule="exact"/>
        <w:rPr>
          <w:rFonts w:ascii="Times New Roman" w:cs="Times New Roman" w:eastAsia="Times New Roman" w:hAnsi="Times New Roman"/>
          <w:sz w:val="22"/>
          <w:szCs w:val="22"/>
          <w:color w:val="auto"/>
        </w:rPr>
      </w:pPr>
    </w:p>
    <w:p>
      <w:pPr>
        <w:jc w:val="both"/>
        <w:ind w:left="660" w:firstLine="721"/>
        <w:spacing w:after="0" w:line="257" w:lineRule="auto"/>
        <w:tabs>
          <w:tab w:leader="none" w:pos="1655"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subject to (within the meaning of Section 9-311 of the UCC) any certificate of title (or comparable) statute (unless the Administrative Agent has a first priority, perfected Lien under such statute and the Administrative Agent has possession and custody of such certificate); or</w:t>
      </w:r>
    </w:p>
    <w:p>
      <w:pPr>
        <w:spacing w:after="0" w:line="172" w:lineRule="exact"/>
        <w:rPr>
          <w:rFonts w:ascii="Times New Roman" w:cs="Times New Roman" w:eastAsia="Times New Roman" w:hAnsi="Times New Roman"/>
          <w:sz w:val="22"/>
          <w:szCs w:val="22"/>
          <w:color w:val="auto"/>
        </w:rPr>
      </w:pPr>
    </w:p>
    <w:p>
      <w:pPr>
        <w:jc w:val="both"/>
        <w:ind w:left="660" w:firstLine="721"/>
        <w:spacing w:after="0" w:line="251" w:lineRule="auto"/>
        <w:tabs>
          <w:tab w:leader="none" w:pos="1705"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(x) is not subject to a valid and perfected first priority Lien in favor of the Administrative Agent for the benefit of the Secured Parties to the extent that such a Lien may be perfected by filing UCC financing statements or such other personal property security filings or registrations as may be required under the laws of the applicable jurisdiction in which such Goodyear Equipment is located, subject to no other Liens other than Permitted Encumbrances or (y) does not otherwise conform in all material respects to the applicable representations and warranties contained in the Credit Documents; or</w:t>
      </w:r>
    </w:p>
    <w:p>
      <w:pPr>
        <w:spacing w:after="0" w:line="181" w:lineRule="exact"/>
        <w:rPr>
          <w:rFonts w:ascii="Times New Roman" w:cs="Times New Roman" w:eastAsia="Times New Roman" w:hAnsi="Times New Roman"/>
          <w:sz w:val="22"/>
          <w:szCs w:val="22"/>
          <w:color w:val="auto"/>
        </w:rPr>
      </w:pPr>
    </w:p>
    <w:p>
      <w:pPr>
        <w:ind w:left="1680" w:hanging="299"/>
        <w:spacing w:after="0"/>
        <w:tabs>
          <w:tab w:leader="none" w:pos="1680"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not serviced or maintained in accordance with industry standards; or</w:t>
      </w:r>
    </w:p>
    <w:p>
      <w:pPr>
        <w:spacing w:after="0" w:line="219" w:lineRule="exact"/>
        <w:rPr>
          <w:rFonts w:ascii="Times New Roman" w:cs="Times New Roman" w:eastAsia="Times New Roman" w:hAnsi="Times New Roman"/>
          <w:sz w:val="22"/>
          <w:szCs w:val="22"/>
          <w:color w:val="auto"/>
        </w:rPr>
      </w:pPr>
    </w:p>
    <w:p>
      <w:pPr>
        <w:ind w:left="660" w:right="20" w:firstLine="721"/>
        <w:spacing w:after="0" w:line="284" w:lineRule="auto"/>
        <w:tabs>
          <w:tab w:leader="none" w:pos="1643"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does not conform in all material respects to all applicable standards imposed by any relevant Governmental Authority; or</w:t>
      </w:r>
    </w:p>
    <w:p>
      <w:pPr>
        <w:spacing w:after="0" w:line="143" w:lineRule="exact"/>
        <w:rPr>
          <w:rFonts w:ascii="Times New Roman" w:cs="Times New Roman" w:eastAsia="Times New Roman" w:hAnsi="Times New Roman"/>
          <w:sz w:val="22"/>
          <w:szCs w:val="22"/>
          <w:color w:val="auto"/>
        </w:rPr>
      </w:pPr>
    </w:p>
    <w:p>
      <w:pPr>
        <w:jc w:val="both"/>
        <w:ind w:left="660" w:firstLine="721"/>
        <w:spacing w:after="0" w:line="257" w:lineRule="auto"/>
        <w:tabs>
          <w:tab w:leader="none" w:pos="1670"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not covered by property insurance required by this Agreement in respect of which the Administrative Agent has been named as a lender loss payee pursuant to a lender loss payee endorsement reasonably acceptable to the Administrative Agent; or</w:t>
      </w:r>
    </w:p>
    <w:p>
      <w:pPr>
        <w:spacing w:after="0" w:line="172" w:lineRule="exact"/>
        <w:rPr>
          <w:rFonts w:ascii="Times New Roman" w:cs="Times New Roman" w:eastAsia="Times New Roman" w:hAnsi="Times New Roman"/>
          <w:sz w:val="22"/>
          <w:szCs w:val="22"/>
          <w:color w:val="auto"/>
        </w:rPr>
      </w:pPr>
    </w:p>
    <w:p>
      <w:pPr>
        <w:jc w:val="both"/>
        <w:ind w:left="660" w:firstLine="721"/>
        <w:spacing w:after="0" w:line="253" w:lineRule="auto"/>
        <w:tabs>
          <w:tab w:leader="none" w:pos="1718"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(x) subject to any agreement which materially restricts the ability of the Credit Parties to use, sell, transport or dispose of such Goodyear Equipment or which materially restricts the Administrative Agent’s ability to take possession of, sell or otherwise dispose of such Goodyear Equipment (including if such Goodyear Equipment is subject to any licensing or similar requirement or if its use or operation requires proprietary software that is not freely assignable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35" w:name="page236"/>
    <w:bookmarkEnd w:id="235"/>
    <w:p>
      <w:pPr>
        <w:ind w:left="660"/>
        <w:spacing w:after="0"/>
        <w:rPr>
          <w:sz w:val="20"/>
          <w:szCs w:val="20"/>
          <w:color w:val="auto"/>
        </w:rPr>
      </w:pPr>
      <w:r>
        <w:rPr>
          <w:rFonts w:ascii="Times New Roman" w:cs="Times New Roman" w:eastAsia="Times New Roman" w:hAnsi="Times New Roman"/>
          <w:sz w:val="22"/>
          <w:szCs w:val="22"/>
          <w:color w:val="auto"/>
        </w:rPr>
        <w:t>Administrative Agent) or (y) located at a facility that has ceased operations (other than on a temporary basis).</w:t>
      </w:r>
    </w:p>
    <w:p>
      <w:pPr>
        <w:spacing w:after="0" w:line="22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Raw Materials</w:t>
      </w:r>
      <w:r>
        <w:rPr>
          <w:rFonts w:ascii="Times New Roman" w:cs="Times New Roman" w:eastAsia="Times New Roman" w:hAnsi="Times New Roman"/>
          <w:sz w:val="22"/>
          <w:szCs w:val="22"/>
          <w:color w:val="auto"/>
        </w:rPr>
        <w:t>” means, on any date, the Inventory Value of all Eligible Inventory of the Borrower and each Grantor defined as Raw Materials on such date as shown on the Borrower’s (or such Grantor’s, as the case may be) perpetual inventory records in accordance with its (or such Grantor’s, as the case may be) current and historical accounting practices.</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Work in Process</w:t>
      </w:r>
      <w:r>
        <w:rPr>
          <w:rFonts w:ascii="Times New Roman" w:cs="Times New Roman" w:eastAsia="Times New Roman" w:hAnsi="Times New Roman"/>
          <w:sz w:val="22"/>
          <w:szCs w:val="22"/>
          <w:color w:val="auto"/>
        </w:rPr>
        <w:t>” means, on any date, the Inventory Value of all Eligible Inventory of the Borrower and each Grantor defined as Work in Process on such date as shown on the Borrower’s (or such Grantor’s, as the case may be) perpetual inventory records in accordance with its (or such Grantor’s, as the case may be) current and historical accounting practices.</w:t>
      </w:r>
    </w:p>
    <w:p>
      <w:pPr>
        <w:spacing w:after="0" w:line="17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Laws</w:t>
      </w:r>
      <w:r>
        <w:rPr>
          <w:rFonts w:ascii="Times New Roman" w:cs="Times New Roman" w:eastAsia="Times New Roman" w:hAnsi="Times New Roman"/>
          <w:sz w:val="22"/>
          <w:szCs w:val="22"/>
          <w:color w:val="auto"/>
        </w:rPr>
        <w:t>” means all laws, rules, regulations, codes, ordinances, orders, decrees, judgments, injunctions, notices or binding agreements issued, promulgated or entered into by any Governmental Authority, relating in any way to the environment, the preservation or reclamation of natural resources, the presence, management or release of, or exposure to, any Hazardous Materials or to health and safety matters.</w:t>
      </w:r>
    </w:p>
    <w:p>
      <w:pPr>
        <w:spacing w:after="0" w:line="179" w:lineRule="exact"/>
        <w:rPr>
          <w:sz w:val="20"/>
          <w:szCs w:val="20"/>
          <w:color w:val="auto"/>
        </w:rPr>
      </w:pPr>
    </w:p>
    <w:p>
      <w:pPr>
        <w:jc w:val="both"/>
        <w:ind w:firstLine="1296"/>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Environmental Liability</w:t>
      </w:r>
      <w:r>
        <w:rPr>
          <w:rFonts w:ascii="Times New Roman" w:cs="Times New Roman" w:eastAsia="Times New Roman" w:hAnsi="Times New Roman"/>
          <w:sz w:val="21"/>
          <w:szCs w:val="21"/>
          <w:color w:val="auto"/>
        </w:rPr>
        <w:t>” means all liabilities, obligations, damages, losses, claims, actions, suits, judgments, orders, fines, penalties, fees, expenses and costs (including administrative oversight costs, natural resource damages and remediation costs), whether contingent or otherwise, arising out of or relating to (a) compliance or non-compliance with any Environmental Law, (b) the generation, use, handling, transportation, storage, treatment or disposal of any Hazardous Materials,</w:t>
      </w:r>
    </w:p>
    <w:p>
      <w:pPr>
        <w:spacing w:after="0" w:line="1" w:lineRule="exact"/>
        <w:rPr>
          <w:sz w:val="20"/>
          <w:szCs w:val="20"/>
          <w:color w:val="auto"/>
        </w:rPr>
      </w:pPr>
    </w:p>
    <w:p>
      <w:pPr>
        <w:ind w:firstLine="8"/>
        <w:spacing w:after="0" w:line="248" w:lineRule="auto"/>
        <w:tabs>
          <w:tab w:leader="none" w:pos="323"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exposure to any Hazardous Materials, (d) the release of any Hazardous Materials or (e) any contract, agreement or other consensual arrangement pursuant to which liability is assumed or imposed with respect to any of the foregoing.</w:t>
      </w:r>
    </w:p>
    <w:p>
      <w:pPr>
        <w:spacing w:after="0" w:line="19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 as amended from time to time, and the rules and regulations promulgated thereunder.</w:t>
      </w:r>
    </w:p>
    <w:p>
      <w:pPr>
        <w:spacing w:after="0" w:line="15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Affiliate</w:t>
      </w:r>
      <w:r>
        <w:rPr>
          <w:rFonts w:ascii="Times New Roman" w:cs="Times New Roman" w:eastAsia="Times New Roman" w:hAnsi="Times New Roman"/>
          <w:sz w:val="22"/>
          <w:szCs w:val="22"/>
          <w:color w:val="auto"/>
        </w:rPr>
        <w:t>” means any trade or business (whether or not incorporated) that, together with the Borrower or any Subsidiary, is treated as a single employer under Section 414(b) or (c) of the Code or, solely for purposes of Section 302 of ERISA and Section 412 of the Code, is treated as a single employer under Section 414 of the Code.</w:t>
      </w:r>
    </w:p>
    <w:p>
      <w:pPr>
        <w:spacing w:after="0" w:line="18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Event</w:t>
      </w:r>
      <w:r>
        <w:rPr>
          <w:rFonts w:ascii="Times New Roman" w:cs="Times New Roman" w:eastAsia="Times New Roman" w:hAnsi="Times New Roman"/>
          <w:sz w:val="22"/>
          <w:szCs w:val="22"/>
          <w:color w:val="auto"/>
        </w:rPr>
        <w:t>” means (a) any “reportable event”, as defined in Section 4043 of ERISA or the regulations issued thereunder, with respect to any Plan (other than an event for which the 30-day notice period is waived or an event described in Section 4043.33 of Title 29 of the Code of Federal Regulations); (b) any failure by any Plan to satisfy the minimum funding standards (as defined in Section 412 of the Code or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36" w:name="page237"/>
    <w:bookmarkEnd w:id="236"/>
    <w:p>
      <w:pPr>
        <w:jc w:val="both"/>
        <w:spacing w:after="0" w:line="248" w:lineRule="auto"/>
        <w:rPr>
          <w:sz w:val="20"/>
          <w:szCs w:val="20"/>
          <w:color w:val="auto"/>
        </w:rPr>
      </w:pPr>
      <w:r>
        <w:rPr>
          <w:rFonts w:ascii="Times New Roman" w:cs="Times New Roman" w:eastAsia="Times New Roman" w:hAnsi="Times New Roman"/>
          <w:sz w:val="22"/>
          <w:szCs w:val="22"/>
          <w:color w:val="auto"/>
        </w:rPr>
        <w:t>302 of ERISA) applicable to such Plan as to which a waiver has not been obtained; (c) the incurrence by the Borrower, a Subsidiary or any ERISA Affiliate of any liability under Title IV of ERISA with respect to the termination of any Plan; (d) the treatment of a Plan amendment as a termination under Section 4041 of ERISA; (e) any event or condition, other than the Transactions, that would be materially likely to result in the termination of, or the appointment of a trustee to administer, any Plan or Multiemployer Plan under Section 4042 of ERISA; (f) the receipt by the Borrower, a Subsidiary or any ERISA Affiliate from the PBGC or a plan administrator of any notice of an intention to terminate any Plan or to appoint a trustee to administer any Plan; (g) the incurrence by the Borrower, any Subsidiary or any ERISA Affiliate of any liability under Title IV of ERISA with respect to the withdrawal or partial withdrawal from any Plan or Multiemployer Plan; or (h) the receipt by the Borrower, any Subsidiary or any ERISA Affiliate of any notice, or the receipt by any Multiemployer Plan from the Borrower, any Subsidiary or any ERISA Affiliate of any notice, concerning the imposition of Withdrawal Liability or a determination that a Multiemployer Plan is, or is expected to be, insolvent, within the meaning of Title IV of ERISA or in critical status, within the meaning of Section 305 of ERISA.</w:t>
      </w:r>
    </w:p>
    <w:p>
      <w:pPr>
        <w:spacing w:after="0" w:line="18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 Bail-In Legislation Schedule</w:t>
      </w:r>
      <w:r>
        <w:rPr>
          <w:rFonts w:ascii="Times New Roman" w:cs="Times New Roman" w:eastAsia="Times New Roman" w:hAnsi="Times New Roman"/>
          <w:sz w:val="22"/>
          <w:szCs w:val="22"/>
          <w:color w:val="auto"/>
        </w:rPr>
        <w:t>” has the meaning set forth in Section 9.21.</w:t>
      </w:r>
    </w:p>
    <w:p>
      <w:pPr>
        <w:spacing w:after="0" w:line="220"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w:t>
      </w:r>
      <w:r>
        <w:rPr>
          <w:rFonts w:ascii="Times New Roman" w:cs="Times New Roman" w:eastAsia="Times New Roman" w:hAnsi="Times New Roman"/>
          <w:sz w:val="22"/>
          <w:szCs w:val="22"/>
          <w:color w:val="auto"/>
        </w:rPr>
        <w:t>” or “€” means the lawful currency of the member states of the European Union that have adopted a single currency in accordance with applicable law or treaty.</w:t>
      </w:r>
    </w:p>
    <w:p>
      <w:pPr>
        <w:spacing w:after="0" w:line="144"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Euro Equivalent</w:t>
      </w:r>
      <w:r>
        <w:rPr>
          <w:rFonts w:ascii="Times New Roman" w:cs="Times New Roman" w:eastAsia="Times New Roman" w:hAnsi="Times New Roman"/>
          <w:sz w:val="21"/>
          <w:szCs w:val="21"/>
          <w:color w:val="auto"/>
        </w:rPr>
        <w:t>” means with respect to any monetary amount in a currency other than Euros, at any time of determination thereof, the amount of Euros obtained by converting such foreign currency involved in such computation into Euros at the spot rate for the purchase of Euros with the applicable foreign currency as published in The Wall Street Journal in the “Exchange Rates” column under the heading “Currency Trading” on the date two Business Days prior to such determination.</w:t>
      </w:r>
    </w:p>
    <w:p>
      <w:pPr>
        <w:spacing w:after="0" w:line="177"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European Bank Indebtedness</w:t>
      </w:r>
      <w:r>
        <w:rPr>
          <w:rFonts w:ascii="Times New Roman" w:cs="Times New Roman" w:eastAsia="Times New Roman" w:hAnsi="Times New Roman"/>
          <w:sz w:val="21"/>
          <w:szCs w:val="21"/>
          <w:color w:val="auto"/>
        </w:rPr>
        <w:t>” means any and all amounts payable under or in respect of the European Facilities Agreement and any Refinancing Indebtedness with respect thereto or with respect to such Refinancing Indebtedness, as amended from time to time, including principal, premium (if any), interest (including interest accruing on or after the filing of any petition in bankruptcy or for reorganization relating to the Borrower, whether or not a claim for post-filing interest is allowed in such proceedings), fees, charges, expenses, reimbursement obligations and all other amounts payable thereunder or in respect thereof.</w:t>
      </w:r>
    </w:p>
    <w:p>
      <w:pPr>
        <w:spacing w:after="0" w:line="17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European Facilities Agreement</w:t>
      </w:r>
      <w:r>
        <w:rPr>
          <w:rFonts w:ascii="Times New Roman" w:cs="Times New Roman" w:eastAsia="Times New Roman" w:hAnsi="Times New Roman"/>
          <w:sz w:val="22"/>
          <w:szCs w:val="22"/>
          <w:color w:val="auto"/>
        </w:rPr>
        <w:t>” means the Amended and Restated Revolving Credit Agreement dated as of October 12, 2022, among GEBV, the other borrowers thereunder, certain lenders, certain issuing banks, J.P. Morgan SE, as administrative agent, and JPMCB, as collateral agent, as amended, restated, supplemented, waived, replaced (whether or not upon termination, and whether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37" w:name="page238"/>
    <w:bookmarkEnd w:id="237"/>
    <w:p>
      <w:pPr>
        <w:jc w:val="both"/>
        <w:spacing w:after="0" w:line="257" w:lineRule="auto"/>
        <w:rPr>
          <w:sz w:val="20"/>
          <w:szCs w:val="20"/>
          <w:color w:val="auto"/>
        </w:rPr>
      </w:pPr>
      <w:r>
        <w:rPr>
          <w:rFonts w:ascii="Times New Roman" w:cs="Times New Roman" w:eastAsia="Times New Roman" w:hAnsi="Times New Roman"/>
          <w:sz w:val="22"/>
          <w:szCs w:val="22"/>
          <w:color w:val="auto"/>
        </w:rPr>
        <w:t>original lenders or otherwise), refinanced, restructured or otherwise modified from time to time (except to the extent that any such amendment, restatement, supplement, waiver, replacement, refinancing, restructuring or other modification thereto would be prohibited by the terms of this Agreement, unless otherwise agreed to by the Majority Lenders).</w:t>
      </w:r>
    </w:p>
    <w:p>
      <w:pPr>
        <w:spacing w:after="0" w:line="18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European Guarantee and Collateral Agreement</w:t>
      </w:r>
      <w:r>
        <w:rPr>
          <w:rFonts w:ascii="Times New Roman" w:cs="Times New Roman" w:eastAsia="Times New Roman" w:hAnsi="Times New Roman"/>
          <w:sz w:val="22"/>
          <w:szCs w:val="22"/>
          <w:color w:val="auto"/>
        </w:rPr>
        <w:t>” means the amended and restated Master Guarantee and Collateral Agreement among the Borrower, the Subsidiaries party thereto and JPMCB, in its capacity as collateral agent under the credit agreements described therein, dated as of April 8, 2005, as from time to time amended, supplemented or otherwise modified (subject to any restrictions on such amendments, supplements or modifications set forth herein).</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has the meaning assigned to such term in Section 7.01.</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United States Securities Exchange Act of 1934, as amended.</w:t>
      </w:r>
    </w:p>
    <w:p>
      <w:pPr>
        <w:spacing w:after="0" w:line="220"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Rate</w:t>
      </w:r>
      <w:r>
        <w:rPr>
          <w:rFonts w:ascii="Times New Roman" w:cs="Times New Roman" w:eastAsia="Times New Roman" w:hAnsi="Times New Roman"/>
          <w:sz w:val="22"/>
          <w:szCs w:val="22"/>
          <w:color w:val="auto"/>
        </w:rPr>
        <w:t xml:space="preserve">” means, on any day, with respect to Canadian Dollars, Euros or Pounds Sterling in relation to dollars, the rate at which such currency may be exchanged into dollars, as set forth at approximately 12:00 noon, New York City time, on such day on the Reuters World Currency Page for Canadian Dollars, Euros or Pounds Sterling, as applicable. In the event that any such rate does not appear on the applicable Reuters World Currency Page, the Exchange Rate shall be determined by reference to such other publicly available service for displaying exchange rates as may be agreed upon by the Administrative Agent and the Borrower or, in the absence of such agreement, such Exchange Rate shall instead be the arithmetic average of the spot rates of exchange of the Administrative Agent, at or about 11:00 a.m., New York City time, on such date for the purchase of dollars with Canadian Dollars, Euros or Pounds Sterling, as the case may be, for delivery two Business Days later;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at the time of any such determination, for any reason, no such spot rate is being quoted, the Administrative Agent, after consultation with the Borrower, may use any reasonable method it deems appropriate to determine such rate, and such determination shall be conclusive absent manifest error.</w:t>
      </w:r>
    </w:p>
    <w:p>
      <w:pPr>
        <w:spacing w:after="0" w:line="18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Subsidiary</w:t>
      </w:r>
      <w:r>
        <w:rPr>
          <w:rFonts w:ascii="Times New Roman" w:cs="Times New Roman" w:eastAsia="Times New Roman" w:hAnsi="Times New Roman"/>
          <w:sz w:val="22"/>
          <w:szCs w:val="22"/>
          <w:color w:val="auto"/>
        </w:rPr>
        <w:t>” means (i) any Subsidiary with only nominal assets and no operations and (ii) any Subsidiary that is a Receivables Entity. No Subsidiary shall be an Excluded Subsidiary if it is (a) a US Guarantor under the European Guarantee and Collateral Agreement or a “Subsidiary Guarantor” (that is organized under the laws of the United States or Canada or any of their respective states, provinces, territories or possessions or any political subdivision of any thereof) under the GEBV Notes Indenture, (b) a “ Subsidiary Guarantor” under any Specified Supplemental Indenture or (c) a Subsidiary of the Borrower that Guarantees any obligations arising under an indenture or any other document governing Material Indebtedness of the Borrower entered into after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38" w:name="page239"/>
    <w:bookmarkEnd w:id="238"/>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Swap Obligation</w:t>
      </w:r>
      <w:r>
        <w:rPr>
          <w:rFonts w:ascii="Times New Roman" w:cs="Times New Roman" w:eastAsia="Times New Roman" w:hAnsi="Times New Roman"/>
          <w:sz w:val="22"/>
          <w:szCs w:val="22"/>
          <w:color w:val="auto"/>
        </w:rPr>
        <w:t>” means, with respect to any Credit Party, any Swap Obligation if, and to the extent that, the Guarantee by such Credit Party of, or the grant by such Credit Party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Credit Party’s failure for any reason to constitute an “ eligible contract participant” as defined in the Commodity Exchange Act at the time the Guarantee of such Credit Party, or the grant by such Credit Party of a security interest,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 in accordance with the first sentence of this definition.</w:t>
      </w:r>
    </w:p>
    <w:p>
      <w:pPr>
        <w:spacing w:after="0" w:line="180"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Excluded Taxes</w:t>
      </w:r>
      <w:r>
        <w:rPr>
          <w:rFonts w:ascii="Times New Roman" w:cs="Times New Roman" w:eastAsia="Times New Roman" w:hAnsi="Times New Roman"/>
          <w:sz w:val="21"/>
          <w:szCs w:val="21"/>
          <w:color w:val="auto"/>
        </w:rPr>
        <w:t>” means, with respect to the Administrative Agent, any Lender, any Issuing Bank or any other recipient of any payment to be made by or on account of any obligation of the Borrower hereunder, (a) income or franchise Taxes imposed on (or measured by) its net income by the United States or by the jurisdiction under the laws of which such recipient is organized or in which its principal office is located or, in the case of any Lender, in which its applicable lending office is located,</w:t>
      </w:r>
    </w:p>
    <w:p>
      <w:pPr>
        <w:spacing w:after="0" w:line="4" w:lineRule="exact"/>
        <w:rPr>
          <w:sz w:val="20"/>
          <w:szCs w:val="20"/>
          <w:color w:val="auto"/>
        </w:rPr>
      </w:pPr>
    </w:p>
    <w:p>
      <w:pPr>
        <w:jc w:val="both"/>
        <w:ind w:firstLine="8"/>
        <w:spacing w:after="0" w:line="247" w:lineRule="auto"/>
        <w:tabs>
          <w:tab w:leader="none" w:pos="332"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branch profits Taxes imposed by the United States or any similar Tax imposed by any other jurisdiction described in clause (a) above, (c) (i) any withholding Tax that is imposed by the United States on amounts payable to a Foreign Lender (other than an assignee pursuant to a request by the Borrower under Section 2.17(b)) at the time such Foreign Lender first becomes a party to this Agreement (or designates a new lending office), except to the extent that such Foreign Lender (or its assignor, if any) was entitled, at the time of designation of a new lending office (or assignment), to receive additional amounts from the Borrower with respect to such withholding Tax pursuant to Section 2.15(a) or (ii) any withholding Tax that is imposed by the United States on amounts payable to a Foreign Lender that is attributable to such Foreign Lender’s failure to comply with Sections 2.15(f) and (g), and (d) any U.S. Federal withholding Taxes imposed under FATCA.</w:t>
      </w:r>
    </w:p>
    <w:p>
      <w:pPr>
        <w:spacing w:after="0" w:line="18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Credit Agreement</w:t>
      </w:r>
      <w:r>
        <w:rPr>
          <w:rFonts w:ascii="Times New Roman" w:cs="Times New Roman" w:eastAsia="Times New Roman" w:hAnsi="Times New Roman"/>
          <w:sz w:val="22"/>
          <w:szCs w:val="22"/>
          <w:color w:val="auto"/>
        </w:rPr>
        <w:t>” means the Amended and Restated First Lien Credit Agreement dated as of June 7, 2021, as amended as of September 15, 2022, among the Borrower, the lenders party thereto, the issuing banks and other financial institutions from time to time party thereto and JPMCB, as administrative agent and collateral agent, as in effect immediately prior to the effectiveness of this Agreement.</w:t>
      </w:r>
    </w:p>
    <w:p>
      <w:pPr>
        <w:spacing w:after="0" w:line="17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Guarantee and Collateral Agreement</w:t>
      </w:r>
      <w:r>
        <w:rPr>
          <w:rFonts w:ascii="Times New Roman" w:cs="Times New Roman" w:eastAsia="Times New Roman" w:hAnsi="Times New Roman"/>
          <w:sz w:val="22"/>
          <w:szCs w:val="22"/>
          <w:color w:val="auto"/>
        </w:rPr>
        <w:t>” means the First Lien Guarantee and Collateral Agreement dated as of April 8, 2005, as amended and restated as of April 7, 2016, as further amended and restated as of April 9, 2020 and as further amended and restated as of June 7, 2021 and as heretofore supplemented by the Additional Subsidiary Agreements dated as of July 2, 2021, December 16, 2021 and January 31, 2022, among the Borrower, the Subsidiary Guarantors, the Grantors,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22"/>
          <w:szCs w:val="22"/>
          <w:color w:val="auto"/>
        </w:rPr>
        <w:t>other Subsidiaries and the Collateral Agent, as in effect immediately prior to the Restatement Date.</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Letters of Credit</w:t>
      </w:r>
      <w:r>
        <w:rPr>
          <w:rFonts w:ascii="Times New Roman" w:cs="Times New Roman" w:eastAsia="Times New Roman" w:hAnsi="Times New Roman"/>
          <w:sz w:val="22"/>
          <w:szCs w:val="22"/>
          <w:color w:val="auto"/>
        </w:rPr>
        <w:t>” means each letter of credit outstanding as of the Restatement Date, each of which is set forth in the Disclosure Letter.</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Extending Lender</w:t>
      </w:r>
      <w:r>
        <w:rPr>
          <w:rFonts w:ascii="Times New Roman" w:cs="Times New Roman" w:eastAsia="Times New Roman" w:hAnsi="Times New Roman"/>
          <w:sz w:val="22"/>
          <w:szCs w:val="22"/>
          <w:color w:val="auto"/>
        </w:rPr>
        <w:t>” has the meaning set forth in Section 2.19(a).</w:t>
      </w:r>
    </w:p>
    <w:p>
      <w:pPr>
        <w:spacing w:after="0" w:line="22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Extension Agreement</w:t>
      </w:r>
      <w:r>
        <w:rPr>
          <w:rFonts w:ascii="Times New Roman" w:cs="Times New Roman" w:eastAsia="Times New Roman" w:hAnsi="Times New Roman"/>
          <w:sz w:val="22"/>
          <w:szCs w:val="22"/>
          <w:color w:val="auto"/>
        </w:rPr>
        <w:t>” means an extension agreement, in form and substance reasonably satisfactory to the Administrative Agent, among the Borrower, the Administrative Agent and one or more Extending Lenders, effecting an Extension Permitted Amendment and such other amendments hereto and to the other Credit Documents as are contemplated by Section 2.19.</w:t>
      </w:r>
    </w:p>
    <w:p>
      <w:pPr>
        <w:spacing w:after="0" w:line="193"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Extension Permitted Amendment</w:t>
      </w:r>
      <w:r>
        <w:rPr>
          <w:rFonts w:ascii="Times New Roman" w:cs="Times New Roman" w:eastAsia="Times New Roman" w:hAnsi="Times New Roman"/>
          <w:sz w:val="22"/>
          <w:szCs w:val="22"/>
          <w:color w:val="auto"/>
        </w:rPr>
        <w:t>” means an amendment to this Agreement and the other Credit Documents, effected in connection with an Extension Request pursuant to Section 2.19, providing for an extension of the Commitment Termination Date of the Extending Lenders’ applicable Loans and/or Commitments (such Loans or Commitments being referred to as the “</w:t>
      </w:r>
      <w:r>
        <w:rPr>
          <w:rFonts w:ascii="Times New Roman" w:cs="Times New Roman" w:eastAsia="Times New Roman" w:hAnsi="Times New Roman"/>
          <w:sz w:val="22"/>
          <w:szCs w:val="22"/>
          <w:u w:val="single" w:color="auto"/>
          <w:color w:val="auto"/>
        </w:rPr>
        <w:t>Extended Loans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Extended Commitments</w:t>
      </w:r>
      <w:r>
        <w:rPr>
          <w:rFonts w:ascii="Times New Roman" w:cs="Times New Roman" w:eastAsia="Times New Roman" w:hAnsi="Times New Roman"/>
          <w:sz w:val="22"/>
          <w:szCs w:val="22"/>
          <w:color w:val="auto"/>
        </w:rPr>
        <w:t xml:space="preserve">”, as applicable) and, in connection therewith, (a) an increase or decrease in the rate of interest accruing on such Extended Loans, (b) an increase or decrease in the fees payable to, or the inclusion of new fees to be payable to, the Extending Lenders in respect of such Extension Request or their Extended Loans or Extended Commitments and/or (c) an addition, removal or modification of any affirmative or negative covenants of the Credit Parties under, or other provisions of, the Credit Documents,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addition, removal or modification shall only apply during the period commencing on the latest Commitment Termination Date in effect immediately prior to such Extension Permitted Amendment, other than any added covenants that are to be effective prior to such time which added covenants shall equally benefit the Extending Lenders and all other Lenders.</w:t>
      </w:r>
    </w:p>
    <w:p>
      <w:pPr>
        <w:spacing w:after="0" w:line="20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Extension Request</w:t>
      </w:r>
      <w:r>
        <w:rPr>
          <w:rFonts w:ascii="Times New Roman" w:cs="Times New Roman" w:eastAsia="Times New Roman" w:hAnsi="Times New Roman"/>
          <w:sz w:val="22"/>
          <w:szCs w:val="22"/>
          <w:color w:val="auto"/>
        </w:rPr>
        <w:t>” has the meaning set forth in Section 2.19(a).</w:t>
      </w:r>
    </w:p>
    <w:p>
      <w:pPr>
        <w:spacing w:after="0" w:line="22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Fair Market Value</w:t>
      </w:r>
      <w:r>
        <w:rPr>
          <w:rFonts w:ascii="Times New Roman" w:cs="Times New Roman" w:eastAsia="Times New Roman" w:hAnsi="Times New Roman"/>
          <w:sz w:val="22"/>
          <w:szCs w:val="22"/>
          <w:color w:val="auto"/>
        </w:rPr>
        <w:t>” means, with respect to any asset or property, the price which could be negotiated in an arm’s-length, free market transaction, for cash, between a willing seller and a willing and able buyer, neither of whom is under undue pressure or compulsion to complete the transaction, as such price is, unless specified otherwise in this Agreement, determined in good faith by a Financial Officer of the Borrower or by the Board of Directors.</w:t>
      </w:r>
    </w:p>
    <w:p>
      <w:pPr>
        <w:spacing w:after="0" w:line="19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FATCA</w:t>
      </w:r>
      <w:r>
        <w:rPr>
          <w:rFonts w:ascii="Times New Roman" w:cs="Times New Roman" w:eastAsia="Times New Roman" w:hAnsi="Times New Roman"/>
          <w:sz w:val="22"/>
          <w:szCs w:val="22"/>
          <w:color w:val="auto"/>
        </w:rPr>
        <w:t>” means Sections 1471 through 1474 of the Code, as in effect on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intergovernmental agreements with respect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40" w:name="page241"/>
    <w:bookmarkEnd w:id="240"/>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Federal Funds Effective Rate</w:t>
      </w:r>
      <w:r>
        <w:rPr>
          <w:rFonts w:ascii="Times New Roman" w:cs="Times New Roman" w:eastAsia="Times New Roman" w:hAnsi="Times New Roman"/>
          <w:sz w:val="22"/>
          <w:szCs w:val="22"/>
          <w:color w:val="auto"/>
        </w:rPr>
        <w:t xml:space="preserve">” means, for any day, the rate calculated by the NYFRB based on such day’s federal funds transactions by depository institutions (as determined in such manner as the NYFRB shall set forth on its public website from time to time) and published on the next succeeding Business Day by the NYFRB as the federal funds effective rate;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rate shall be less than zero, such rate shall be deemed to be zero for all purposes of this Agreement.</w:t>
      </w:r>
    </w:p>
    <w:p>
      <w:pPr>
        <w:spacing w:after="0" w:line="17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Fifth Supplemental Indenture</w:t>
      </w:r>
      <w:r>
        <w:rPr>
          <w:rFonts w:ascii="Times New Roman" w:cs="Times New Roman" w:eastAsia="Times New Roman" w:hAnsi="Times New Roman"/>
          <w:sz w:val="22"/>
          <w:szCs w:val="22"/>
          <w:color w:val="auto"/>
        </w:rPr>
        <w:t>” means, collectively, the Indenture dated as of August 13, 2010, among the Borrower, the subsidiary guarantors thereunder and Wells Fargo Bank, N.A., as trustee, and the Fifth Supplemental Indenture dated as of May 13, 2016, among the Borrower, the subsidiary guarantors thereunder and Wells Fargo Bank, N.A., as trustee.</w:t>
      </w:r>
    </w:p>
    <w:p>
      <w:pPr>
        <w:spacing w:after="0" w:line="17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Finance Lease Obligations</w:t>
      </w:r>
      <w:r>
        <w:rPr>
          <w:rFonts w:ascii="Times New Roman" w:cs="Times New Roman" w:eastAsia="Times New Roman" w:hAnsi="Times New Roman"/>
          <w:sz w:val="22"/>
          <w:szCs w:val="22"/>
          <w:color w:val="auto"/>
        </w:rPr>
        <w:t>” means, an obligation that is required to be classified and accounted for as a finance lease for financial reporting purposes in accordance with GAAP, and the amount of Indebtedness represented by such obligation shall be the capitalized amount of such obligation determined in accordance with GAAP.</w:t>
      </w:r>
    </w:p>
    <w:p>
      <w:pPr>
        <w:spacing w:after="0" w:line="167"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Officer</w:t>
      </w:r>
      <w:r>
        <w:rPr>
          <w:rFonts w:ascii="Times New Roman" w:cs="Times New Roman" w:eastAsia="Times New Roman" w:hAnsi="Times New Roman"/>
          <w:sz w:val="22"/>
          <w:szCs w:val="22"/>
          <w:color w:val="auto"/>
        </w:rPr>
        <w:t>” means the chief financial officer, principal accounting officer, treasurer or any assistant treasurer of the Borrower, or any senior vice president or higher ranking executive to whom any of the foregoing report.</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Finished Goods</w:t>
      </w:r>
      <w:r>
        <w:rPr>
          <w:rFonts w:ascii="Times New Roman" w:cs="Times New Roman" w:eastAsia="Times New Roman" w:hAnsi="Times New Roman"/>
          <w:sz w:val="22"/>
          <w:szCs w:val="22"/>
          <w:color w:val="auto"/>
        </w:rPr>
        <w:t>” means completed goods that require no additional processing or manufacturing to be sold by the Borrower or another Grantor in the ordinary course of business.</w:t>
      </w:r>
    </w:p>
    <w:p>
      <w:pPr>
        <w:spacing w:after="0" w:line="17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Lien Agreement</w:t>
      </w:r>
      <w:r>
        <w:rPr>
          <w:rFonts w:ascii="Times New Roman" w:cs="Times New Roman" w:eastAsia="Times New Roman" w:hAnsi="Times New Roman"/>
          <w:sz w:val="22"/>
          <w:szCs w:val="22"/>
          <w:color w:val="auto"/>
        </w:rPr>
        <w:t>” means this Agreement, namely the Amended and Restated First Lien Credit Agreement dated as of the date hereof, among the Borrower, certain lenders, certain issuing banks, and JPMCB, as administrative agent and collateral agent, as amended, restated, supplemented, waived, replaced (whether or not upon termination, and whether with the original lenders or otherwise), refinanced, restructured or otherwise modified from time to time.</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Fitch</w:t>
      </w:r>
      <w:r>
        <w:rPr>
          <w:rFonts w:ascii="Times New Roman" w:cs="Times New Roman" w:eastAsia="Times New Roman" w:hAnsi="Times New Roman"/>
          <w:sz w:val="22"/>
          <w:szCs w:val="22"/>
          <w:color w:val="auto"/>
        </w:rPr>
        <w:t>” means Fitch Ratings, Inc., and any successor thereto.</w:t>
      </w:r>
    </w:p>
    <w:p>
      <w:pPr>
        <w:spacing w:after="0" w:line="23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Floor</w:t>
      </w:r>
      <w:r>
        <w:rPr>
          <w:rFonts w:ascii="Times New Roman" w:cs="Times New Roman" w:eastAsia="Times New Roman" w:hAnsi="Times New Roman"/>
          <w:sz w:val="22"/>
          <w:szCs w:val="22"/>
          <w:color w:val="auto"/>
        </w:rPr>
        <w:t>” means the benchmark rate floor, if any, provided in this Agreement initially (as of the execution of this Agreement, the modification, amendment or renewal of this Agreement or otherwise) with respect to the Adjusted Term SOFR or Adjusted Daily Simple SOFR, as applicable.</w:t>
      </w:r>
    </w:p>
    <w:p>
      <w:pPr>
        <w:spacing w:after="0" w:line="17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Lender</w:t>
      </w:r>
      <w:r>
        <w:rPr>
          <w:rFonts w:ascii="Times New Roman" w:cs="Times New Roman" w:eastAsia="Times New Roman" w:hAnsi="Times New Roman"/>
          <w:sz w:val="22"/>
          <w:szCs w:val="22"/>
          <w:color w:val="auto"/>
        </w:rPr>
        <w:t>” means any Lender that is organized under the laws of a jurisdiction other than that in which the Borrower is located. For purposes of this definition, the United States, each State thereof and the District of Columbia shall be deemed to constitute a single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41" w:name="page242"/>
    <w:bookmarkEnd w:id="241"/>
    <w:p>
      <w:pPr>
        <w:jc w:val="both"/>
        <w:ind w:right="20" w:firstLine="1296"/>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Foreign Pledge Agreement</w:t>
      </w:r>
      <w:r>
        <w:rPr>
          <w:rFonts w:ascii="Times New Roman" w:cs="Times New Roman" w:eastAsia="Times New Roman" w:hAnsi="Times New Roman"/>
          <w:sz w:val="21"/>
          <w:szCs w:val="21"/>
          <w:color w:val="auto"/>
        </w:rPr>
        <w:t>” means a pledge agreement securing the Obligations or any of them that is governed by the law of a jurisdiction other than the United States and reasonably satisfactory in form and substance to the Collateral Agent.</w:t>
      </w:r>
    </w:p>
    <w:p>
      <w:pPr>
        <w:spacing w:after="0" w:line="13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Restricted Subsidiary</w:t>
      </w:r>
      <w:r>
        <w:rPr>
          <w:rFonts w:ascii="Times New Roman" w:cs="Times New Roman" w:eastAsia="Times New Roman" w:hAnsi="Times New Roman"/>
          <w:sz w:val="22"/>
          <w:szCs w:val="22"/>
          <w:color w:val="auto"/>
        </w:rPr>
        <w:t>” means any Restricted Subsidiary that is not organized under the laws of the United States or any State thereof or the District of Columbia, other than Goodyear Canada.</w:t>
      </w:r>
    </w:p>
    <w:p>
      <w:pPr>
        <w:spacing w:after="0" w:line="144"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Subsidiary</w:t>
      </w:r>
      <w:r>
        <w:rPr>
          <w:rFonts w:ascii="Times New Roman" w:cs="Times New Roman" w:eastAsia="Times New Roman" w:hAnsi="Times New Roman"/>
          <w:sz w:val="22"/>
          <w:szCs w:val="22"/>
          <w:color w:val="auto"/>
        </w:rPr>
        <w:t>” means any Subsidiary organized under the laws of a jurisdiction other than the United States or any of its territories or possessions or any political subdivision thereof.</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generally accepted accounting principles in the United States.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GEBV”</w:t>
      </w:r>
      <w:r>
        <w:rPr>
          <w:rFonts w:ascii="Times New Roman" w:cs="Times New Roman" w:eastAsia="Times New Roman" w:hAnsi="Times New Roman"/>
          <w:sz w:val="22"/>
          <w:szCs w:val="22"/>
          <w:color w:val="auto"/>
        </w:rPr>
        <w:t xml:space="preserve"> means Goodyear Europe B.V.</w:t>
      </w:r>
    </w:p>
    <w:p>
      <w:pPr>
        <w:spacing w:after="0" w:line="23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GEBV Notes</w:t>
      </w:r>
      <w:r>
        <w:rPr>
          <w:rFonts w:ascii="Times New Roman" w:cs="Times New Roman" w:eastAsia="Times New Roman" w:hAnsi="Times New Roman"/>
          <w:sz w:val="22"/>
          <w:szCs w:val="22"/>
          <w:color w:val="auto"/>
        </w:rPr>
        <w:t>” means up to €400,000,000 aggregate principal amount of senior unsecured notes of GEBV issued on September 28, 2021, under the GEBV Notes Indenture.</w:t>
      </w:r>
    </w:p>
    <w:p>
      <w:pPr>
        <w:spacing w:after="0" w:line="15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GEBV Notes Indenture</w:t>
      </w:r>
      <w:r>
        <w:rPr>
          <w:rFonts w:ascii="Times New Roman" w:cs="Times New Roman" w:eastAsia="Times New Roman" w:hAnsi="Times New Roman"/>
          <w:sz w:val="22"/>
          <w:szCs w:val="22"/>
          <w:color w:val="auto"/>
        </w:rPr>
        <w:t>” means the Indenture dated as of September 28, 2021, among the Borrower, GEBV, certain Subsidiaries, Deutsche Trustee Company Limited, as trustee, Deutsche Bank AG, London Branch, as principal paying agent and transfer agent, and Deutsche Bank Luxembourg S.A., as registrar and transfer agent.</w:t>
      </w:r>
    </w:p>
    <w:p>
      <w:pPr>
        <w:spacing w:after="0" w:line="173"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Goodyear Argentina</w:t>
      </w:r>
      <w:r>
        <w:rPr>
          <w:rFonts w:ascii="Times New Roman" w:cs="Times New Roman" w:eastAsia="Times New Roman" w:hAnsi="Times New Roman"/>
          <w:sz w:val="22"/>
          <w:szCs w:val="22"/>
          <w:color w:val="auto"/>
        </w:rPr>
        <w:t>” means Neumáticos Goodyear S.r.L., a limited liability company incorporated under the laws of the Republic of Argentina, and its successors and permitted assigns.</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Goodyear Canada</w:t>
      </w:r>
      <w:r>
        <w:rPr>
          <w:rFonts w:ascii="Times New Roman" w:cs="Times New Roman" w:eastAsia="Times New Roman" w:hAnsi="Times New Roman"/>
          <w:sz w:val="22"/>
          <w:szCs w:val="22"/>
          <w:color w:val="auto"/>
        </w:rPr>
        <w:t>” means Goodyear Canada Inc., an Ontario corporation, and its successors and permitted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assigns.</w:t>
      </w:r>
    </w:p>
    <w:p>
      <w:pPr>
        <w:spacing w:after="0" w:line="19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Goodyear Equipment</w:t>
      </w:r>
      <w:r>
        <w:rPr>
          <w:rFonts w:ascii="Times New Roman" w:cs="Times New Roman" w:eastAsia="Times New Roman" w:hAnsi="Times New Roman"/>
          <w:sz w:val="22"/>
          <w:szCs w:val="22"/>
          <w:color w:val="auto"/>
        </w:rPr>
        <w:t>” means all machinery, apparatus, equipment, fittings, furniture, motor vehicles, and other fixed assets owned by the Borrower or another Grantor and used or held for sale by the Borrower or such Grantor, as applicable, in the ordinary course of its business, whether now owned or hereafter acquired by the Borrower or another Grantor and wherever located, and all parts, accessories and special tools and all increases and accessions thereto and substitutions and replacements therefor.</w:t>
      </w:r>
    </w:p>
    <w:p>
      <w:pPr>
        <w:spacing w:after="0" w:line="179"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Goodyear Luxembourg</w:t>
      </w:r>
      <w:r>
        <w:rPr>
          <w:rFonts w:ascii="Times New Roman" w:cs="Times New Roman" w:eastAsia="Times New Roman" w:hAnsi="Times New Roman"/>
          <w:sz w:val="22"/>
          <w:szCs w:val="22"/>
          <w:color w:val="auto"/>
        </w:rPr>
        <w:t>” means Goodyear S.A., a société anonyme organized under the laws of Luxembourg, and its successors and permitted assigns.</w:t>
      </w:r>
    </w:p>
    <w:p>
      <w:pPr>
        <w:spacing w:after="0" w:line="17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Goodyear Venezuela</w:t>
      </w:r>
      <w:r>
        <w:rPr>
          <w:rFonts w:ascii="Times New Roman" w:cs="Times New Roman" w:eastAsia="Times New Roman" w:hAnsi="Times New Roman"/>
          <w:sz w:val="22"/>
          <w:szCs w:val="22"/>
          <w:color w:val="auto"/>
        </w:rPr>
        <w:t>” means C.A. Goodyear de Venezuela, a compañía anónima organized under the laws of Venezuela, and its successors and permitted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42" w:name="page243"/>
    <w:bookmarkEnd w:id="242"/>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the government of the United States, Canada, any other nation or any political subdivision thereof, whether state, provincial, territorial or local, and any agency, authority, instrumentality, regulatory body, court, central bank or other entity exercising executive, legislative, judicial, taxing, regulatory or administrative powers or functions of or pertaining to government.</w:t>
      </w:r>
    </w:p>
    <w:p>
      <w:pPr>
        <w:spacing w:after="0" w:line="17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Grantors</w:t>
      </w:r>
      <w:r>
        <w:rPr>
          <w:rFonts w:ascii="Times New Roman" w:cs="Times New Roman" w:eastAsia="Times New Roman" w:hAnsi="Times New Roman"/>
          <w:sz w:val="22"/>
          <w:szCs w:val="22"/>
          <w:color w:val="auto"/>
        </w:rPr>
        <w:t>” means the Borrower and each North American Subsidiary that is, or is required pursuant to Section 5.08 to become, a Grantor (as defined in the Guarantee and Collateral Agreement) and, if applicable, a party to any Canadian Security Agreement.</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Guarantee</w:t>
      </w:r>
      <w:r>
        <w:rPr>
          <w:rFonts w:ascii="Times New Roman" w:cs="Times New Roman" w:eastAsia="Times New Roman" w:hAnsi="Times New Roman"/>
          <w:sz w:val="21"/>
          <w:szCs w:val="21"/>
          <w:color w:val="auto"/>
        </w:rPr>
        <w:t>” means any obligation, contingent or otherwise, of any Person directly or indirectly guaranteeing any</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Indebtedness of any other Person and any obligation, direct or indirect, contingent or otherwise, of such Person:</w:t>
      </w:r>
    </w:p>
    <w:p>
      <w:pPr>
        <w:spacing w:after="0" w:line="207" w:lineRule="exact"/>
        <w:rPr>
          <w:sz w:val="20"/>
          <w:szCs w:val="20"/>
          <w:color w:val="auto"/>
        </w:rPr>
      </w:pPr>
    </w:p>
    <w:p>
      <w:pPr>
        <w:jc w:val="both"/>
        <w:ind w:left="1300" w:firstLine="405"/>
        <w:spacing w:after="0" w:line="275" w:lineRule="auto"/>
        <w:tabs>
          <w:tab w:leader="none" w:pos="2007" w:val="left"/>
        </w:tabs>
        <w:numPr>
          <w:ilvl w:val="0"/>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purchase or pay (or advance or supply funds for the purchase or payment of) such Indebtedness of such other Person (whether arising by virtue of partnership arrangements, or by agreement to keep-well, to purchase assets, goods, securities or services, to take-or-pay, or to maintain financial statement conditions or otherwise) or</w:t>
      </w:r>
    </w:p>
    <w:p>
      <w:pPr>
        <w:spacing w:after="0" w:line="155" w:lineRule="exact"/>
        <w:rPr>
          <w:rFonts w:ascii="Times New Roman" w:cs="Times New Roman" w:eastAsia="Times New Roman" w:hAnsi="Times New Roman"/>
          <w:sz w:val="21"/>
          <w:szCs w:val="21"/>
          <w:color w:val="auto"/>
        </w:rPr>
      </w:pPr>
    </w:p>
    <w:p>
      <w:pPr>
        <w:ind w:left="1300" w:firstLine="405"/>
        <w:spacing w:after="0" w:line="271" w:lineRule="auto"/>
        <w:tabs>
          <w:tab w:leader="none" w:pos="2007"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entered into for purposes of assuring in any other manner the obligee of such Indebtedness of the payment thereof or to protect such obligee against loss in respect thereof (in whole or in part);</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term “Guarantee” shall not include endorsements for collection or deposit in the ordinary course of business. The term “Guarantee” used as a verb has a corresponding meaning. The term “Guarantor” means any Person Guaranteeing any obligation.</w:t>
      </w:r>
    </w:p>
    <w:p>
      <w:pPr>
        <w:spacing w:after="0" w:line="173"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Guarantee and Collateral Agreement</w:t>
      </w:r>
      <w:r>
        <w:rPr>
          <w:rFonts w:ascii="Times New Roman" w:cs="Times New Roman" w:eastAsia="Times New Roman" w:hAnsi="Times New Roman"/>
          <w:sz w:val="22"/>
          <w:szCs w:val="22"/>
          <w:color w:val="auto"/>
        </w:rPr>
        <w:t>” means the First Lien Guarantee and Collateral Agreement among the Borrower, the Subsidiary Guarantors, the Grantors, certain other Subsidiaries and the Collateral Agent, dated as of April 8, 2005, as amended and restated as of April 7, 2016, as further amended and restated as of April 9, 2020, as further amended and restated as of June 7, 2021, as further amended as of the Restatement Date and as thereafter from time to time further amended, supplemented or otherwise modified (subject to any restrictions on such amendments, supplements or modifications set forth herein).</w:t>
      </w:r>
    </w:p>
    <w:p>
      <w:pPr>
        <w:spacing w:after="0" w:line="181"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Hazardous Materials</w:t>
      </w:r>
      <w:r>
        <w:rPr>
          <w:rFonts w:ascii="Times New Roman" w:cs="Times New Roman" w:eastAsia="Times New Roman" w:hAnsi="Times New Roman"/>
          <w:sz w:val="22"/>
          <w:szCs w:val="22"/>
          <w:color w:val="auto"/>
        </w:rPr>
        <w:t>” means (a) petroleum products and byproducts, asbestos, urea formaldehyde foam insulation, polychlorinated biphenyls, radon gas, chlorofluorocarbons and all other ozone-depleting substances; and (b) any pollutant or contaminant or any hazardous, toxic, radioactive or otherwise regulated chemical, material, substance or waste that is prohibited, limited or regulated pursuant to any applicable Environmental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43" w:name="page244"/>
    <w:bookmarkEnd w:id="243"/>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Hedging Obligations</w:t>
      </w:r>
      <w:r>
        <w:rPr>
          <w:rFonts w:ascii="Times New Roman" w:cs="Times New Roman" w:eastAsia="Times New Roman" w:hAnsi="Times New Roman"/>
          <w:sz w:val="22"/>
          <w:szCs w:val="22"/>
          <w:color w:val="auto"/>
        </w:rPr>
        <w:t>” of any Person means the obligations of such Person pursuant to any Interest Rate Agreement, Currency Agreement or raw materials hedge agreement.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IBA</w:t>
      </w:r>
      <w:r>
        <w:rPr>
          <w:rFonts w:ascii="Times New Roman" w:cs="Times New Roman" w:eastAsia="Times New Roman" w:hAnsi="Times New Roman"/>
          <w:sz w:val="22"/>
          <w:szCs w:val="22"/>
          <w:color w:val="auto"/>
        </w:rPr>
        <w:t>” has the meaning set forth in Section 1.07.</w:t>
      </w:r>
    </w:p>
    <w:p>
      <w:pPr>
        <w:spacing w:after="0" w:line="233"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Incur</w:t>
      </w:r>
      <w:r>
        <w:rPr>
          <w:rFonts w:ascii="Times New Roman" w:cs="Times New Roman" w:eastAsia="Times New Roman" w:hAnsi="Times New Roman"/>
          <w:sz w:val="22"/>
          <w:szCs w:val="22"/>
          <w:color w:val="auto"/>
        </w:rPr>
        <w:t xml:space="preserve">” means issue, assume, Guarantee, incur or otherwise become liable for;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Indebtedness or Capital Stock of a Person existing at the time such Person becomes a Subsidiary (whether by merger, consolidation, acquisition or otherwise) shall be deemed to be Incurred by such Person at the time it becomes a Subsidiary. The term “Incurrence” when used as a noun shall have a correlative meaning. The accretion of principal of a non-interest bearing or other discount security shall not be deemed the Incurrence of Indebtedness.</w:t>
      </w:r>
    </w:p>
    <w:p>
      <w:pPr>
        <w:spacing w:after="0" w:line="1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means, with respect to any Person on any date of determination, without duplication:</w:t>
      </w:r>
    </w:p>
    <w:p>
      <w:pPr>
        <w:spacing w:after="0" w:line="220" w:lineRule="exact"/>
        <w:rPr>
          <w:sz w:val="20"/>
          <w:szCs w:val="20"/>
          <w:color w:val="auto"/>
        </w:rPr>
      </w:pPr>
    </w:p>
    <w:p>
      <w:pPr>
        <w:ind w:left="2020" w:hanging="315"/>
        <w:spacing w:after="0"/>
        <w:tabs>
          <w:tab w:leader="none" w:pos="2020"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of and premium (if any) in respect of indebtedness of such Person for borrowed money;</w:t>
      </w:r>
    </w:p>
    <w:p>
      <w:pPr>
        <w:spacing w:after="0" w:line="219" w:lineRule="exact"/>
        <w:rPr>
          <w:rFonts w:ascii="Times New Roman" w:cs="Times New Roman" w:eastAsia="Times New Roman" w:hAnsi="Times New Roman"/>
          <w:sz w:val="22"/>
          <w:szCs w:val="22"/>
          <w:color w:val="auto"/>
        </w:rPr>
      </w:pPr>
    </w:p>
    <w:p>
      <w:pPr>
        <w:ind w:left="1300" w:firstLine="405"/>
        <w:spacing w:after="0" w:line="271" w:lineRule="auto"/>
        <w:tabs>
          <w:tab w:leader="none" w:pos="2048"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of and premium (if any) in respect of obligations of such Person evidenced by bonds, debentures, notes or other similar instruments;</w:t>
      </w:r>
    </w:p>
    <w:p>
      <w:pPr>
        <w:spacing w:after="0" w:line="157" w:lineRule="exact"/>
        <w:rPr>
          <w:rFonts w:ascii="Times New Roman" w:cs="Times New Roman" w:eastAsia="Times New Roman" w:hAnsi="Times New Roman"/>
          <w:sz w:val="22"/>
          <w:szCs w:val="22"/>
          <w:color w:val="auto"/>
        </w:rPr>
      </w:pPr>
    </w:p>
    <w:p>
      <w:pPr>
        <w:jc w:val="both"/>
        <w:ind w:left="1300" w:firstLine="405"/>
        <w:spacing w:after="0" w:line="250" w:lineRule="auto"/>
        <w:tabs>
          <w:tab w:leader="none" w:pos="2007"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of such Person for the reimbursement of any obligor on any letter of credit, bank guarantee, Trade Acceptances or similar credit transaction (other than obligations with respect to letters of credit, bank guarantees, Trade Acceptances or similar credit transactions securing obligations (other than obligations described in clauses (1), (2) and (5)) entered into in the ordinary course of business of such Person to the extent such letters of credit, bank guarantees, Trade Acceptances or similar credit transactions are not drawn upon or, if and to the extent drawn upon, such drawing is reimbursed no later than the tenth Business Day following payment on the letter of credit, bank guarantee, Trade Acceptance or similar credit transaction);</w:t>
      </w:r>
    </w:p>
    <w:p>
      <w:pPr>
        <w:spacing w:after="0" w:line="193" w:lineRule="exact"/>
        <w:rPr>
          <w:rFonts w:ascii="Times New Roman" w:cs="Times New Roman" w:eastAsia="Times New Roman" w:hAnsi="Times New Roman"/>
          <w:sz w:val="22"/>
          <w:szCs w:val="22"/>
          <w:color w:val="auto"/>
        </w:rPr>
      </w:pPr>
    </w:p>
    <w:p>
      <w:pPr>
        <w:jc w:val="both"/>
        <w:ind w:left="1300" w:firstLine="405"/>
        <w:spacing w:after="0" w:line="257" w:lineRule="auto"/>
        <w:tabs>
          <w:tab w:leader="none" w:pos="2034"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of such Person to pay the deferred and unpaid purchase price of property or services (except Trade Payables), which purchase price is due more than six months after the date of placing such property in service or taking delivery and title thereto or the completion of such services;</w:t>
      </w:r>
    </w:p>
    <w:p>
      <w:pPr>
        <w:spacing w:after="0" w:line="172" w:lineRule="exact"/>
        <w:rPr>
          <w:rFonts w:ascii="Times New Roman" w:cs="Times New Roman" w:eastAsia="Times New Roman" w:hAnsi="Times New Roman"/>
          <w:sz w:val="22"/>
          <w:szCs w:val="22"/>
          <w:color w:val="auto"/>
        </w:rPr>
      </w:pPr>
    </w:p>
    <w:p>
      <w:pPr>
        <w:ind w:left="2020" w:hanging="315"/>
        <w:spacing w:after="0"/>
        <w:tabs>
          <w:tab w:leader="none" w:pos="2020"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Finance Lease Obligations and all Attributable Debt of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44" w:name="page245"/>
    <w:bookmarkEnd w:id="244"/>
    <w:p>
      <w:pPr>
        <w:jc w:val="both"/>
        <w:ind w:left="1300" w:firstLine="405"/>
        <w:spacing w:after="0" w:line="257" w:lineRule="auto"/>
        <w:tabs>
          <w:tab w:leader="none" w:pos="2061"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all obligations of such Person with respect to the redemption, repayment or other repurchase of any Disqualified Stock or, with respect to any Subsidiary of such Person, any Preferred Stock (but excluding, in each case, any accrued and unpaid dividends);</w:t>
      </w:r>
    </w:p>
    <w:p>
      <w:pPr>
        <w:spacing w:after="0" w:line="186" w:lineRule="exact"/>
        <w:rPr>
          <w:rFonts w:ascii="Times New Roman" w:cs="Times New Roman" w:eastAsia="Times New Roman" w:hAnsi="Times New Roman"/>
          <w:sz w:val="22"/>
          <w:szCs w:val="22"/>
          <w:color w:val="auto"/>
        </w:rPr>
      </w:pPr>
    </w:p>
    <w:p>
      <w:pPr>
        <w:jc w:val="both"/>
        <w:ind w:left="1300" w:firstLine="405"/>
        <w:spacing w:after="0" w:line="257" w:lineRule="auto"/>
        <w:tabs>
          <w:tab w:leader="none" w:pos="2034"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Indebtedness of other Persons secured by a Lien on any asset of such Person, whether or not such Indebtedness is assumed by such Person;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amount of Indebtedness of such Person shall be the lesser of:</w:t>
      </w:r>
    </w:p>
    <w:p>
      <w:pPr>
        <w:spacing w:after="0" w:line="172" w:lineRule="exact"/>
        <w:rPr>
          <w:rFonts w:ascii="Times New Roman" w:cs="Times New Roman" w:eastAsia="Times New Roman" w:hAnsi="Times New Roman"/>
          <w:sz w:val="22"/>
          <w:szCs w:val="22"/>
          <w:color w:val="auto"/>
        </w:rPr>
      </w:pPr>
    </w:p>
    <w:p>
      <w:pPr>
        <w:ind w:left="2460" w:hanging="346"/>
        <w:spacing w:after="0"/>
        <w:tabs>
          <w:tab w:leader="none" w:pos="2460" w:val="left"/>
        </w:tabs>
        <w:numPr>
          <w:ilvl w:val="1"/>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Fair Market Value of such asset at such date of determination and</w:t>
      </w:r>
    </w:p>
    <w:p>
      <w:pPr>
        <w:spacing w:after="0" w:line="219" w:lineRule="exact"/>
        <w:rPr>
          <w:rFonts w:ascii="Times New Roman" w:cs="Times New Roman" w:eastAsia="Times New Roman" w:hAnsi="Times New Roman"/>
          <w:sz w:val="22"/>
          <w:szCs w:val="22"/>
          <w:color w:val="auto"/>
        </w:rPr>
      </w:pPr>
    </w:p>
    <w:p>
      <w:pPr>
        <w:ind w:left="2460" w:hanging="346"/>
        <w:spacing w:after="0"/>
        <w:tabs>
          <w:tab w:leader="none" w:pos="2460" w:val="left"/>
        </w:tabs>
        <w:numPr>
          <w:ilvl w:val="1"/>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such Indebtedness of such other Persons;</w:t>
      </w:r>
    </w:p>
    <w:p>
      <w:pPr>
        <w:spacing w:after="0" w:line="233" w:lineRule="exact"/>
        <w:rPr>
          <w:rFonts w:ascii="Times New Roman" w:cs="Times New Roman" w:eastAsia="Times New Roman" w:hAnsi="Times New Roman"/>
          <w:sz w:val="22"/>
          <w:szCs w:val="22"/>
          <w:color w:val="auto"/>
        </w:rPr>
      </w:pPr>
    </w:p>
    <w:p>
      <w:pPr>
        <w:ind w:left="2020" w:hanging="315"/>
        <w:spacing w:after="0"/>
        <w:tabs>
          <w:tab w:leader="none" w:pos="2020"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Hedging Obligations of such Person; and</w:t>
      </w:r>
    </w:p>
    <w:p>
      <w:pPr>
        <w:spacing w:after="0" w:line="215" w:lineRule="exact"/>
        <w:rPr>
          <w:rFonts w:ascii="Times New Roman" w:cs="Times New Roman" w:eastAsia="Times New Roman" w:hAnsi="Times New Roman"/>
          <w:sz w:val="22"/>
          <w:szCs w:val="22"/>
          <w:color w:val="auto"/>
        </w:rPr>
      </w:pPr>
    </w:p>
    <w:p>
      <w:pPr>
        <w:jc w:val="both"/>
        <w:ind w:left="1300" w:firstLine="405"/>
        <w:spacing w:after="0" w:line="259" w:lineRule="auto"/>
        <w:tabs>
          <w:tab w:leader="none" w:pos="2007"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obligations of the type referred to in clauses </w:t>
      </w:r>
      <w:r>
        <w:rPr>
          <w:rFonts w:ascii="Times New Roman" w:cs="Times New Roman" w:eastAsia="Times New Roman" w:hAnsi="Times New Roman"/>
          <w:sz w:val="22"/>
          <w:szCs w:val="22"/>
          <w:b w:val="1"/>
          <w:bCs w:val="1"/>
          <w:color w:val="auto"/>
        </w:rPr>
        <w:t>(1)</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b w:val="1"/>
          <w:bCs w:val="1"/>
          <w:color w:val="auto"/>
        </w:rPr>
        <w:t>(8)</w:t>
      </w:r>
      <w:r>
        <w:rPr>
          <w:rFonts w:ascii="Times New Roman" w:cs="Times New Roman" w:eastAsia="Times New Roman" w:hAnsi="Times New Roman"/>
          <w:sz w:val="22"/>
          <w:szCs w:val="22"/>
          <w:color w:val="auto"/>
        </w:rPr>
        <w:t xml:space="preserve"> of other Persons for the payment of which such Person is responsible or liable, directly or indirectly, as obligor, guarantor or otherwise, including by means of any Guarantee.</w:t>
      </w:r>
    </w:p>
    <w:p>
      <w:pPr>
        <w:spacing w:after="0" w:line="17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Notwithstanding the foregoing, in connection with the purchase by the Borrower or any Restricted Subsidiary of any business, the term “Indebtedness” shall exclude post-closing payment adjustments to which the seller may become entitled to the extent such payment is determined by a final closing balance sheet or such payment depends on the performance of such business after the closing;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at the time of closing, the amount of any such payment is not determinable and, to the extent such payment thereafter becomes fixed and determined, the amount is paid within 30 days thereafter.</w:t>
      </w:r>
    </w:p>
    <w:p>
      <w:pPr>
        <w:spacing w:after="0" w:line="179"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The amount of Indebtedness of any Person at any date shall be the outstanding balance at such date of all unconditional obligations as described above;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the case of Indebtedness sold at a discount, the amount of such Indebtedness at any time will be the accreted value thereof at such time.</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Taxes</w:t>
      </w:r>
      <w:r>
        <w:rPr>
          <w:rFonts w:ascii="Times New Roman" w:cs="Times New Roman" w:eastAsia="Times New Roman" w:hAnsi="Times New Roman"/>
          <w:sz w:val="22"/>
          <w:szCs w:val="22"/>
          <w:color w:val="auto"/>
        </w:rPr>
        <w:t>” means Taxes other than Excluded Taxes.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Indemnitee</w:t>
      </w:r>
      <w:r>
        <w:rPr>
          <w:rFonts w:ascii="Times New Roman" w:cs="Times New Roman" w:eastAsia="Times New Roman" w:hAnsi="Times New Roman"/>
          <w:sz w:val="22"/>
          <w:szCs w:val="22"/>
          <w:color w:val="auto"/>
        </w:rPr>
        <w:t>” has the meaning set forth in Section 9.03.</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has the meaning set forth in Section 9.12.</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has the meaning set forth in the Guarantee and Collateral Agreement.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Intercompany Items</w:t>
      </w:r>
      <w:r>
        <w:rPr>
          <w:rFonts w:ascii="Times New Roman" w:cs="Times New Roman" w:eastAsia="Times New Roman" w:hAnsi="Times New Roman"/>
          <w:sz w:val="22"/>
          <w:szCs w:val="22"/>
          <w:color w:val="auto"/>
        </w:rPr>
        <w:t>” means obligations owed by the Borrower or any Subsidiary to the Borrower or any other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45" w:name="page246"/>
    <w:bookmarkEnd w:id="245"/>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Election Request</w:t>
      </w:r>
      <w:r>
        <w:rPr>
          <w:rFonts w:ascii="Times New Roman" w:cs="Times New Roman" w:eastAsia="Times New Roman" w:hAnsi="Times New Roman"/>
          <w:sz w:val="22"/>
          <w:szCs w:val="22"/>
          <w:color w:val="auto"/>
        </w:rPr>
        <w:t>” means a request by the Borrower to convert or continue a Borrowing in accordance with Section 2.06 in substantially the form approved by the Administrative Agent and the Borrower and separately provided to the Borrower.</w:t>
      </w:r>
    </w:p>
    <w:p>
      <w:pPr>
        <w:spacing w:after="0" w:line="18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Payment Date</w:t>
      </w:r>
      <w:r>
        <w:rPr>
          <w:rFonts w:ascii="Times New Roman" w:cs="Times New Roman" w:eastAsia="Times New Roman" w:hAnsi="Times New Roman"/>
          <w:sz w:val="22"/>
          <w:szCs w:val="22"/>
          <w:color w:val="auto"/>
        </w:rPr>
        <w:t>” means (a) with respect to any ABR Loan, the last day of each March, June, September and December, (b) with respect to any Term Benchmark Loan, the last day of the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(c) with respect to any RFR Loan, each date that is on the numerically corresponding day in each calendar month that is one month after the date of the Borrowing of such Loan (or, if there is no such numerically corresponding day in such month, then the last day of such month).</w:t>
      </w:r>
    </w:p>
    <w:p>
      <w:pPr>
        <w:spacing w:after="0" w:line="180"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Period</w:t>
      </w:r>
      <w:r>
        <w:rPr>
          <w:rFonts w:ascii="Times New Roman" w:cs="Times New Roman" w:eastAsia="Times New Roman" w:hAnsi="Times New Roman"/>
          <w:sz w:val="22"/>
          <w:szCs w:val="22"/>
          <w:color w:val="auto"/>
        </w:rPr>
        <w:t xml:space="preserve">” means, with respect to any Term Benchmark Borrowing, the period commencing on the date of such Borrowing and ending on the numerically corresponding day in the calendar month that is one, three or six months thereafter or ending on the same day of the week that is one week thereafter, as the Borrower may elect;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(other than a one week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(and that has not been subsequently reinstated to) this definition pursuant to Section 2.12(b)(4) shall be available for specification in such Borrowing Request or Interest Election Request. For purposes hereof, the date of a Borrowing initially shall be the date on which such Borrowing is made and thereafter shall be the effective date of the most recent conversion or continuation of such Borrowing.</w:t>
      </w:r>
    </w:p>
    <w:p>
      <w:pPr>
        <w:spacing w:after="0" w:line="184"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Rate Agreement</w:t>
      </w:r>
      <w:r>
        <w:rPr>
          <w:rFonts w:ascii="Times New Roman" w:cs="Times New Roman" w:eastAsia="Times New Roman" w:hAnsi="Times New Roman"/>
          <w:sz w:val="22"/>
          <w:szCs w:val="22"/>
          <w:color w:val="auto"/>
        </w:rPr>
        <w:t>” means, with respect to any Person, any interest rate protection agreement, interest rate future agreement, interest rate option agreement, interest rate swap agreement, interest rate cap agreement, interest rate collar agreement, interest rate hedge agreement or other similar agreement or arrangement to which such Person is a party or of which it is a beneficiary.</w:t>
      </w:r>
    </w:p>
    <w:p>
      <w:pPr>
        <w:spacing w:after="0" w:line="17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In-Transit Inventory</w:t>
      </w:r>
      <w:r>
        <w:rPr>
          <w:rFonts w:ascii="Times New Roman" w:cs="Times New Roman" w:eastAsia="Times New Roman" w:hAnsi="Times New Roman"/>
          <w:sz w:val="22"/>
          <w:szCs w:val="22"/>
          <w:color w:val="auto"/>
        </w:rPr>
        <w:t>” means Inventory of the Borrower or another Grantor that is in transit to a Permitted Inventory Location.</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Inventory</w:t>
      </w:r>
      <w:r>
        <w:rPr>
          <w:rFonts w:ascii="Times New Roman" w:cs="Times New Roman" w:eastAsia="Times New Roman" w:hAnsi="Times New Roman"/>
          <w:sz w:val="22"/>
          <w:szCs w:val="22"/>
          <w:color w:val="auto"/>
        </w:rPr>
        <w:t>” has the meaning specified in the UCC.</w:t>
      </w:r>
    </w:p>
    <w:p>
      <w:pPr>
        <w:spacing w:after="0" w:line="220"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Inventory Reserves</w:t>
      </w:r>
      <w:r>
        <w:rPr>
          <w:rFonts w:ascii="Times New Roman" w:cs="Times New Roman" w:eastAsia="Times New Roman" w:hAnsi="Times New Roman"/>
          <w:sz w:val="22"/>
          <w:szCs w:val="22"/>
          <w:color w:val="auto"/>
        </w:rPr>
        <w:t>” means, on any date, an amount equal to the sum of the following reserves maintained on the Borrower’s and each other Grantor’s 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46" w:name="page247"/>
    <w:bookmarkEnd w:id="246"/>
    <w:p>
      <w:pPr>
        <w:jc w:val="both"/>
        <w:spacing w:after="0" w:line="256" w:lineRule="auto"/>
        <w:rPr>
          <w:sz w:val="20"/>
          <w:szCs w:val="20"/>
          <w:color w:val="auto"/>
        </w:rPr>
      </w:pPr>
      <w:r>
        <w:rPr>
          <w:rFonts w:ascii="Times New Roman" w:cs="Times New Roman" w:eastAsia="Times New Roman" w:hAnsi="Times New Roman"/>
          <w:sz w:val="22"/>
          <w:szCs w:val="22"/>
          <w:color w:val="auto"/>
        </w:rPr>
        <w:t>ledger (calculated in each case in accordance with the current and historical accounting practices of the Borrower or such Grantor, as the case may be) with respect to Eligible Inventory and Eligible In-Transit Inventory, without duplication of any deductions made pursuant to the definitions of “Additional Inventory Reserves”, “Eligible Inventory”, “Eligible In-Transit Inventory” and “Inventory Value”:</w:t>
      </w:r>
    </w:p>
    <w:p>
      <w:pPr>
        <w:spacing w:after="0" w:line="176" w:lineRule="exact"/>
        <w:rPr>
          <w:sz w:val="20"/>
          <w:szCs w:val="20"/>
          <w:color w:val="auto"/>
        </w:rPr>
      </w:pPr>
    </w:p>
    <w:p>
      <w:pPr>
        <w:ind w:left="1680" w:hanging="299"/>
        <w:spacing w:after="0"/>
        <w:tabs>
          <w:tab w:leader="none" w:pos="1680"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reserve for Inventory that is damaged;</w:t>
      </w:r>
    </w:p>
    <w:p>
      <w:pPr>
        <w:spacing w:after="0" w:line="219" w:lineRule="exact"/>
        <w:rPr>
          <w:rFonts w:ascii="Times New Roman" w:cs="Times New Roman" w:eastAsia="Times New Roman" w:hAnsi="Times New Roman"/>
          <w:sz w:val="22"/>
          <w:szCs w:val="22"/>
          <w:color w:val="auto"/>
        </w:rPr>
      </w:pPr>
    </w:p>
    <w:p>
      <w:pPr>
        <w:jc w:val="both"/>
        <w:ind w:left="660" w:right="20" w:firstLine="721"/>
        <w:spacing w:after="0" w:line="257" w:lineRule="auto"/>
        <w:tabs>
          <w:tab w:leader="none" w:pos="1732"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revaluation reserve to reflect capitalized manufacturing variances whereby aggregate net variances (if favorable) shall be deducted from Eligible Inventory or Eligible In-Transit Inventory, as applicable, and aggregate net variances (if unfavorable) shall not be added to Eligible Inventory or Eligible In-Transit Inventory, as applicable;</w:t>
      </w:r>
    </w:p>
    <w:p>
      <w:pPr>
        <w:spacing w:after="0" w:line="186" w:lineRule="exact"/>
        <w:rPr>
          <w:rFonts w:ascii="Times New Roman" w:cs="Times New Roman" w:eastAsia="Times New Roman" w:hAnsi="Times New Roman"/>
          <w:sz w:val="22"/>
          <w:szCs w:val="22"/>
          <w:color w:val="auto"/>
        </w:rPr>
      </w:pPr>
    </w:p>
    <w:p>
      <w:pPr>
        <w:jc w:val="both"/>
        <w:ind w:left="660" w:firstLine="721"/>
        <w:spacing w:after="0" w:line="257" w:lineRule="auto"/>
        <w:tabs>
          <w:tab w:leader="none" w:pos="1719"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reserve equal to the aggregate Inventory Value of Eligible Inventory and Eligible In-Transit Inventory attributable to intercompany or intracompany profit among the Borrower and its Affiliates (other than Eligible Affiliates); and</w:t>
      </w:r>
    </w:p>
    <w:p>
      <w:pPr>
        <w:spacing w:after="0" w:line="172" w:lineRule="exact"/>
        <w:rPr>
          <w:rFonts w:ascii="Times New Roman" w:cs="Times New Roman" w:eastAsia="Times New Roman" w:hAnsi="Times New Roman"/>
          <w:sz w:val="22"/>
          <w:szCs w:val="22"/>
          <w:color w:val="auto"/>
        </w:rPr>
      </w:pPr>
    </w:p>
    <w:p>
      <w:pPr>
        <w:ind w:left="660" w:firstLine="721"/>
        <w:spacing w:after="0" w:line="271" w:lineRule="auto"/>
        <w:tabs>
          <w:tab w:leader="none" w:pos="1691"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lower of cost or market reserve for any differences between the Borrower’s actual cost to produce versus the Borrower’s sale price to third parties, determined on a product line basis.</w:t>
      </w:r>
    </w:p>
    <w:p>
      <w:pPr>
        <w:spacing w:after="0" w:line="158"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Inventory Value</w:t>
      </w:r>
      <w:r>
        <w:rPr>
          <w:rFonts w:ascii="Times New Roman" w:cs="Times New Roman" w:eastAsia="Times New Roman" w:hAnsi="Times New Roman"/>
          <w:sz w:val="22"/>
          <w:szCs w:val="22"/>
          <w:color w:val="auto"/>
        </w:rPr>
        <w:t>” means, with respect to any Inventory of the Borrower or any other Grantor at the time of any determination thereof, an amount equal to such Inventory carried on the perpetual inventory records of the Borrower (or such Grantor, as the case may be) stated on a basis consistent with its current and historical accounting practices, in dollars, determined in accordance with the standard cost method of accounting, which shall be, in the case of Inventory imported by the Borrower or another Grantor into the United States of America or Canada, the acquisition cost thereof plus transportation and freight charges plus import duties.</w:t>
      </w:r>
    </w:p>
    <w:p>
      <w:pPr>
        <w:spacing w:after="0" w:line="195" w:lineRule="exact"/>
        <w:rPr>
          <w:sz w:val="20"/>
          <w:szCs w:val="20"/>
          <w:color w:val="auto"/>
        </w:rPr>
      </w:pPr>
    </w:p>
    <w:p>
      <w:pPr>
        <w:jc w:val="both"/>
        <w:ind w:right="20" w:firstLine="1296"/>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Inventory Vendor</w:t>
      </w:r>
      <w:r>
        <w:rPr>
          <w:rFonts w:ascii="Times New Roman" w:cs="Times New Roman" w:eastAsia="Times New Roman" w:hAnsi="Times New Roman"/>
          <w:sz w:val="21"/>
          <w:szCs w:val="21"/>
          <w:color w:val="auto"/>
        </w:rPr>
        <w:t>” means (a) a contract manufacturer that manufactures and sells, or a vendor that sells, Inventory in the ordinary course of its business to third parties or (b) the Borrower or any Subsidiary that manufactures Inventory.</w:t>
      </w:r>
    </w:p>
    <w:p>
      <w:pPr>
        <w:spacing w:after="0" w:line="13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w:t>
      </w:r>
      <w:r>
        <w:rPr>
          <w:rFonts w:ascii="Times New Roman" w:cs="Times New Roman" w:eastAsia="Times New Roman" w:hAnsi="Times New Roman"/>
          <w:sz w:val="22"/>
          <w:szCs w:val="22"/>
          <w:color w:val="auto"/>
        </w:rPr>
        <w:t>” in any Person means any direct or indirect advance, loan or other extension of credit (including by way of Guarantee or similar arrangement) or capital contribution to (by means of any transfer of cash or other property to others or any payment for property or services for the account or use of others), or any purchase or acquisition of Capital Stock, Indebtedness or other similar instruments issued by, such Person. For purposes of the definition of “Unrestricted Subsidiary” and Section 6.02:</w:t>
      </w:r>
    </w:p>
    <w:p>
      <w:pPr>
        <w:spacing w:after="0" w:line="179" w:lineRule="exact"/>
        <w:rPr>
          <w:sz w:val="20"/>
          <w:szCs w:val="20"/>
          <w:color w:val="auto"/>
        </w:rPr>
      </w:pPr>
    </w:p>
    <w:p>
      <w:pPr>
        <w:jc w:val="both"/>
        <w:ind w:left="1300" w:firstLine="405"/>
        <w:spacing w:after="0" w:line="257" w:lineRule="auto"/>
        <w:tabs>
          <w:tab w:leader="none" w:pos="2007"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 shall include the portion (proportionate to the Borrower’s equity interest in such Subsidiary) of the Fair Market Value of the net assets of any Subsidiary of the Borrower at the time that such Subsidiary is designated an Unrestricted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47" w:name="page248"/>
    <w:bookmarkEnd w:id="247"/>
    <w:p>
      <w:pPr>
        <w:ind w:left="1300"/>
        <w:spacing w:after="0" w:line="271" w:lineRule="auto"/>
        <w:rPr>
          <w:sz w:val="20"/>
          <w:szCs w:val="20"/>
          <w:color w:val="auto"/>
        </w:rPr>
      </w:pPr>
      <w:r>
        <w:rPr>
          <w:rFonts w:ascii="Times New Roman" w:cs="Times New Roman" w:eastAsia="Times New Roman" w:hAnsi="Times New Roman"/>
          <w:sz w:val="22"/>
          <w:szCs w:val="22"/>
          <w:color w:val="auto"/>
        </w:rPr>
        <w:t>that upon a redesignation of such Subsidiary as a Restricted Subsidiary, the Borrower shall be deemed to continue to have a permanent “Investment” in an Unrestricted Subsidiary in an amount (if positive) equal to:</w:t>
      </w:r>
    </w:p>
    <w:p>
      <w:pPr>
        <w:spacing w:after="0" w:line="158" w:lineRule="exact"/>
        <w:rPr>
          <w:sz w:val="20"/>
          <w:szCs w:val="20"/>
          <w:color w:val="auto"/>
        </w:rPr>
      </w:pPr>
    </w:p>
    <w:p>
      <w:pPr>
        <w:ind w:left="2460" w:hanging="346"/>
        <w:spacing w:after="0"/>
        <w:tabs>
          <w:tab w:leader="none" w:pos="2460"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Borrower’s “Investment” in such Subsidiary at the time of such redesignation less</w:t>
      </w:r>
    </w:p>
    <w:p>
      <w:pPr>
        <w:spacing w:after="0" w:line="233" w:lineRule="exact"/>
        <w:rPr>
          <w:rFonts w:ascii="Times New Roman" w:cs="Times New Roman" w:eastAsia="Times New Roman" w:hAnsi="Times New Roman"/>
          <w:sz w:val="22"/>
          <w:szCs w:val="22"/>
          <w:color w:val="auto"/>
        </w:rPr>
      </w:pPr>
    </w:p>
    <w:p>
      <w:pPr>
        <w:ind w:left="1700" w:firstLine="414"/>
        <w:spacing w:after="0" w:line="271" w:lineRule="auto"/>
        <w:tabs>
          <w:tab w:leader="none" w:pos="2460"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portion (proportionate to the Borrower’s equity interest in such Subsidiary) of the Fair Market Value of the net assets of such Subsidiary at the time of such redesignation; and</w:t>
      </w:r>
    </w:p>
    <w:p>
      <w:pPr>
        <w:spacing w:after="0" w:line="158" w:lineRule="exact"/>
        <w:rPr>
          <w:sz w:val="20"/>
          <w:szCs w:val="20"/>
          <w:color w:val="auto"/>
        </w:rPr>
      </w:pPr>
    </w:p>
    <w:p>
      <w:pPr>
        <w:ind w:left="1300" w:right="20" w:firstLine="405"/>
        <w:spacing w:after="0" w:line="271" w:lineRule="auto"/>
        <w:tabs>
          <w:tab w:leader="none" w:pos="2007"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property transferred to or from an Unrestricted Subsidiary shall be valued at its Fair Market Value at the time of such transfer.</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In the event that the Borrower sells Capital Stock of a Restricted Subsidiary such that after giving effect to such sale, such Restricted Subsidiary would no longer constitute a Restricted Subsidiary, any Investment in such Person remaining after giving effect to such sale shall be deemed to constitute an Investment made on the date of such sale of Capital Stock.</w:t>
      </w:r>
    </w:p>
    <w:p>
      <w:pPr>
        <w:spacing w:after="0" w:line="167"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 Grade</w:t>
      </w:r>
      <w:r>
        <w:rPr>
          <w:rFonts w:ascii="Times New Roman" w:cs="Times New Roman" w:eastAsia="Times New Roman" w:hAnsi="Times New Roman"/>
          <w:sz w:val="22"/>
          <w:szCs w:val="22"/>
          <w:color w:val="auto"/>
        </w:rPr>
        <w:t>” means, in the case of Moody’s, a credit rating of Baa3 or better and, in the case of Standard &amp; Poor’s, a credit rating of BBB- or better.</w:t>
      </w:r>
    </w:p>
    <w:p>
      <w:pPr>
        <w:spacing w:after="0" w:line="158"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Issuing Bank</w:t>
      </w:r>
      <w:r>
        <w:rPr>
          <w:rFonts w:ascii="Times New Roman" w:cs="Times New Roman" w:eastAsia="Times New Roman" w:hAnsi="Times New Roman"/>
          <w:sz w:val="22"/>
          <w:szCs w:val="22"/>
          <w:color w:val="auto"/>
        </w:rPr>
        <w:t>” means each of JPMCB, Bank of America, N.A., BNP Paribas, Capital One, National Association, CIBC Bank USA, Citibank, N.A., Credit Agricole Corporate and Investment Bank, Deutsche Bank AG New York Branch, Fifth Third Bank, National Association, Goldman Sachs Bank USA, The Huntington National Bank, MUFG Bank, Ltd., PNC Bank, National Association, Regions Bank and any other financial institution that has entered into an Issuing Bank Agreement, each in its capacity as an issuer of Letters of Credit hereunder, and its successors in such capacity as provided in Section 2.03(i). Each Issuing Bank may, in its discretion, arrange for one or more Letters of Credit to be issued by Affiliates or branches of such Issuing Bank, in which case the term “Issuing Bank” shall include any such Affiliate or branch with respect to Letters of Credit issued by such Affiliate or branch.</w:t>
      </w:r>
    </w:p>
    <w:p>
      <w:pPr>
        <w:spacing w:after="0" w:line="187"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Issuing Bank Agreements</w:t>
      </w:r>
      <w:r>
        <w:rPr>
          <w:rFonts w:ascii="Times New Roman" w:cs="Times New Roman" w:eastAsia="Times New Roman" w:hAnsi="Times New Roman"/>
          <w:sz w:val="21"/>
          <w:szCs w:val="21"/>
          <w:color w:val="auto"/>
        </w:rPr>
        <w:t>” means (a) the issuing bank agreements entered into by Issuing Banks either (i) in connection with the Existing Credit Agreement, as amended prior to the Restatement Date (each of which agreements, as it may be modified on the Restatement Date, shall continue in respect of this Agreement) or (ii) in connection with the occurrence of the Restatement Date, and (b) each other agreement in form reasonably satisfactory to the Borrower, the Administrative Agent and a financial institution pursuant to which such financial institution agrees to act as an Issuing Bank hereunder.</w:t>
      </w:r>
    </w:p>
    <w:p>
      <w:pPr>
        <w:spacing w:after="0" w:line="1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JPMCB</w:t>
      </w:r>
      <w:r>
        <w:rPr>
          <w:rFonts w:ascii="Times New Roman" w:cs="Times New Roman" w:eastAsia="Times New Roman" w:hAnsi="Times New Roman"/>
          <w:sz w:val="22"/>
          <w:szCs w:val="22"/>
          <w:color w:val="auto"/>
        </w:rPr>
        <w:t>” means JPMorgan Chase Bank, N.A., and its successors.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48" w:name="page249"/>
    <w:bookmarkEnd w:id="248"/>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Commitment</w:t>
      </w:r>
      <w:r>
        <w:rPr>
          <w:rFonts w:ascii="Times New Roman" w:cs="Times New Roman" w:eastAsia="Times New Roman" w:hAnsi="Times New Roman"/>
          <w:sz w:val="22"/>
          <w:szCs w:val="22"/>
          <w:color w:val="auto"/>
        </w:rPr>
        <w:t>” means, as to any Issuing Bank, the maximum permitted amount of the LC Exposure that may be attributable to Letters of Credit issued by such Issuing Bank, as set forth in such Issuing Bank’s Issuing Bank Agreement (as such Issuing Bank Agreement may be amended by agreement between the Borrower and such Issuing Bank).</w:t>
      </w:r>
    </w:p>
    <w:p>
      <w:pPr>
        <w:spacing w:after="0" w:line="18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Disbursement</w:t>
      </w:r>
      <w:r>
        <w:rPr>
          <w:rFonts w:ascii="Times New Roman" w:cs="Times New Roman" w:eastAsia="Times New Roman" w:hAnsi="Times New Roman"/>
          <w:sz w:val="22"/>
          <w:szCs w:val="22"/>
          <w:color w:val="auto"/>
        </w:rPr>
        <w:t>” means a payment made by any Issuing Bank pursuant to a Letter of Credit. The amount of any LC Disbursement made by an Issuing Bank in Canadian Dollars, Euros or Pounds Sterling and not reimbursed by the Borrower shall be determined as set forth in paragraph (e) or (l) of Section 2.03, as applicable.</w:t>
      </w:r>
    </w:p>
    <w:p>
      <w:pPr>
        <w:spacing w:after="0" w:line="173"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Exchange Rate</w:t>
      </w:r>
      <w:r>
        <w:rPr>
          <w:rFonts w:ascii="Times New Roman" w:cs="Times New Roman" w:eastAsia="Times New Roman" w:hAnsi="Times New Roman"/>
          <w:sz w:val="22"/>
          <w:szCs w:val="22"/>
          <w:color w:val="auto"/>
        </w:rPr>
        <w:t xml:space="preserve">” means, on any day, with respect to dollars in relation to Canadian Dollars, Euros or Pounds Sterling, the rate at which dollars may be exchanged into such currency, as set forth at approximately 12:00 noon, New York City time, on such day on the applicable Reuters World Currency Page. In the event that any such rate does not appear on the applicable Reuters World Currency Page, the LC Exchange Rate shall be determined by reference to such other publicly available service for displaying exchange rates as may be agreed upon by the Administrative Agent and the Borrower or, in the absence of such agreement, such LC Exchange Rate shall instead be the arithmetic average of the spot rates of exchange of the Administrative Agent, at or about 11:00 a.m., New York City time, on such date for the purchase of Canadian Dollars, Euros or Pounds Sterling, as the case may be, with dollars for delivery two Business Days later;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at the time of any such determination, for any reason, no such spot rate is being quoted, the Administrative Agent, after consultation with the Borrower, may use any reasonable method it deems appropriate to determine such rate, and such determination shall be conclusive absent manifest error.</w:t>
      </w:r>
    </w:p>
    <w:p>
      <w:pPr>
        <w:spacing w:after="0" w:line="189" w:lineRule="exact"/>
        <w:rPr>
          <w:sz w:val="20"/>
          <w:szCs w:val="20"/>
          <w:color w:val="auto"/>
        </w:rPr>
      </w:pPr>
    </w:p>
    <w:p>
      <w:pPr>
        <w:jc w:val="both"/>
        <w:ind w:firstLine="129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LC Exposure</w:t>
      </w:r>
      <w:r>
        <w:rPr>
          <w:rFonts w:ascii="Times New Roman" w:cs="Times New Roman" w:eastAsia="Times New Roman" w:hAnsi="Times New Roman"/>
          <w:sz w:val="21"/>
          <w:szCs w:val="21"/>
          <w:color w:val="auto"/>
        </w:rPr>
        <w:t>” means, at any time, the sum of (a) the aggregate amount of the Dollar Equivalents of the undrawn amounts of all outstanding Letters of Credit at such time plus (b) the aggregate amount of the Dollar Equivalents of all LC Disbursements that have not yet been reimbursed by or on behalf of the Borrower at such time (by the borrowing of Loans or otherwise). The LC Exposure of any Lender at any time shall be its Applicable Percentage of the total LC Exposure at such time.</w:t>
      </w:r>
    </w:p>
    <w:p>
      <w:pPr>
        <w:spacing w:after="0" w:line="161"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Participation Calculation Date</w:t>
      </w:r>
      <w:r>
        <w:rPr>
          <w:rFonts w:ascii="Times New Roman" w:cs="Times New Roman" w:eastAsia="Times New Roman" w:hAnsi="Times New Roman"/>
          <w:sz w:val="22"/>
          <w:szCs w:val="22"/>
          <w:color w:val="auto"/>
        </w:rPr>
        <w:t>” means, with respect to any LC Disbursement made in a currency other than dollars, (a) the date on which the Issuing Bank shall advise the Administrative Agent that it purchased with dollars the currency used to make such LC Disbursement, or (b) if the Issuing Bank shall not advise the Administrative Agent that it made such a purchase, the date on which such LC Disbursement is made.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 Parent</w:t>
      </w:r>
      <w:r>
        <w:rPr>
          <w:rFonts w:ascii="Times New Roman" w:cs="Times New Roman" w:eastAsia="Times New Roman" w:hAnsi="Times New Roman"/>
          <w:sz w:val="22"/>
          <w:szCs w:val="22"/>
          <w:color w:val="auto"/>
        </w:rPr>
        <w:t>” means, with respect to any Lender, any Person of which such Lender is a direct or indirect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subsidiary.</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Lender-Related Person</w:t>
      </w:r>
      <w:r>
        <w:rPr>
          <w:rFonts w:ascii="Times New Roman" w:cs="Times New Roman" w:eastAsia="Times New Roman" w:hAnsi="Times New Roman"/>
          <w:sz w:val="22"/>
          <w:szCs w:val="22"/>
          <w:color w:val="auto"/>
        </w:rPr>
        <w:t>” has the meaning assigned to it in Section 9.03(b).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49" w:name="page250"/>
    <w:bookmarkEnd w:id="249"/>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means the Persons listed on Schedule 2.01 and any other Person that shall have become a party hereto pursuant to an Assignment and Assumption, other than any such Person that ceases to be a party hereto pursuant to an Assignment and Assumption. Unless the context otherwise requires (including, for the avoidance of doubt, in the case of provisions governing the making and repayment of Revolving Loans and participations in Letters of Credit and Swingline Loans), the term “Lender” includes each Swingline Lender.</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Letter of Credit</w:t>
      </w:r>
      <w:r>
        <w:rPr>
          <w:rFonts w:ascii="Times New Roman" w:cs="Times New Roman" w:eastAsia="Times New Roman" w:hAnsi="Times New Roman"/>
          <w:sz w:val="21"/>
          <w:szCs w:val="21"/>
          <w:color w:val="auto"/>
        </w:rPr>
        <w:t>” means each Existing Letter of Credit and any letter of credit issued pursuant to this Agreement.</w:t>
      </w:r>
    </w:p>
    <w:p>
      <w:pPr>
        <w:spacing w:after="0" w:line="2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Liabilities</w:t>
      </w:r>
      <w:r>
        <w:rPr>
          <w:rFonts w:ascii="Times New Roman" w:cs="Times New Roman" w:eastAsia="Times New Roman" w:hAnsi="Times New Roman"/>
          <w:sz w:val="22"/>
          <w:szCs w:val="22"/>
          <w:color w:val="auto"/>
        </w:rPr>
        <w:t>” means any losses, claims (including intraparty claims), demands, damages or liabilities of any kind.</w:t>
      </w:r>
    </w:p>
    <w:p>
      <w:pPr>
        <w:spacing w:after="0" w:line="22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with respect to any asset, (a) any mortgage, deed of trust, French delegation of claims, lien, pledge, hypothecation, encumbrance, charge or security interest in, on or of such asset, and (b) the interest of a vendor or a lessor under any conditional sale agreement, capital lease or title retention agreement (or any financing lease having substantially the same economic effect as any of the foregoing) relating to such asset.</w:t>
      </w:r>
    </w:p>
    <w:p>
      <w:pPr>
        <w:spacing w:after="0" w:line="17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 Subordination and Intercreditor Agreement</w:t>
      </w:r>
      <w:r>
        <w:rPr>
          <w:rFonts w:ascii="Times New Roman" w:cs="Times New Roman" w:eastAsia="Times New Roman" w:hAnsi="Times New Roman"/>
          <w:sz w:val="22"/>
          <w:szCs w:val="22"/>
          <w:color w:val="auto"/>
        </w:rPr>
        <w:t>” means the Lien Subordination and Intercreditor Agreement dated as of April 19, 2012, as amended, among (a) the Collateral Agent, (b) the collateral agent under the now-terminated Second Lien Credit Agreement (as such term is defined therein), (c) the Designated Senior Obligations Collateral Agents and Designated Junior Obligations Collateral Agents (as such terms are defined therein) from time to time party thereto and (d) the Borrower and the Subsidiaries of the Borrower party thereto or any substitute or successor agreement among such parties containing substantially the same terms (and under which the Obligations shall have been designated by the Borrower as “Senior Obligations”), with any changes approved by the Administrative Agent.</w:t>
      </w:r>
    </w:p>
    <w:p>
      <w:pPr>
        <w:spacing w:after="0" w:line="180"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 Waiver</w:t>
      </w:r>
      <w:r>
        <w:rPr>
          <w:rFonts w:ascii="Times New Roman" w:cs="Times New Roman" w:eastAsia="Times New Roman" w:hAnsi="Times New Roman"/>
          <w:sz w:val="22"/>
          <w:szCs w:val="22"/>
          <w:color w:val="auto"/>
        </w:rPr>
        <w:t>” means a written waiver of statutory or contractual Liens on Inventory for unpaid rent or charges of a warehouseman or bailee in form and substance reasonably satisfactory to the Administrative Agent.</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Loans</w:t>
      </w:r>
      <w:r>
        <w:rPr>
          <w:rFonts w:ascii="Times New Roman" w:cs="Times New Roman" w:eastAsia="Times New Roman" w:hAnsi="Times New Roman"/>
          <w:sz w:val="22"/>
          <w:szCs w:val="22"/>
          <w:color w:val="auto"/>
        </w:rPr>
        <w:t>” means the loans made by the Lenders to the Borrower pursuant to this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Lockbox System</w:t>
      </w:r>
      <w:r>
        <w:rPr>
          <w:rFonts w:ascii="Times New Roman" w:cs="Times New Roman" w:eastAsia="Times New Roman" w:hAnsi="Times New Roman"/>
          <w:sz w:val="22"/>
          <w:szCs w:val="22"/>
          <w:color w:val="auto"/>
        </w:rPr>
        <w:t>” has the meaning assigned to such term in the Guarantee and Collateral Agreement.</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Majority Lenders</w:t>
      </w:r>
      <w:r>
        <w:rPr>
          <w:rFonts w:ascii="Times New Roman" w:cs="Times New Roman" w:eastAsia="Times New Roman" w:hAnsi="Times New Roman"/>
          <w:sz w:val="22"/>
          <w:szCs w:val="22"/>
          <w:color w:val="auto"/>
        </w:rPr>
        <w:t xml:space="preserve">” means, at any time, Lenders having aggregate Credit Exposures and unused Commitments representing at least a majority of the sum of the total Credit Exposures and unused Commitments at such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for purposes of this definition, (a) in determining the Credit Exposure of any Swingline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50" w:name="page251"/>
    <w:bookmarkEnd w:id="250"/>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Lender, the Swingline Exposure of such Lender shall be deemed to equal its Applicable Percentage of all outstanding Swingline Loans, and (b) the unused Commitment of any such Lender shall be determined in a manner consistent with the preceding clause (a).</w:t>
      </w:r>
    </w:p>
    <w:p>
      <w:pPr>
        <w:spacing w:after="0" w:line="186"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Change</w:t>
      </w:r>
      <w:r>
        <w:rPr>
          <w:rFonts w:ascii="Times New Roman" w:cs="Times New Roman" w:eastAsia="Times New Roman" w:hAnsi="Times New Roman"/>
          <w:sz w:val="22"/>
          <w:szCs w:val="22"/>
          <w:color w:val="auto"/>
        </w:rPr>
        <w:t>” means a material adverse change in or effect on (a) the business, operations, properties, assets or financial condition (including as a result of the effects of any contingent liabilities thereon) of the Borrower and the Subsidiaries, taken as a whole, (b) the ability of the Credit Parties, taken as a whole, to perform obligations under this Agreement and the other Credit Documents that are material to the rights or interests of the Lenders or (c) the rights of or benefits available to the Lenders or the Issuing Banks under this Agreement and the other Credit Documents that are material to the interests of the Lenders or the Issuing Banks.</w:t>
      </w:r>
    </w:p>
    <w:p>
      <w:pPr>
        <w:spacing w:after="0" w:line="18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Foreign Subsidiary</w:t>
      </w:r>
      <w:r>
        <w:rPr>
          <w:rFonts w:ascii="Times New Roman" w:cs="Times New Roman" w:eastAsia="Times New Roman" w:hAnsi="Times New Roman"/>
          <w:sz w:val="22"/>
          <w:szCs w:val="22"/>
          <w:color w:val="auto"/>
        </w:rPr>
        <w:t>” means, at any time, each Foreign Subsidiary that had Total Assets with an aggregate book value in excess of $50,000,000 as of March 31, 2025, or if later, as of the end of the most recent fiscal quarter for which financial statements have been delivered (or deemed delivered) pursuant to Section 5.01(a) or (b).</w:t>
      </w:r>
    </w:p>
    <w:p>
      <w:pPr>
        <w:spacing w:after="0" w:line="173"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Indebtedness</w:t>
      </w:r>
      <w:r>
        <w:rPr>
          <w:rFonts w:ascii="Times New Roman" w:cs="Times New Roman" w:eastAsia="Times New Roman" w:hAnsi="Times New Roman"/>
          <w:sz w:val="22"/>
          <w:szCs w:val="22"/>
          <w:color w:val="auto"/>
        </w:rPr>
        <w:t>” means Indebtedness (other than the Loans and Letters of Credit), or obligations in respect of one or more Swap Agreements, of any one or more of the Borrower and the Subsidiaries in an aggregate principal amount exceeding $100,000,000. For purposes of determining Material Indebtedness, the “principal amount” of the obligations of the Borrower or any Subsidiary in respect of any Swap Agreement at any time shall be the maximum aggregate amount (giving effect to any netting agreements) that the Borrower or such Subsidiary would be required to pay if such Swap Agreement were terminated at such time, calculated in accordance with the terms of such Swap Agreement.</w:t>
      </w:r>
    </w:p>
    <w:p>
      <w:pPr>
        <w:spacing w:after="0" w:line="181"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Intellectual Property</w:t>
      </w:r>
      <w:r>
        <w:rPr>
          <w:rFonts w:ascii="Times New Roman" w:cs="Times New Roman" w:eastAsia="Times New Roman" w:hAnsi="Times New Roman"/>
          <w:sz w:val="22"/>
          <w:szCs w:val="22"/>
          <w:color w:val="auto"/>
        </w:rPr>
        <w:t>” means all Intellectual Property of the Borrower and the Grantors, other than Intellectual Property that in the aggregate is not material to the business of the Borrower and the Subsidiaries, taken as a whole.</w:t>
      </w:r>
    </w:p>
    <w:p>
      <w:pPr>
        <w:spacing w:after="0" w:line="14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Subsidiary</w:t>
      </w:r>
      <w:r>
        <w:rPr>
          <w:rFonts w:ascii="Times New Roman" w:cs="Times New Roman" w:eastAsia="Times New Roman" w:hAnsi="Times New Roman"/>
          <w:sz w:val="22"/>
          <w:szCs w:val="22"/>
          <w:color w:val="auto"/>
        </w:rPr>
        <w:t>” means, at any time, each Subsidiary other than Subsidiaries that do not represent more than 5% for any such individual Subsidiary, or more than 10% in the aggregate for all such Subsidiaries, of either (a) Consolidated Total Assets or (b) Consolidated Revenue for the period of four fiscal quarters most recently ended.</w:t>
      </w:r>
    </w:p>
    <w:p>
      <w:pPr>
        <w:spacing w:after="0" w:line="17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MNPI</w:t>
      </w:r>
      <w:r>
        <w:rPr>
          <w:rFonts w:ascii="Times New Roman" w:cs="Times New Roman" w:eastAsia="Times New Roman" w:hAnsi="Times New Roman"/>
          <w:sz w:val="22"/>
          <w:szCs w:val="22"/>
          <w:color w:val="auto"/>
        </w:rPr>
        <w:t>” means material information concerning the Borrower and the Subsidiaries and their respective securities that has not been disseminated in a manner making it available to investors generally, within the meaning of Regulation FD under the Securities Act and the Exchange Act to the extent applicable.</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w:t>
      </w:r>
      <w:r>
        <w:rPr>
          <w:rFonts w:ascii="Times New Roman" w:cs="Times New Roman" w:eastAsia="Times New Roman" w:hAnsi="Times New Roman"/>
          <w:sz w:val="22"/>
          <w:szCs w:val="22"/>
          <w:color w:val="auto"/>
        </w:rPr>
        <w:t>” means Moody’s Investors Service Inc., and any successor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51" w:name="page252"/>
    <w:bookmarkEnd w:id="251"/>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Mortgage</w:t>
      </w:r>
      <w:r>
        <w:rPr>
          <w:rFonts w:ascii="Times New Roman" w:cs="Times New Roman" w:eastAsia="Times New Roman" w:hAnsi="Times New Roman"/>
          <w:sz w:val="22"/>
          <w:szCs w:val="22"/>
          <w:color w:val="auto"/>
        </w:rPr>
        <w:t>” means a mortgage or deed of trust, assignment of leases and rents, or other security documents reasonably satisfactory in form and substance to the Collateral Agent granting a Lien on any Mortgaged Property to secure the Obligations, and shall include each amendment and restatement of any existing Mortgage in connection with the amendment and restatement of the Existing Credit Agreement.</w:t>
      </w:r>
    </w:p>
    <w:p>
      <w:pPr>
        <w:spacing w:after="0" w:line="17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Mortgaged Property</w:t>
      </w:r>
      <w:r>
        <w:rPr>
          <w:rFonts w:ascii="Times New Roman" w:cs="Times New Roman" w:eastAsia="Times New Roman" w:hAnsi="Times New Roman"/>
          <w:sz w:val="22"/>
          <w:szCs w:val="22"/>
          <w:color w:val="auto"/>
        </w:rPr>
        <w:t>” means, at any time, each parcel of real property listed in Schedule 1.01B and the improvements thereto.</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Multiemployer Plan</w:t>
      </w:r>
      <w:r>
        <w:rPr>
          <w:rFonts w:ascii="Times New Roman" w:cs="Times New Roman" w:eastAsia="Times New Roman" w:hAnsi="Times New Roman"/>
          <w:sz w:val="22"/>
          <w:szCs w:val="22"/>
          <w:color w:val="auto"/>
        </w:rPr>
        <w:t>” means a multiemployer plan as defined in Section 4001(a)(3) of ERISA.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NAIC</w:t>
      </w:r>
      <w:r>
        <w:rPr>
          <w:rFonts w:ascii="Times New Roman" w:cs="Times New Roman" w:eastAsia="Times New Roman" w:hAnsi="Times New Roman"/>
          <w:sz w:val="22"/>
          <w:szCs w:val="22"/>
          <w:color w:val="auto"/>
        </w:rPr>
        <w:t>” means the National Association of Insurance Commissioners.</w:t>
      </w:r>
    </w:p>
    <w:p>
      <w:pPr>
        <w:spacing w:after="0" w:line="233"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Available Cash</w:t>
      </w:r>
      <w:r>
        <w:rPr>
          <w:rFonts w:ascii="Times New Roman" w:cs="Times New Roman" w:eastAsia="Times New Roman" w:hAnsi="Times New Roman"/>
          <w:sz w:val="22"/>
          <w:szCs w:val="22"/>
          <w:color w:val="auto"/>
        </w:rPr>
        <w:t>” from an Asset Disposition means cash payments received (including any cash payments received by way of deferred payment of principal pursuant to a note or installment receivable or otherwise and proceeds from the sale or other disposition of any securities received as consideration, in each case only as and when received, but excluding any other consideration received in the form of assumption by the acquiring Person of Indebtedness or other obligations relating to the properties or assets that are the subject of such Asset Disposition or received in any other noncash form) therefrom, in each case net of:</w:t>
      </w:r>
    </w:p>
    <w:p>
      <w:pPr>
        <w:spacing w:after="0" w:line="200" w:lineRule="exact"/>
        <w:rPr>
          <w:sz w:val="20"/>
          <w:szCs w:val="20"/>
          <w:color w:val="auto"/>
        </w:rPr>
      </w:pPr>
    </w:p>
    <w:p>
      <w:pPr>
        <w:jc w:val="both"/>
        <w:ind w:left="1300" w:firstLine="405"/>
        <w:spacing w:after="0" w:line="257" w:lineRule="auto"/>
        <w:tabs>
          <w:tab w:leader="none" w:pos="2021"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legal, accounting, investment banking, title and recording tax expenses, commissions and other fees and expenses incurred, and all Federal, state, provincial, foreign and local taxes required to be paid or accrued as a liability under GAAP, as a consequence of such Asset Disposition;</w:t>
      </w:r>
    </w:p>
    <w:p>
      <w:pPr>
        <w:spacing w:after="0" w:line="172" w:lineRule="exact"/>
        <w:rPr>
          <w:rFonts w:ascii="Times New Roman" w:cs="Times New Roman" w:eastAsia="Times New Roman" w:hAnsi="Times New Roman"/>
          <w:sz w:val="22"/>
          <w:szCs w:val="22"/>
          <w:color w:val="auto"/>
        </w:rPr>
      </w:pPr>
    </w:p>
    <w:p>
      <w:pPr>
        <w:jc w:val="both"/>
        <w:ind w:left="1300" w:firstLine="405"/>
        <w:spacing w:after="0" w:line="256" w:lineRule="auto"/>
        <w:tabs>
          <w:tab w:leader="none" w:pos="2007"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payments made on any Indebtedness which is secured by any assets subject to such Asset Disposition, in accordance with the terms of any Lien upon or other security agreement of any kind with respect to such assets, or which must by its terms, or in order to obtain a necessary consent to such Asset Disposition, or by applicable law be repaid out of the proceeds from such Asset Disposition;</w:t>
      </w:r>
    </w:p>
    <w:p>
      <w:pPr>
        <w:spacing w:after="0" w:line="176" w:lineRule="exact"/>
        <w:rPr>
          <w:rFonts w:ascii="Times New Roman" w:cs="Times New Roman" w:eastAsia="Times New Roman" w:hAnsi="Times New Roman"/>
          <w:sz w:val="22"/>
          <w:szCs w:val="22"/>
          <w:color w:val="auto"/>
        </w:rPr>
      </w:pPr>
    </w:p>
    <w:p>
      <w:pPr>
        <w:ind w:left="1300" w:firstLine="405"/>
        <w:spacing w:after="0" w:line="271" w:lineRule="auto"/>
        <w:tabs>
          <w:tab w:leader="none" w:pos="2021"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distributions and other payments required to be made to minority interest holders in Subsidiaries or joint ventures as a result of such Asset Disposition; and</w:t>
      </w:r>
    </w:p>
    <w:p>
      <w:pPr>
        <w:spacing w:after="0" w:line="157" w:lineRule="exact"/>
        <w:rPr>
          <w:rFonts w:ascii="Times New Roman" w:cs="Times New Roman" w:eastAsia="Times New Roman" w:hAnsi="Times New Roman"/>
          <w:sz w:val="22"/>
          <w:szCs w:val="22"/>
          <w:color w:val="auto"/>
        </w:rPr>
      </w:pPr>
    </w:p>
    <w:p>
      <w:pPr>
        <w:jc w:val="both"/>
        <w:ind w:left="1300" w:firstLine="405"/>
        <w:spacing w:after="0" w:line="256" w:lineRule="auto"/>
        <w:tabs>
          <w:tab w:leader="none" w:pos="2034"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appropriate amounts to be provided by the seller as a reserve, in accordance with GAAP, against any liabilities associated with the property or other assets disposed of in such Asset Disposition and retained by the Borrower or any Restricted Subsidiary after such Asset Disposition (but only for so long as such reserve is maintained).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52" w:name="page253"/>
    <w:bookmarkEnd w:id="252"/>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Cash Proceeds</w:t>
      </w:r>
      <w:r>
        <w:rPr>
          <w:rFonts w:ascii="Times New Roman" w:cs="Times New Roman" w:eastAsia="Times New Roman" w:hAnsi="Times New Roman"/>
          <w:sz w:val="22"/>
          <w:szCs w:val="22"/>
          <w:color w:val="auto"/>
        </w:rPr>
        <w:t>” means, with respect to any issuance or sale of Capital Stock, the cash proceeds of such issuance or sale net of attorneys’ fees, accountants’ fees, underwriters’ or placement agents’ fees, listing fees, discounts or commissions and brokerage, consultant and other fees actually incurred in connection with such issuance or sale and net of taxes paid or payable as a result thereof.</w:t>
      </w:r>
    </w:p>
    <w:p>
      <w:pPr>
        <w:spacing w:after="0" w:line="17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Intercompany Items</w:t>
      </w:r>
      <w:r>
        <w:rPr>
          <w:rFonts w:ascii="Times New Roman" w:cs="Times New Roman" w:eastAsia="Times New Roman" w:hAnsi="Times New Roman"/>
          <w:sz w:val="22"/>
          <w:szCs w:val="22"/>
          <w:color w:val="auto"/>
        </w:rPr>
        <w:t>” means, in the case of any Subsidiary, (a) the aggregate amount of the Intercompany Items owed by the Borrower or any other Subsidiary to such Subsidiary minus (b) the aggregate amount of the Intercompany Items owed by such Subsidiary to the Borrower or any other Subsidiary.</w:t>
      </w:r>
    </w:p>
    <w:p>
      <w:pPr>
        <w:spacing w:after="0" w:line="17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Ninth Supplemental Indenture</w:t>
      </w:r>
      <w:r>
        <w:rPr>
          <w:rFonts w:ascii="Times New Roman" w:cs="Times New Roman" w:eastAsia="Times New Roman" w:hAnsi="Times New Roman"/>
          <w:sz w:val="22"/>
          <w:szCs w:val="22"/>
          <w:color w:val="auto"/>
        </w:rPr>
        <w:t>” means, collectively, the Indenture dated as of August 13, 2010, among the Borrower, the subsidiary guarantors thereunder and Wells Fargo Bank, N.A., as trustee, and the Ninth Supplemental Indenture dated as of April 6, 2021, among the Borrower, the subsidiary guarantors thereunder and Wells Fargo Bank, N.A., as trustee.</w:t>
      </w:r>
    </w:p>
    <w:p>
      <w:pPr>
        <w:spacing w:after="0" w:line="16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North American Subsidiary</w:t>
      </w:r>
      <w:r>
        <w:rPr>
          <w:rFonts w:ascii="Times New Roman" w:cs="Times New Roman" w:eastAsia="Times New Roman" w:hAnsi="Times New Roman"/>
          <w:sz w:val="22"/>
          <w:szCs w:val="22"/>
          <w:color w:val="auto"/>
        </w:rPr>
        <w:t>” means any Subsidiary organized under the laws of the United States or Canada or any of their respective states, provinces, territories or possessions or any political subdivision of any thereof.</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North American Tire Division</w:t>
      </w:r>
      <w:r>
        <w:rPr>
          <w:rFonts w:ascii="Times New Roman" w:cs="Times New Roman" w:eastAsia="Times New Roman" w:hAnsi="Times New Roman"/>
          <w:sz w:val="22"/>
          <w:szCs w:val="22"/>
          <w:color w:val="auto"/>
        </w:rPr>
        <w:t>” means those standard business units of the Borrower and the other Grantors classified as “North American Tire Division” on the Borrower’s (or such Grantors’, as the case may be) perpetual inventory records.</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NYFRB</w:t>
      </w:r>
      <w:r>
        <w:rPr>
          <w:rFonts w:ascii="Times New Roman" w:cs="Times New Roman" w:eastAsia="Times New Roman" w:hAnsi="Times New Roman"/>
          <w:sz w:val="22"/>
          <w:szCs w:val="22"/>
          <w:color w:val="auto"/>
        </w:rPr>
        <w:t>” means the Federal Reserve Bank of New York.</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NYFRB Rate</w:t>
      </w:r>
      <w:r>
        <w:rPr>
          <w:rFonts w:ascii="Times New Roman" w:cs="Times New Roman" w:eastAsia="Times New Roman" w:hAnsi="Times New Roman"/>
          <w:sz w:val="22"/>
          <w:szCs w:val="22"/>
          <w:color w:val="auto"/>
        </w:rPr>
        <w:t>” means, for any day, the greater of (a) the Federal Funds Effective Rate in effect on such day and</w:t>
      </w:r>
    </w:p>
    <w:p>
      <w:pPr>
        <w:spacing w:after="0" w:line="28" w:lineRule="exact"/>
        <w:rPr>
          <w:sz w:val="20"/>
          <w:szCs w:val="20"/>
          <w:color w:val="auto"/>
        </w:rPr>
      </w:pPr>
    </w:p>
    <w:p>
      <w:pPr>
        <w:jc w:val="both"/>
        <w:ind w:firstLine="8"/>
        <w:spacing w:after="0" w:line="246" w:lineRule="auto"/>
        <w:tabs>
          <w:tab w:leader="none" w:pos="337"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Overnight Bank Funding Rate in effect on such day (or for any day that is not a Business Day, for the immediately preceding Business Day);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none of such rates are published for any day that is a Business Day, the term “NYFRB Rate” shall mean the rate for a federal funds transaction quoted at 11:00 a.m., New York City time, on such day received by the Administrative Agent from a Federal funds broker of recognized standing selected by it in its reasonable discretion;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if the NYFRB Rate, determined as provided above, would be less than zero, the NYFRB Rate shall for all purposes of this Agreement be zero.</w:t>
      </w:r>
    </w:p>
    <w:p>
      <w:pPr>
        <w:spacing w:after="0" w:line="189"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Obligations</w:t>
      </w:r>
      <w:r>
        <w:rPr>
          <w:rFonts w:ascii="Times New Roman" w:cs="Times New Roman" w:eastAsia="Times New Roman" w:hAnsi="Times New Roman"/>
          <w:sz w:val="22"/>
          <w:szCs w:val="22"/>
          <w:color w:val="auto"/>
        </w:rPr>
        <w:t>” means (a) the due and punctual payment of (i) the principal of and interest (including interest accruing during the pendency of any bankruptcy, insolvency, receivership or other similar proceeding, regardless of whether allowed or allowable in such proceeding) on the Loans, when and as due, whether at maturity, by acceleration, upon one or more dates set for prepayment or otherwise, (ii) each payment required to be made by the Borrower under this Agreement in respect of any Letter of Credit, when and as due, including payments in respect of reimbursements of LC Disbursements and interest thereon and (iii) all other monetary obligations of the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53" w:name="page254"/>
    <w:bookmarkEnd w:id="253"/>
    <w:p>
      <w:pPr>
        <w:jc w:val="both"/>
        <w:spacing w:after="0" w:line="253" w:lineRule="auto"/>
        <w:rPr>
          <w:sz w:val="20"/>
          <w:szCs w:val="20"/>
          <w:color w:val="auto"/>
        </w:rPr>
      </w:pPr>
      <w:r>
        <w:rPr>
          <w:rFonts w:ascii="Times New Roman" w:cs="Times New Roman" w:eastAsia="Times New Roman" w:hAnsi="Times New Roman"/>
          <w:sz w:val="22"/>
          <w:szCs w:val="22"/>
          <w:color w:val="auto"/>
        </w:rPr>
        <w:t>Parties to any of the Secured Parties under this Agreement and each of the other Credit Documents, including fees, costs, expenses and indemnities, whether primary, secondary, direct, contingent, fixed or otherwise (including monetary obligations incurred during the pendency of any bankruptcy, insolvency, receivership or other similar proceeding, regardless of whether allowed or allowable in such proceeding), and (b) the due and punctual performance of all other obligations of the Credit Parties to any of the Secured Parties under this Agreement and the other Credit Documents.</w:t>
      </w:r>
    </w:p>
    <w:p>
      <w:pPr>
        <w:spacing w:after="0" w:line="17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Taxes</w:t>
      </w:r>
      <w:r>
        <w:rPr>
          <w:rFonts w:ascii="Times New Roman" w:cs="Times New Roman" w:eastAsia="Times New Roman" w:hAnsi="Times New Roman"/>
          <w:sz w:val="22"/>
          <w:szCs w:val="22"/>
          <w:color w:val="auto"/>
        </w:rPr>
        <w:t>” means any and all present or future stamp, documentary, excise, recording, transfer, sales, property or similar taxes, charges or levies arising from any payment made under any Credit Document or from the execution, delivery or enforcement of, or otherwise with respect to, any Credit Document.</w:t>
      </w:r>
    </w:p>
    <w:p>
      <w:pPr>
        <w:spacing w:after="0" w:line="18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Overnight Bank Funding Rate</w:t>
      </w:r>
      <w:r>
        <w:rPr>
          <w:rFonts w:ascii="Times New Roman" w:cs="Times New Roman" w:eastAsia="Times New Roman" w:hAnsi="Times New Roman"/>
          <w:sz w:val="22"/>
          <w:szCs w:val="22"/>
          <w:color w:val="auto"/>
        </w:rPr>
        <w:t>” means, for any day, the rate comprised of both overnight federal funds and overnight eurodollar borrowings by U.S.-managed banking offices of depository institutions (as such composite rate shall be determined by the NYFRB as set forth on its public website from time to time) and published on the next succeeding Business Day by the NYFRB as an overnight bank funding rate (from and after such date as the NYFRB shall commence to publish such composite rate).</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has the meaning assigned to such term in Section 9.04.</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has the meaning assigned to such term in Section 9.04.</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w:t>
      </w:r>
      <w:r>
        <w:rPr>
          <w:rFonts w:ascii="Times New Roman" w:cs="Times New Roman" w:eastAsia="Times New Roman" w:hAnsi="Times New Roman"/>
          <w:sz w:val="22"/>
          <w:szCs w:val="22"/>
          <w:color w:val="auto"/>
        </w:rPr>
        <w:t>” has the meaning assigned to it in Article VIII.</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 Notice</w:t>
      </w:r>
      <w:r>
        <w:rPr>
          <w:rFonts w:ascii="Times New Roman" w:cs="Times New Roman" w:eastAsia="Times New Roman" w:hAnsi="Times New Roman"/>
          <w:sz w:val="22"/>
          <w:szCs w:val="22"/>
          <w:color w:val="auto"/>
        </w:rPr>
        <w:t>” has the meaning assigned to it in Article VIII.</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PBGC</w:t>
      </w:r>
      <w:r>
        <w:rPr>
          <w:rFonts w:ascii="Times New Roman" w:cs="Times New Roman" w:eastAsia="Times New Roman" w:hAnsi="Times New Roman"/>
          <w:sz w:val="22"/>
          <w:szCs w:val="22"/>
          <w:color w:val="auto"/>
        </w:rPr>
        <w:t>” means the Pension Benefit Guaranty Corporation referred to and defined in ERISA and any successor entity performing similar functions.</w:t>
      </w:r>
    </w:p>
    <w:p>
      <w:pPr>
        <w:spacing w:after="0" w:line="17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Business</w:t>
      </w:r>
      <w:r>
        <w:rPr>
          <w:rFonts w:ascii="Times New Roman" w:cs="Times New Roman" w:eastAsia="Times New Roman" w:hAnsi="Times New Roman"/>
          <w:sz w:val="22"/>
          <w:szCs w:val="22"/>
          <w:color w:val="auto"/>
        </w:rPr>
        <w:t>” means any business engaged in by the Borrower or any Restricted Subsidiary on the Restatement Date and any Related Business.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Encumbrances</w:t>
      </w:r>
      <w:r>
        <w:rPr>
          <w:rFonts w:ascii="Times New Roman" w:cs="Times New Roman" w:eastAsia="Times New Roman" w:hAnsi="Times New Roman"/>
          <w:sz w:val="22"/>
          <w:szCs w:val="22"/>
          <w:color w:val="auto"/>
        </w:rPr>
        <w:t>” means:</w:t>
      </w:r>
    </w:p>
    <w:p>
      <w:pPr>
        <w:spacing w:after="0" w:line="220" w:lineRule="exact"/>
        <w:rPr>
          <w:sz w:val="20"/>
          <w:szCs w:val="20"/>
          <w:color w:val="auto"/>
        </w:rPr>
      </w:pPr>
    </w:p>
    <w:p>
      <w:pPr>
        <w:jc w:val="both"/>
        <w:ind w:left="660" w:firstLine="721"/>
        <w:spacing w:after="0" w:line="263" w:lineRule="auto"/>
        <w:tabs>
          <w:tab w:leader="none" w:pos="1679"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Liens imposed by law for taxes that are not yet due or are being contested and (ii) deemed trusts and Liens to which the Canadian Priority Payables Reserve relates for taxes, assessments or other charges or levies that are not yet due and payable;</w:t>
      </w:r>
    </w:p>
    <w:p>
      <w:pPr>
        <w:spacing w:after="0" w:line="167" w:lineRule="exact"/>
        <w:rPr>
          <w:rFonts w:ascii="Times New Roman" w:cs="Times New Roman" w:eastAsia="Times New Roman" w:hAnsi="Times New Roman"/>
          <w:sz w:val="22"/>
          <w:szCs w:val="22"/>
          <w:color w:val="auto"/>
        </w:rPr>
      </w:pPr>
    </w:p>
    <w:p>
      <w:pPr>
        <w:jc w:val="both"/>
        <w:ind w:left="660" w:firstLine="721"/>
        <w:spacing w:after="0" w:line="257" w:lineRule="auto"/>
        <w:tabs>
          <w:tab w:leader="none" w:pos="1691"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carriers’, warehousemen’s, mechanics’, materialmen’s, repairmen’s and other Liens imposed by law, arising in the ordinary course of business and securing obligations that are not overdue by more than 30 days (or any longer grace period available under the terms of the applicable underlying obligation) or are being contested;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54" w:name="page255"/>
    <w:bookmarkEnd w:id="254"/>
    <w:p>
      <w:pPr>
        <w:jc w:val="both"/>
        <w:ind w:left="660" w:firstLine="721"/>
        <w:spacing w:after="0" w:line="257" w:lineRule="auto"/>
        <w:tabs>
          <w:tab w:leader="none" w:pos="1706"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created and pledges and deposits made (including cash deposits to secure obligations in respect of letters of credit provided) in the ordinary course of business in compliance with workers’ compensation, unemployment insurance and other social security laws or regulations;</w:t>
      </w:r>
    </w:p>
    <w:p>
      <w:pPr>
        <w:spacing w:after="0" w:line="186" w:lineRule="exact"/>
        <w:rPr>
          <w:rFonts w:ascii="Times New Roman" w:cs="Times New Roman" w:eastAsia="Times New Roman" w:hAnsi="Times New Roman"/>
          <w:sz w:val="22"/>
          <w:szCs w:val="22"/>
          <w:color w:val="auto"/>
        </w:rPr>
      </w:pPr>
    </w:p>
    <w:p>
      <w:pPr>
        <w:jc w:val="both"/>
        <w:ind w:left="660" w:firstLine="721"/>
        <w:spacing w:after="0" w:line="257" w:lineRule="auto"/>
        <w:tabs>
          <w:tab w:leader="none" w:pos="1745"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created and deposits made to secure the performance of bids, trade contracts, leases, statutory obligations, appeal bonds, performance bonds, surety bonds and other obligations of a like nature, in each case in the ordinary course of business;</w:t>
      </w:r>
    </w:p>
    <w:p>
      <w:pPr>
        <w:spacing w:after="0" w:line="172" w:lineRule="exact"/>
        <w:rPr>
          <w:rFonts w:ascii="Times New Roman" w:cs="Times New Roman" w:eastAsia="Times New Roman" w:hAnsi="Times New Roman"/>
          <w:sz w:val="22"/>
          <w:szCs w:val="22"/>
          <w:color w:val="auto"/>
        </w:rPr>
      </w:pPr>
    </w:p>
    <w:p>
      <w:pPr>
        <w:ind w:left="1680" w:hanging="299"/>
        <w:spacing w:after="0"/>
        <w:tabs>
          <w:tab w:leader="none" w:pos="1680"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judgment liens;</w:t>
      </w:r>
    </w:p>
    <w:p>
      <w:pPr>
        <w:spacing w:after="0" w:line="219" w:lineRule="exact"/>
        <w:rPr>
          <w:rFonts w:ascii="Times New Roman" w:cs="Times New Roman" w:eastAsia="Times New Roman" w:hAnsi="Times New Roman"/>
          <w:sz w:val="22"/>
          <w:szCs w:val="22"/>
          <w:color w:val="auto"/>
        </w:rPr>
      </w:pPr>
    </w:p>
    <w:p>
      <w:pPr>
        <w:jc w:val="both"/>
        <w:ind w:left="660" w:firstLine="721"/>
        <w:spacing w:after="0" w:line="263" w:lineRule="auto"/>
        <w:tabs>
          <w:tab w:leader="none" w:pos="1668"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supplier’s liens in inventory, other assets supplied or accounts receivable that result from retention of title or extended retention of title arrangements arising in connection with purchases of goods in the ordinary course of business; and</w:t>
      </w:r>
    </w:p>
    <w:p>
      <w:pPr>
        <w:spacing w:after="0" w:line="167" w:lineRule="exact"/>
        <w:rPr>
          <w:rFonts w:ascii="Times New Roman" w:cs="Times New Roman" w:eastAsia="Times New Roman" w:hAnsi="Times New Roman"/>
          <w:sz w:val="22"/>
          <w:szCs w:val="22"/>
          <w:color w:val="auto"/>
        </w:rPr>
      </w:pPr>
    </w:p>
    <w:p>
      <w:pPr>
        <w:jc w:val="both"/>
        <w:ind w:left="660" w:firstLine="721"/>
        <w:spacing w:after="0" w:line="251" w:lineRule="auto"/>
        <w:tabs>
          <w:tab w:leader="none" w:pos="1732"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easements, zoning restrictions, rights-of-way and similar encumbrances on real property and other Liens incidental to the conduct of business or ownership of property that arise automatically by operation of law or arise in the ordinary course of business and that do not materially detract from the value of the property of the Borrower and the Subsidiaries or of the Collateral, in each case taken as a whole, or materially interfere with the ordinary conduct of business of the Borrower and the Subsidiaries, taken as a whole, or otherwise adversely affect in any material respect the rights or interests of the Lenders;</w:t>
      </w:r>
    </w:p>
    <w:p>
      <w:pPr>
        <w:spacing w:after="0" w:line="17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(except as provided in clause </w:t>
      </w: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22"/>
          <w:szCs w:val="22"/>
          <w:color w:val="auto"/>
        </w:rPr>
        <w:t xml:space="preserve"> above) the term “Permitted Encumbrances” shall not include any Lien securing Indebtedness for borrowed money.</w:t>
      </w:r>
    </w:p>
    <w:p>
      <w:pPr>
        <w:spacing w:after="0" w:line="15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Inventory Location</w:t>
      </w:r>
      <w:r>
        <w:rPr>
          <w:rFonts w:ascii="Times New Roman" w:cs="Times New Roman" w:eastAsia="Times New Roman" w:hAnsi="Times New Roman"/>
          <w:sz w:val="22"/>
          <w:szCs w:val="22"/>
          <w:color w:val="auto"/>
        </w:rPr>
        <w:t>” means (a) property owned or leased by the Borrower or a Grantor in the United States of America or Canada or (b) a third party warehouse or dock in the United States of America or Canada where Inventory of the Borrower or any Grantor is stored.</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Investment</w:t>
      </w:r>
      <w:r>
        <w:rPr>
          <w:rFonts w:ascii="Times New Roman" w:cs="Times New Roman" w:eastAsia="Times New Roman" w:hAnsi="Times New Roman"/>
          <w:sz w:val="22"/>
          <w:szCs w:val="22"/>
          <w:color w:val="auto"/>
        </w:rPr>
        <w:t>” means an Investment by the Borrower or any Restricted Subsidiary in:</w:t>
      </w:r>
    </w:p>
    <w:p>
      <w:pPr>
        <w:spacing w:after="0" w:line="220" w:lineRule="exact"/>
        <w:rPr>
          <w:sz w:val="20"/>
          <w:szCs w:val="20"/>
          <w:color w:val="auto"/>
        </w:rPr>
      </w:pPr>
    </w:p>
    <w:p>
      <w:pPr>
        <w:ind w:left="1300" w:firstLine="405"/>
        <w:spacing w:after="0" w:line="271" w:lineRule="auto"/>
        <w:tabs>
          <w:tab w:leader="none" w:pos="2007"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 Restricted Subsidiary or a Person that will, upon the making of such Investment, become a Restricted Subsidiary;</w:t>
      </w:r>
    </w:p>
    <w:p>
      <w:pPr>
        <w:spacing w:after="0" w:line="171" w:lineRule="exact"/>
        <w:rPr>
          <w:rFonts w:ascii="Times New Roman" w:cs="Times New Roman" w:eastAsia="Times New Roman" w:hAnsi="Times New Roman"/>
          <w:sz w:val="22"/>
          <w:szCs w:val="22"/>
          <w:color w:val="auto"/>
        </w:rPr>
      </w:pPr>
    </w:p>
    <w:p>
      <w:pPr>
        <w:ind w:left="1300" w:firstLine="405"/>
        <w:spacing w:after="0" w:line="271" w:lineRule="auto"/>
        <w:tabs>
          <w:tab w:leader="none" w:pos="2007"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another Person if as a result of such Investment such other Person is merged or consolidated with or into, or transfers or conveys all or substantially all its assets to, the Borrower or a Restricted Subsidiary;</w:t>
      </w:r>
    </w:p>
    <w:p>
      <w:pPr>
        <w:spacing w:after="0" w:line="157" w:lineRule="exact"/>
        <w:rPr>
          <w:rFonts w:ascii="Times New Roman" w:cs="Times New Roman" w:eastAsia="Times New Roman" w:hAnsi="Times New Roman"/>
          <w:sz w:val="22"/>
          <w:szCs w:val="22"/>
          <w:color w:val="auto"/>
        </w:rPr>
      </w:pPr>
    </w:p>
    <w:p>
      <w:pPr>
        <w:ind w:left="2020" w:hanging="315"/>
        <w:spacing w:after="0"/>
        <w:tabs>
          <w:tab w:leader="none" w:pos="2020"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Temporary Cash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55" w:name="page256"/>
    <w:bookmarkEnd w:id="255"/>
    <w:p>
      <w:pPr>
        <w:jc w:val="both"/>
        <w:ind w:left="1300" w:firstLine="405"/>
        <w:spacing w:after="0" w:line="256" w:lineRule="auto"/>
        <w:tabs>
          <w:tab w:leader="none" w:pos="2034"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receivables owing to the Borrower or any Restricted Subsidiary if created or acquired in the ordinary course of business and payable or dischargeable in accordance with customary trade terms;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trade terms may include such concessionary trade terms as the Borrower or any such Restricted Subsidiary deems reasonable under the circumstances;</w:t>
      </w:r>
    </w:p>
    <w:p>
      <w:pPr>
        <w:spacing w:after="0" w:line="176" w:lineRule="exact"/>
        <w:rPr>
          <w:rFonts w:ascii="Times New Roman" w:cs="Times New Roman" w:eastAsia="Times New Roman" w:hAnsi="Times New Roman"/>
          <w:sz w:val="22"/>
          <w:szCs w:val="22"/>
          <w:color w:val="auto"/>
        </w:rPr>
      </w:pPr>
    </w:p>
    <w:p>
      <w:pPr>
        <w:ind w:left="1300" w:firstLine="405"/>
        <w:spacing w:after="0" w:line="295" w:lineRule="auto"/>
        <w:tabs>
          <w:tab w:leader="none" w:pos="2048" w:val="left"/>
        </w:tabs>
        <w:numPr>
          <w:ilvl w:val="0"/>
          <w:numId w:val="2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payroll, travel and similar advances to cover matters that are expected at the time of such advances ultimately to be treated as expenses for accounting purposes and that are made in the ordinary course of business;</w:t>
      </w:r>
    </w:p>
    <w:p>
      <w:pPr>
        <w:spacing w:after="0" w:line="135" w:lineRule="exact"/>
        <w:rPr>
          <w:rFonts w:ascii="Times New Roman" w:cs="Times New Roman" w:eastAsia="Times New Roman" w:hAnsi="Times New Roman"/>
          <w:sz w:val="21"/>
          <w:szCs w:val="21"/>
          <w:color w:val="auto"/>
        </w:rPr>
      </w:pPr>
    </w:p>
    <w:p>
      <w:pPr>
        <w:ind w:left="1300" w:right="20" w:firstLine="405"/>
        <w:spacing w:after="0" w:line="271" w:lineRule="auto"/>
        <w:tabs>
          <w:tab w:leader="none" w:pos="2007"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loans and advances to officers and employees made in the ordinary course of business of the Borrower or such Restricted Subsidiary;</w:t>
      </w:r>
    </w:p>
    <w:p>
      <w:pPr>
        <w:spacing w:after="0" w:line="171" w:lineRule="exact"/>
        <w:rPr>
          <w:rFonts w:ascii="Times New Roman" w:cs="Times New Roman" w:eastAsia="Times New Roman" w:hAnsi="Times New Roman"/>
          <w:sz w:val="22"/>
          <w:szCs w:val="22"/>
          <w:color w:val="auto"/>
        </w:rPr>
      </w:pPr>
    </w:p>
    <w:p>
      <w:pPr>
        <w:jc w:val="both"/>
        <w:ind w:left="1300" w:firstLine="405"/>
        <w:spacing w:after="0" w:line="252" w:lineRule="auto"/>
        <w:tabs>
          <w:tab w:leader="none" w:pos="2034"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obligations or securities received in settlement of disputes with customers or suppliers or debts (including pursuant to any plan of reorganization or similar arrangement upon insolvency of a debtor) created in the ordinary course of business and owing to the Borrower or any Restricted Subsidiary or in satisfaction of judgments;</w:t>
      </w:r>
    </w:p>
    <w:p>
      <w:pPr>
        <w:spacing w:after="0" w:line="179" w:lineRule="exact"/>
        <w:rPr>
          <w:rFonts w:ascii="Times New Roman" w:cs="Times New Roman" w:eastAsia="Times New Roman" w:hAnsi="Times New Roman"/>
          <w:sz w:val="22"/>
          <w:szCs w:val="22"/>
          <w:color w:val="auto"/>
        </w:rPr>
      </w:pPr>
    </w:p>
    <w:p>
      <w:pPr>
        <w:ind w:left="1300" w:firstLine="405"/>
        <w:spacing w:after="0" w:line="271" w:lineRule="auto"/>
        <w:tabs>
          <w:tab w:leader="none" w:pos="2007"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to the extent such Investment represents the non-cash portion of the consideration received for an Asset Disposition that was made pursuant to and in compliance with Section 6.04;</w:t>
      </w:r>
    </w:p>
    <w:p>
      <w:pPr>
        <w:spacing w:after="0" w:line="171" w:lineRule="exact"/>
        <w:rPr>
          <w:rFonts w:ascii="Times New Roman" w:cs="Times New Roman" w:eastAsia="Times New Roman" w:hAnsi="Times New Roman"/>
          <w:sz w:val="22"/>
          <w:szCs w:val="22"/>
          <w:color w:val="auto"/>
        </w:rPr>
      </w:pPr>
    </w:p>
    <w:p>
      <w:pPr>
        <w:jc w:val="both"/>
        <w:ind w:left="1300" w:firstLine="405"/>
        <w:spacing w:after="0" w:line="250" w:lineRule="auto"/>
        <w:tabs>
          <w:tab w:leader="none" w:pos="2007"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Receivables Entity or any Investment by a Receivables Entity in any other Person in connection with a Qualified Receivables Transaction, including Investments of funds held in accounts permitted or required by the arrangements governing such Qualified Receivables Transaction or any related Indebtedness;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Investment in a Receivables Entity is in the form of a Purchase Money Note, contribution of additional receivables or an equity interest;</w:t>
      </w:r>
    </w:p>
    <w:p>
      <w:pPr>
        <w:spacing w:after="0" w:line="194" w:lineRule="exact"/>
        <w:rPr>
          <w:rFonts w:ascii="Times New Roman" w:cs="Times New Roman" w:eastAsia="Times New Roman" w:hAnsi="Times New Roman"/>
          <w:sz w:val="22"/>
          <w:szCs w:val="22"/>
          <w:color w:val="auto"/>
        </w:rPr>
      </w:pPr>
    </w:p>
    <w:p>
      <w:pPr>
        <w:jc w:val="both"/>
        <w:ind w:left="1300" w:firstLine="405"/>
        <w:spacing w:after="0" w:line="257" w:lineRule="auto"/>
        <w:tabs>
          <w:tab w:leader="none" w:pos="2129"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to the extent such Investments consist of prepaid expenses, negotiable instruments held for collection, and lease, utility, workers’ compensation, performance and other similar deposits made in the ordinary course of business by the Borrower or any Restricted Subsidiary;</w:t>
      </w:r>
    </w:p>
    <w:p>
      <w:pPr>
        <w:spacing w:after="0" w:line="172" w:lineRule="exact"/>
        <w:rPr>
          <w:rFonts w:ascii="Times New Roman" w:cs="Times New Roman" w:eastAsia="Times New Roman" w:hAnsi="Times New Roman"/>
          <w:sz w:val="22"/>
          <w:szCs w:val="22"/>
          <w:color w:val="auto"/>
        </w:rPr>
      </w:pPr>
    </w:p>
    <w:p>
      <w:pPr>
        <w:ind w:left="1300" w:firstLine="405"/>
        <w:spacing w:after="0" w:line="271" w:lineRule="auto"/>
        <w:tabs>
          <w:tab w:leader="none" w:pos="2134"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to the extent such Investments consist of Hedging Obligations otherwise permitted under Section 6.01;</w:t>
      </w:r>
    </w:p>
    <w:p>
      <w:pPr>
        <w:spacing w:after="0" w:line="171" w:lineRule="exact"/>
        <w:rPr>
          <w:rFonts w:ascii="Times New Roman" w:cs="Times New Roman" w:eastAsia="Times New Roman" w:hAnsi="Times New Roman"/>
          <w:sz w:val="22"/>
          <w:szCs w:val="22"/>
          <w:color w:val="auto"/>
        </w:rPr>
      </w:pPr>
    </w:p>
    <w:p>
      <w:pPr>
        <w:jc w:val="both"/>
        <w:ind w:left="1300" w:firstLine="405"/>
        <w:spacing w:after="0" w:line="257" w:lineRule="auto"/>
        <w:tabs>
          <w:tab w:leader="none" w:pos="2156"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Person to the extent such Investment in such Person existed on the Restatement Date and any Investment that replaces, refinances or refunds such an Investment,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new Investment is in an amount that does not exceed that amount replaced, refinanced or refunded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56" w:name="page257"/>
    <w:bookmarkEnd w:id="256"/>
    <w:p>
      <w:pPr>
        <w:ind w:left="1300"/>
        <w:spacing w:after="0"/>
        <w:rPr>
          <w:sz w:val="20"/>
          <w:szCs w:val="20"/>
          <w:color w:val="auto"/>
        </w:rPr>
      </w:pPr>
      <w:r>
        <w:rPr>
          <w:rFonts w:ascii="Times New Roman" w:cs="Times New Roman" w:eastAsia="Times New Roman" w:hAnsi="Times New Roman"/>
          <w:sz w:val="22"/>
          <w:szCs w:val="22"/>
          <w:color w:val="auto"/>
        </w:rPr>
        <w:t>and is made in the same Person as the Investment replaced, refinanced or refunded;</w:t>
      </w:r>
    </w:p>
    <w:p>
      <w:pPr>
        <w:spacing w:after="0" w:line="220" w:lineRule="exact"/>
        <w:rPr>
          <w:sz w:val="20"/>
          <w:szCs w:val="20"/>
          <w:color w:val="auto"/>
        </w:rPr>
      </w:pPr>
    </w:p>
    <w:p>
      <w:pPr>
        <w:ind w:left="1300" w:firstLine="405"/>
        <w:spacing w:after="0" w:line="271" w:lineRule="auto"/>
        <w:tabs>
          <w:tab w:leader="none" w:pos="2129"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advances to, and Guarantees for the benefit of, customers, dealers, lessors, lessees or suppliers made in the ordinary course of business and consistent with past practice;</w:t>
      </w:r>
    </w:p>
    <w:p>
      <w:pPr>
        <w:spacing w:after="0" w:line="171" w:lineRule="exact"/>
        <w:rPr>
          <w:rFonts w:ascii="Times New Roman" w:cs="Times New Roman" w:eastAsia="Times New Roman" w:hAnsi="Times New Roman"/>
          <w:sz w:val="22"/>
          <w:szCs w:val="22"/>
          <w:color w:val="auto"/>
        </w:rPr>
      </w:pPr>
    </w:p>
    <w:p>
      <w:pPr>
        <w:jc w:val="both"/>
        <w:ind w:left="1300" w:firstLine="405"/>
        <w:spacing w:after="0" w:line="250" w:lineRule="auto"/>
        <w:tabs>
          <w:tab w:leader="none" w:pos="2129"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Person to the extent that such Investment consists of a minority equity or debt Investment by the Borrower or a Restricted Subsidiary for the purpose of funding the development of future mobility solutions (including in companies involved in connected mobility, autonomous vehicles, electric vehicles, new materials, aero vehicles, mass transport, infrastructure and energy technologies);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aggregate amount of all such Investments at any time outstanding does not exceed $100,000,000; and</w:t>
      </w:r>
    </w:p>
    <w:p>
      <w:pPr>
        <w:spacing w:after="0" w:line="194" w:lineRule="exact"/>
        <w:rPr>
          <w:rFonts w:ascii="Times New Roman" w:cs="Times New Roman" w:eastAsia="Times New Roman" w:hAnsi="Times New Roman"/>
          <w:sz w:val="22"/>
          <w:szCs w:val="22"/>
          <w:color w:val="auto"/>
        </w:rPr>
      </w:pPr>
    </w:p>
    <w:p>
      <w:pPr>
        <w:jc w:val="both"/>
        <w:ind w:left="1300" w:firstLine="405"/>
        <w:spacing w:after="0" w:line="250" w:lineRule="auto"/>
        <w:tabs>
          <w:tab w:leader="none" w:pos="2115"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to the extent such Investment, when taken together with all other Investments made pursuant to this clause (15)and then outstanding on the date such Investment is made, does not exceed the greater of (A) the sum of (i) $500,000,000 and (ii) any amounts under Section 6.02(a)(3)(iv) (x) that were excluded by operation of the proviso in Section 6.02(a)(3)(iv) and which excluded amounts are not otherwise included in Consolidated Net Income or intended to be permitted under any of clauses (1) through (14) of this definition and (B) 5.0% of Consolidated assets of the Borrower as of the end of the most recent fiscal quarter for which financial statements of the Borrower have been filed with the SEC.</w:t>
      </w:r>
    </w:p>
    <w:p>
      <w:pPr>
        <w:spacing w:after="0" w:line="180"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natural person, corporation, limited liability company, trust, joint venture, association, company, partnership, Governmental Authority or other entity.</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means any employee pension benefit plan (other than a Multiemployer Plan) subject to the provisions of Title IV or Section 302 of ERISA or Section 412 of the Code sponsored, maintained or contributed to by the Borrower, any Subsidiary or any ERISA Affiliate.</w:t>
      </w:r>
    </w:p>
    <w:p>
      <w:pPr>
        <w:spacing w:after="0" w:line="163"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 Asset Regulations</w:t>
      </w:r>
      <w:r>
        <w:rPr>
          <w:rFonts w:ascii="Times New Roman" w:cs="Times New Roman" w:eastAsia="Times New Roman" w:hAnsi="Times New Roman"/>
          <w:sz w:val="22"/>
          <w:szCs w:val="22"/>
          <w:color w:val="auto"/>
        </w:rPr>
        <w:t xml:space="preserve">” means 29 CFR § 2510.3-101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as modified by Section 3(42) of ERISA, as amended from time to time.</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Platform</w:t>
      </w:r>
      <w:r>
        <w:rPr>
          <w:rFonts w:ascii="Times New Roman" w:cs="Times New Roman" w:eastAsia="Times New Roman" w:hAnsi="Times New Roman"/>
          <w:sz w:val="22"/>
          <w:szCs w:val="22"/>
          <w:color w:val="auto"/>
        </w:rPr>
        <w:t>” has the meaning set forth in Section 9.01(d).</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Pounds Sterling</w:t>
      </w:r>
      <w:r>
        <w:rPr>
          <w:rFonts w:ascii="Times New Roman" w:cs="Times New Roman" w:eastAsia="Times New Roman" w:hAnsi="Times New Roman"/>
          <w:sz w:val="22"/>
          <w:szCs w:val="22"/>
          <w:color w:val="auto"/>
        </w:rPr>
        <w:t>” or “£” means the lawful currency of the 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57" w:name="page258"/>
    <w:bookmarkEnd w:id="257"/>
    <w:p>
      <w:pPr>
        <w:jc w:val="both"/>
        <w:ind w:right="20"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Preferred Stock</w:t>
      </w:r>
      <w:r>
        <w:rPr>
          <w:rFonts w:ascii="Times New Roman" w:cs="Times New Roman" w:eastAsia="Times New Roman" w:hAnsi="Times New Roman"/>
          <w:sz w:val="22"/>
          <w:szCs w:val="22"/>
          <w:color w:val="auto"/>
        </w:rPr>
        <w:t>,” as applied to the Capital Stock of any Person, means Capital Stock of any class or classes (however designated) that is preferred as to the payment of dividends, or as to the distribution of assets upon any voluntary or involuntary liquidation or dissolution of such Person, over shares of Capital Stock of any other class of such Person.</w:t>
      </w:r>
    </w:p>
    <w:p>
      <w:pPr>
        <w:spacing w:after="0" w:line="18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Prime Rate</w:t>
      </w:r>
      <w:r>
        <w:rPr>
          <w:rFonts w:ascii="Times New Roman" w:cs="Times New Roman" w:eastAsia="Times New Roman" w:hAnsi="Times New Roman"/>
          <w:sz w:val="22"/>
          <w:szCs w:val="22"/>
          <w:color w:val="auto"/>
        </w:rPr>
        <w:t>” means the rate of interest per annum publicly announced from time to time by JPMCB (or any successor Administrative Agent appointed or chosen pursuant to Article VIII hereof) as its prime rate in effect at its principal office in New York City. Each change in the Prime Rate shall be effective from and including the date such change is publicly announced as being effective.</w:t>
      </w:r>
    </w:p>
    <w:p>
      <w:pPr>
        <w:spacing w:after="0" w:line="179" w:lineRule="exact"/>
        <w:rPr>
          <w:sz w:val="20"/>
          <w:szCs w:val="20"/>
          <w:color w:val="auto"/>
        </w:rPr>
      </w:pPr>
    </w:p>
    <w:p>
      <w:pPr>
        <w:jc w:val="both"/>
        <w:ind w:firstLine="1296"/>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Principal Goodyear Trademarks</w:t>
      </w:r>
      <w:r>
        <w:rPr>
          <w:rFonts w:ascii="Times New Roman" w:cs="Times New Roman" w:eastAsia="Times New Roman" w:hAnsi="Times New Roman"/>
          <w:sz w:val="21"/>
          <w:szCs w:val="21"/>
          <w:color w:val="auto"/>
        </w:rPr>
        <w:t xml:space="preserve">” means each trademark specified on Schedule 1.01D and each other trademark specified from time to time by written notice from the Borrower to the Administrative Agent,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each such trademark</w:t>
      </w:r>
    </w:p>
    <w:p>
      <w:pPr>
        <w:spacing w:after="0" w:line="1" w:lineRule="exact"/>
        <w:rPr>
          <w:sz w:val="20"/>
          <w:szCs w:val="20"/>
          <w:color w:val="auto"/>
        </w:rPr>
      </w:pPr>
    </w:p>
    <w:p>
      <w:pPr>
        <w:jc w:val="both"/>
        <w:ind w:right="20" w:firstLine="8"/>
        <w:spacing w:after="0" w:line="245" w:lineRule="auto"/>
        <w:tabs>
          <w:tab w:leader="none" w:pos="303"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is owned by the Borrower or a Domestic Subsidiary that is a Credit Party, (b) is subject to a valid and perfected first priority Lien in favor of the Administrative Agent for the benefit of the Secured Parties and (c) is subject to no other Liens other than Permitted Encumbrances,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no trademarks owned by Cooper or any of its subsidiaries shall be Principal Goodyear Trademarks.</w:t>
      </w:r>
    </w:p>
    <w:p>
      <w:pPr>
        <w:spacing w:after="0" w:line="18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Principal Issuing Bank</w:t>
      </w:r>
      <w:r>
        <w:rPr>
          <w:rFonts w:ascii="Times New Roman" w:cs="Times New Roman" w:eastAsia="Times New Roman" w:hAnsi="Times New Roman"/>
          <w:sz w:val="22"/>
          <w:szCs w:val="22"/>
          <w:color w:val="auto"/>
        </w:rPr>
        <w:t>” means JPMCB and any other Issuing Bank that the Borrower and JPMCB agree will be a Principal Issuing Bank (or any of their Affiliates that shall act as Issuing Banks hereunder).</w:t>
      </w:r>
    </w:p>
    <w:p>
      <w:pPr>
        <w:spacing w:after="0" w:line="14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Priority Payables Reserve</w:t>
      </w:r>
      <w:r>
        <w:rPr>
          <w:rFonts w:ascii="Times New Roman" w:cs="Times New Roman" w:eastAsia="Times New Roman" w:hAnsi="Times New Roman"/>
          <w:sz w:val="22"/>
          <w:szCs w:val="22"/>
          <w:color w:val="auto"/>
        </w:rPr>
        <w:t>” means, at any time, the sum, without duplication, of any deductions made pursuant to the definitions of “Additional Inventory Reserves”, “Inventory Reserves”, “Eligible In-Transit Inventory”, “Eligible Inventory” and “Inventory Value”.</w:t>
      </w:r>
    </w:p>
    <w:p>
      <w:pPr>
        <w:spacing w:after="0" w:line="173"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Proceeding</w:t>
      </w:r>
      <w:r>
        <w:rPr>
          <w:rFonts w:ascii="Times New Roman" w:cs="Times New Roman" w:eastAsia="Times New Roman" w:hAnsi="Times New Roman"/>
          <w:sz w:val="22"/>
          <w:szCs w:val="22"/>
          <w:color w:val="auto"/>
        </w:rPr>
        <w:t>” means any claim, litigation, investigation, action, suit, arbitration or administrative, judicial or regulatory action or proceeding in any jurisdiction.</w:t>
      </w:r>
    </w:p>
    <w:p>
      <w:pPr>
        <w:spacing w:after="0" w:line="144"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PTE</w:t>
      </w:r>
      <w:r>
        <w:rPr>
          <w:rFonts w:ascii="Times New Roman" w:cs="Times New Roman" w:eastAsia="Times New Roman" w:hAnsi="Times New Roman"/>
          <w:sz w:val="22"/>
          <w:szCs w:val="22"/>
          <w:color w:val="auto"/>
        </w:rPr>
        <w:t>” means a prohibited transaction class exemption issued by the U. S. Department of Labor, as any such exemption may be amended from time to time.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Money Indebtedness</w:t>
      </w:r>
      <w:r>
        <w:rPr>
          <w:rFonts w:ascii="Times New Roman" w:cs="Times New Roman" w:eastAsia="Times New Roman" w:hAnsi="Times New Roman"/>
          <w:sz w:val="22"/>
          <w:szCs w:val="22"/>
          <w:color w:val="auto"/>
        </w:rPr>
        <w:t>” means Indebtedness:</w:t>
      </w:r>
    </w:p>
    <w:p>
      <w:pPr>
        <w:spacing w:after="0" w:line="220" w:lineRule="exact"/>
        <w:rPr>
          <w:sz w:val="20"/>
          <w:szCs w:val="20"/>
          <w:color w:val="auto"/>
        </w:rPr>
      </w:pPr>
    </w:p>
    <w:p>
      <w:pPr>
        <w:jc w:val="both"/>
        <w:ind w:left="1300" w:right="20" w:firstLine="405"/>
        <w:spacing w:after="0" w:line="272" w:lineRule="auto"/>
        <w:tabs>
          <w:tab w:leader="none" w:pos="2075" w:val="left"/>
        </w:tabs>
        <w:numPr>
          <w:ilvl w:val="0"/>
          <w:numId w:val="2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consisting of the deferred purchase price of property, plant and equipment, conditional purchase obligations, obligations under any title retention agreement and other obligations Incurred in connection with the acquisition, construction or improvement of such asset, in each case where the amount of such Indebtedness does not exceed the greater of (A) the cost of the asset being financed and (B) the Fair Market Value of such asset;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58" w:name="page259"/>
    <w:bookmarkEnd w:id="258"/>
    <w:p>
      <w:pPr>
        <w:ind w:left="1300" w:firstLine="405"/>
        <w:spacing w:after="0" w:line="271" w:lineRule="auto"/>
        <w:tabs>
          <w:tab w:leader="none" w:pos="2048"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Incurred to finance such acquisition, construction or improvement by the Borrower or a Restricted Subsidiary of such asset;</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Indebtedness is Incurred within 180 days after such acquisition or the completion of such construction or improvement.</w:t>
      </w:r>
    </w:p>
    <w:p>
      <w:pPr>
        <w:spacing w:after="0" w:line="14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Money Note</w:t>
      </w:r>
      <w:r>
        <w:rPr>
          <w:rFonts w:ascii="Times New Roman" w:cs="Times New Roman" w:eastAsia="Times New Roman" w:hAnsi="Times New Roman"/>
          <w:sz w:val="22"/>
          <w:szCs w:val="22"/>
          <w:color w:val="auto"/>
        </w:rPr>
        <w:t>” means a promissory note of a Receivables Entity evidencing a line of credit, which may be irrevocable, from the Borrower or any Subsidiary of the Borrower to a Receivables Entity in connection with a Qualified Receivables Transaction, which note:</w:t>
      </w:r>
    </w:p>
    <w:p>
      <w:pPr>
        <w:spacing w:after="0" w:line="173" w:lineRule="exact"/>
        <w:rPr>
          <w:sz w:val="20"/>
          <w:szCs w:val="20"/>
          <w:color w:val="auto"/>
        </w:rPr>
      </w:pPr>
    </w:p>
    <w:p>
      <w:pPr>
        <w:ind w:left="2020" w:hanging="315"/>
        <w:spacing w:after="0"/>
        <w:tabs>
          <w:tab w:leader="none" w:pos="2020"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be repaid from cash available to the Receivables Entity, other than:</w:t>
      </w:r>
    </w:p>
    <w:p>
      <w:pPr>
        <w:spacing w:after="0" w:line="233" w:lineRule="exact"/>
        <w:rPr>
          <w:rFonts w:ascii="Times New Roman" w:cs="Times New Roman" w:eastAsia="Times New Roman" w:hAnsi="Times New Roman"/>
          <w:sz w:val="22"/>
          <w:szCs w:val="22"/>
          <w:color w:val="auto"/>
        </w:rPr>
      </w:pPr>
    </w:p>
    <w:p>
      <w:pPr>
        <w:ind w:left="2460" w:hanging="346"/>
        <w:spacing w:after="0"/>
        <w:tabs>
          <w:tab w:leader="none" w:pos="2460" w:val="left"/>
        </w:tabs>
        <w:numPr>
          <w:ilvl w:val="1"/>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amounts required to be established as reserves;</w:t>
      </w:r>
    </w:p>
    <w:p>
      <w:pPr>
        <w:spacing w:after="0" w:line="219" w:lineRule="exact"/>
        <w:rPr>
          <w:rFonts w:ascii="Times New Roman" w:cs="Times New Roman" w:eastAsia="Times New Roman" w:hAnsi="Times New Roman"/>
          <w:sz w:val="22"/>
          <w:szCs w:val="22"/>
          <w:color w:val="auto"/>
        </w:rPr>
      </w:pPr>
    </w:p>
    <w:p>
      <w:pPr>
        <w:ind w:left="2460" w:hanging="346"/>
        <w:spacing w:after="0"/>
        <w:tabs>
          <w:tab w:leader="none" w:pos="2460" w:val="left"/>
        </w:tabs>
        <w:numPr>
          <w:ilvl w:val="1"/>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amounts paid to investors in respect of interest;</w:t>
      </w:r>
    </w:p>
    <w:p>
      <w:pPr>
        <w:spacing w:after="0" w:line="219" w:lineRule="exact"/>
        <w:rPr>
          <w:rFonts w:ascii="Times New Roman" w:cs="Times New Roman" w:eastAsia="Times New Roman" w:hAnsi="Times New Roman"/>
          <w:sz w:val="22"/>
          <w:szCs w:val="22"/>
          <w:color w:val="auto"/>
        </w:rPr>
      </w:pPr>
    </w:p>
    <w:p>
      <w:pPr>
        <w:ind w:left="2460" w:hanging="346"/>
        <w:spacing w:after="0"/>
        <w:tabs>
          <w:tab w:leader="none" w:pos="2460" w:val="left"/>
        </w:tabs>
        <w:numPr>
          <w:ilvl w:val="1"/>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principal and other amounts owing to such investors; and</w:t>
      </w:r>
    </w:p>
    <w:p>
      <w:pPr>
        <w:spacing w:after="0" w:line="219" w:lineRule="exact"/>
        <w:rPr>
          <w:rFonts w:ascii="Times New Roman" w:cs="Times New Roman" w:eastAsia="Times New Roman" w:hAnsi="Times New Roman"/>
          <w:sz w:val="22"/>
          <w:szCs w:val="22"/>
          <w:color w:val="auto"/>
        </w:rPr>
      </w:pPr>
    </w:p>
    <w:p>
      <w:pPr>
        <w:ind w:left="2460" w:hanging="346"/>
        <w:spacing w:after="0"/>
        <w:tabs>
          <w:tab w:leader="none" w:pos="2460" w:val="left"/>
        </w:tabs>
        <w:numPr>
          <w:ilvl w:val="1"/>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amounts paid in connection with the purchase of newly generated receivables; and</w:t>
      </w:r>
    </w:p>
    <w:p>
      <w:pPr>
        <w:spacing w:after="0" w:line="215" w:lineRule="exact"/>
        <w:rPr>
          <w:rFonts w:ascii="Times New Roman" w:cs="Times New Roman" w:eastAsia="Times New Roman" w:hAnsi="Times New Roman"/>
          <w:sz w:val="22"/>
          <w:szCs w:val="22"/>
          <w:color w:val="auto"/>
        </w:rPr>
      </w:pPr>
    </w:p>
    <w:p>
      <w:pPr>
        <w:ind w:left="2020" w:hanging="315"/>
        <w:spacing w:after="0"/>
        <w:tabs>
          <w:tab w:leader="none" w:pos="2020"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may be subordinated to the payments described in clause </w:t>
      </w:r>
      <w:r>
        <w:rPr>
          <w:rFonts w:ascii="Times New Roman" w:cs="Times New Roman" w:eastAsia="Times New Roman" w:hAnsi="Times New Roman"/>
          <w:sz w:val="22"/>
          <w:szCs w:val="22"/>
          <w:b w:val="1"/>
          <w:bCs w:val="1"/>
          <w:color w:val="auto"/>
        </w:rPr>
        <w:t>(1)</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QFC</w:t>
      </w:r>
      <w:r>
        <w:rPr>
          <w:rFonts w:ascii="Times New Roman" w:cs="Times New Roman" w:eastAsia="Times New Roman" w:hAnsi="Times New Roman"/>
          <w:sz w:val="22"/>
          <w:szCs w:val="22"/>
          <w:color w:val="auto"/>
        </w:rPr>
        <w:t>” has the meaning assigned to the term “qualified financial contract” in, and shall be interpreted in accordance with, 12 U.S.C. 5390(c)(8)(D).</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QFC Credit Support</w:t>
      </w:r>
      <w:r>
        <w:rPr>
          <w:rFonts w:ascii="Times New Roman" w:cs="Times New Roman" w:eastAsia="Times New Roman" w:hAnsi="Times New Roman"/>
          <w:sz w:val="22"/>
          <w:szCs w:val="22"/>
          <w:color w:val="auto"/>
        </w:rPr>
        <w:t>” has the meaning set forth in Section 9.22.</w:t>
      </w:r>
    </w:p>
    <w:p>
      <w:pPr>
        <w:spacing w:after="0" w:line="220"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Qualified Receivables Transaction</w:t>
      </w:r>
      <w:r>
        <w:rPr>
          <w:rFonts w:ascii="Times New Roman" w:cs="Times New Roman" w:eastAsia="Times New Roman" w:hAnsi="Times New Roman"/>
          <w:sz w:val="22"/>
          <w:szCs w:val="22"/>
          <w:color w:val="auto"/>
        </w:rPr>
        <w:t xml:space="preserve">” means any transaction or series of transactions that may be entered into by the Borrower or any of its Subsidiaries pursuant to which the Borrower or any of its Subsidiaries may (a) sell, convey or otherwise transfer to a Receivables Entity or any other Person that is not a Subsidiary (including to one or more investors or purchasers pursuant to any receivables, factoring or asset securitization facilities involving accounts receivable) and/or (b) grant a security interest in, any accounts receivable (whether now existing or arising in the future) of the Borrower or any of its Subsidiaries, and any assets related thereto including, without limitation, all collateral securing such accounts receivable, all contracts and all Guarantees or other obligations in respect of such accounts receivable, proceeds of such accounts receivable and other assets which are customarily transferred or in respect of which security interests are customarily granted in connection with asset securitization transactions involving accounts receivable;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financing terms, covenants, termination events and other provisions thereof shall be market terms (as determined in good faith by a Financial Officer of the Borrower); and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such transaction or series of transactions shall be a Qualified Receivables Transaction if after giving effect thereto the aggregate face amount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59" w:name="page260"/>
    <w:bookmarkEnd w:id="259"/>
    <w:p>
      <w:pPr>
        <w:jc w:val="both"/>
        <w:spacing w:after="0" w:line="256" w:lineRule="auto"/>
        <w:rPr>
          <w:sz w:val="20"/>
          <w:szCs w:val="20"/>
          <w:color w:val="auto"/>
        </w:rPr>
      </w:pPr>
      <w:r>
        <w:rPr>
          <w:rFonts w:ascii="Times New Roman" w:cs="Times New Roman" w:eastAsia="Times New Roman" w:hAnsi="Times New Roman"/>
          <w:sz w:val="22"/>
          <w:szCs w:val="22"/>
          <w:color w:val="auto"/>
        </w:rPr>
        <w:t>outstanding accounts receivable subject thereto that are or would absent such transaction or series of transactions otherwise be subject to a Lien securing any U. S. Bank Indebtedness, taken together with the aggregate face amount of all other outstanding such accounts receivable subject to other Qualified Receivables Transactions, would be greater than 10% of the Total Commitment.</w:t>
      </w:r>
    </w:p>
    <w:p>
      <w:pPr>
        <w:spacing w:after="0" w:line="17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The grant of a security interest in any accounts receivable of the Borrower or any of its Restricted Subsidiaries to secure Bank Indebtedness shall not be deemed a Qualified Receivables Transaction.</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Raw Material</w:t>
      </w:r>
      <w:r>
        <w:rPr>
          <w:rFonts w:ascii="Times New Roman" w:cs="Times New Roman" w:eastAsia="Times New Roman" w:hAnsi="Times New Roman"/>
          <w:sz w:val="22"/>
          <w:szCs w:val="22"/>
          <w:color w:val="auto"/>
        </w:rPr>
        <w:t>” means Inventory used or consumed in the manufacturing or processing of goods to be sold by the Borrower or another Grantor in the ordinary course of business that is not yet included in Work in Process.</w:t>
      </w:r>
    </w:p>
    <w:p>
      <w:pPr>
        <w:spacing w:after="0" w:line="17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Reaffirmation Agreement</w:t>
      </w:r>
      <w:r>
        <w:rPr>
          <w:rFonts w:ascii="Times New Roman" w:cs="Times New Roman" w:eastAsia="Times New Roman" w:hAnsi="Times New Roman"/>
          <w:sz w:val="22"/>
          <w:szCs w:val="22"/>
          <w:color w:val="auto"/>
        </w:rPr>
        <w:t>” shall mean the Reaffirmation Agreement substantially in the form of Exhibit D, among the Credit Parties and the Collateral Agent, pursuant to which the Credit Parties shall reaffirm their obligations under the Security Documents (other than the Guarantee and Collateral Agreement) to which they are a party.</w:t>
      </w:r>
    </w:p>
    <w:p>
      <w:pPr>
        <w:spacing w:after="0" w:line="17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Receivables Entity</w:t>
      </w:r>
      <w:r>
        <w:rPr>
          <w:rFonts w:ascii="Times New Roman" w:cs="Times New Roman" w:eastAsia="Times New Roman" w:hAnsi="Times New Roman"/>
          <w:sz w:val="22"/>
          <w:szCs w:val="22"/>
          <w:color w:val="auto"/>
        </w:rPr>
        <w:t>” means a Wholly Owned Subsidiary of the Borrower which is a Restricted Subsidiary and which is designated by the Board of Directors (as provided below) as a Receivables Entity, and:</w:t>
      </w:r>
    </w:p>
    <w:p>
      <w:pPr>
        <w:spacing w:after="0" w:line="158" w:lineRule="exact"/>
        <w:rPr>
          <w:sz w:val="20"/>
          <w:szCs w:val="20"/>
          <w:color w:val="auto"/>
        </w:rPr>
      </w:pPr>
    </w:p>
    <w:p>
      <w:pPr>
        <w:ind w:left="2020" w:hanging="315"/>
        <w:spacing w:after="0"/>
        <w:tabs>
          <w:tab w:leader="none" w:pos="2020"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portion of the Indebtedness or any other obligations (contingent or otherwise) of which</w:t>
      </w:r>
    </w:p>
    <w:p>
      <w:pPr>
        <w:spacing w:after="0" w:line="233" w:lineRule="exact"/>
        <w:rPr>
          <w:rFonts w:ascii="Times New Roman" w:cs="Times New Roman" w:eastAsia="Times New Roman" w:hAnsi="Times New Roman"/>
          <w:sz w:val="22"/>
          <w:szCs w:val="22"/>
          <w:color w:val="auto"/>
        </w:rPr>
      </w:pPr>
    </w:p>
    <w:p>
      <w:pPr>
        <w:jc w:val="both"/>
        <w:ind w:left="1700" w:firstLine="414"/>
        <w:spacing w:after="0" w:line="257" w:lineRule="auto"/>
        <w:tabs>
          <w:tab w:leader="none" w:pos="2513" w:val="left"/>
        </w:tabs>
        <w:numPr>
          <w:ilvl w:val="1"/>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Guaranteed by the Borrower or any Subsidiary of the Borrower (excluding Guarantees of obligations (other than the principal of, and interest on, Indebtedness) pursuant to Standard Securitization Undertakings);</w:t>
      </w:r>
    </w:p>
    <w:p>
      <w:pPr>
        <w:spacing w:after="0" w:line="172" w:lineRule="exact"/>
        <w:rPr>
          <w:rFonts w:ascii="Times New Roman" w:cs="Times New Roman" w:eastAsia="Times New Roman" w:hAnsi="Times New Roman"/>
          <w:sz w:val="22"/>
          <w:szCs w:val="22"/>
          <w:color w:val="auto"/>
        </w:rPr>
      </w:pPr>
    </w:p>
    <w:p>
      <w:pPr>
        <w:ind w:left="1700" w:firstLine="414"/>
        <w:spacing w:after="0" w:line="271" w:lineRule="auto"/>
        <w:tabs>
          <w:tab w:leader="none" w:pos="2460" w:val="left"/>
        </w:tabs>
        <w:numPr>
          <w:ilvl w:val="1"/>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recourse to or obligates the Borrower or any Subsidiary of the Borrower in any way other than pursuant to Standard Securitization Undertakings; or</w:t>
      </w:r>
    </w:p>
    <w:p>
      <w:pPr>
        <w:spacing w:after="0" w:line="171" w:lineRule="exact"/>
        <w:rPr>
          <w:rFonts w:ascii="Times New Roman" w:cs="Times New Roman" w:eastAsia="Times New Roman" w:hAnsi="Times New Roman"/>
          <w:sz w:val="22"/>
          <w:szCs w:val="22"/>
          <w:color w:val="auto"/>
        </w:rPr>
      </w:pPr>
    </w:p>
    <w:p>
      <w:pPr>
        <w:jc w:val="both"/>
        <w:ind w:left="1700" w:firstLine="414"/>
        <w:spacing w:after="0" w:line="257" w:lineRule="auto"/>
        <w:tabs>
          <w:tab w:leader="none" w:pos="2487" w:val="left"/>
        </w:tabs>
        <w:numPr>
          <w:ilvl w:val="1"/>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subjects any property or asset of the Borrower or any Subsidiary of the Borrower, directly or indirectly, contingently or otherwise, to the satisfaction thereof, other than pursuant to Standard Securitization Undertakings;</w:t>
      </w:r>
    </w:p>
    <w:p>
      <w:pPr>
        <w:spacing w:after="0" w:line="172" w:lineRule="exact"/>
        <w:rPr>
          <w:rFonts w:ascii="Times New Roman" w:cs="Times New Roman" w:eastAsia="Times New Roman" w:hAnsi="Times New Roman"/>
          <w:sz w:val="22"/>
          <w:szCs w:val="22"/>
          <w:color w:val="auto"/>
        </w:rPr>
      </w:pPr>
    </w:p>
    <w:p>
      <w:pPr>
        <w:jc w:val="both"/>
        <w:ind w:left="1300" w:firstLine="405"/>
        <w:spacing w:after="0" w:line="263" w:lineRule="auto"/>
        <w:tabs>
          <w:tab w:leader="none" w:pos="2007"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which neither the Borrower nor any Subsidiary of the Borrower has any material contract, agreement, arrangement or understanding other than on terms which the Borrower reasonably believes to be no less favorable to the Borrower or such Subsidiary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60" w:name="page261"/>
    <w:bookmarkEnd w:id="260"/>
    <w:p>
      <w:pPr>
        <w:ind w:left="1300"/>
        <w:spacing w:after="0"/>
        <w:rPr>
          <w:sz w:val="20"/>
          <w:szCs w:val="20"/>
          <w:color w:val="auto"/>
        </w:rPr>
      </w:pPr>
      <w:r>
        <w:rPr>
          <w:rFonts w:ascii="Times New Roman" w:cs="Times New Roman" w:eastAsia="Times New Roman" w:hAnsi="Times New Roman"/>
          <w:sz w:val="22"/>
          <w:szCs w:val="22"/>
          <w:color w:val="auto"/>
        </w:rPr>
        <w:t>those that might be obtained at the time from Persons that are not Affiliates of the Borrower; and</w:t>
      </w:r>
    </w:p>
    <w:p>
      <w:pPr>
        <w:spacing w:after="0" w:line="220" w:lineRule="exact"/>
        <w:rPr>
          <w:sz w:val="20"/>
          <w:szCs w:val="20"/>
          <w:color w:val="auto"/>
        </w:rPr>
      </w:pPr>
    </w:p>
    <w:p>
      <w:pPr>
        <w:ind w:left="1300" w:firstLine="405"/>
        <w:spacing w:after="0" w:line="271" w:lineRule="auto"/>
        <w:tabs>
          <w:tab w:leader="none" w:pos="2034"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which neither the Borrower nor any Subsidiary of the Borrower has any obligation to maintain or preserve such entity’s financial condition or cause such entity to achieve certain levels of operating results.</w:t>
      </w:r>
    </w:p>
    <w:p>
      <w:pPr>
        <w:spacing w:after="0" w:line="17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Any such designation by the Board of Directors shall be evidenced to the Administrative Agent by furnishing to the Administrative Agent a certified copy of the resolution of the Board of Directors giving effect to such designation and a certificate of a Financial Officer certifying that such designation complied with the foregoing conditions.</w:t>
      </w:r>
    </w:p>
    <w:p>
      <w:pPr>
        <w:spacing w:after="0" w:line="17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Recovery Rate</w:t>
      </w:r>
      <w:r>
        <w:rPr>
          <w:rFonts w:ascii="Times New Roman" w:cs="Times New Roman" w:eastAsia="Times New Roman" w:hAnsi="Times New Roman"/>
          <w:sz w:val="22"/>
          <w:szCs w:val="22"/>
          <w:color w:val="auto"/>
        </w:rPr>
        <w:t>” means (a) the estimated net recovery of all Inventory of the Borrower and the other Grantors stated in dollars as determined on a net orderly liquidation basis by the most recent analysis conducted by outside inventory consultants/appraisers retained or approved by the Administrative Agent and disclosed to the Borrower divided by (b) the Inventory Value of all Inventory of the Borrower and each other Grantor as of the date of such most recent analysis.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Reference Date</w:t>
      </w:r>
      <w:r>
        <w:rPr>
          <w:rFonts w:ascii="Times New Roman" w:cs="Times New Roman" w:eastAsia="Times New Roman" w:hAnsi="Times New Roman"/>
          <w:sz w:val="22"/>
          <w:szCs w:val="22"/>
          <w:color w:val="auto"/>
        </w:rPr>
        <w:t>” means May 11, 2009.</w:t>
      </w:r>
    </w:p>
    <w:p>
      <w:pPr>
        <w:spacing w:after="0" w:line="22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Reference Time</w:t>
      </w:r>
      <w:r>
        <w:rPr>
          <w:rFonts w:ascii="Times New Roman" w:cs="Times New Roman" w:eastAsia="Times New Roman" w:hAnsi="Times New Roman"/>
          <w:sz w:val="22"/>
          <w:szCs w:val="22"/>
          <w:color w:val="auto"/>
        </w:rPr>
        <w:t>” with respect to any setting of the then-current Benchmark means (a) if such Benchmark is the Term SOFR, 5:00 a.m., Chicago time, on the day that is two U.S. Government Securities Business Days preceding the date of such setting, (b) if such Benchmark is the Daily Simple SOFR, then three U.S. Government Securities Business Days prior to such setting or (c) if such Benchmark is not the Term SOFR or Daily Simple SOFR, the time determined by the Administrative Agent in its reasonable discretion.</w:t>
      </w:r>
    </w:p>
    <w:p>
      <w:pPr>
        <w:spacing w:after="0" w:line="17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Refinance</w:t>
      </w:r>
      <w:r>
        <w:rPr>
          <w:rFonts w:ascii="Times New Roman" w:cs="Times New Roman" w:eastAsia="Times New Roman" w:hAnsi="Times New Roman"/>
          <w:sz w:val="22"/>
          <w:szCs w:val="22"/>
          <w:color w:val="auto"/>
        </w:rPr>
        <w:t>” means, in respect of any Indebtedness, to refinance, extend, renew, refund, repay, prepay, redeem, defease or retire, or to issue other Indebtedness in exchange or replacement for, such Indebtedness, including, in any such case from time to time, after the discharge of the Indebtedness being Refinanced. “Refinanced” and “Refinancing” shall have correlative meanings.</w:t>
      </w:r>
    </w:p>
    <w:p>
      <w:pPr>
        <w:spacing w:after="0" w:line="17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Refinancing Indebtedness</w:t>
      </w:r>
      <w:r>
        <w:rPr>
          <w:rFonts w:ascii="Times New Roman" w:cs="Times New Roman" w:eastAsia="Times New Roman" w:hAnsi="Times New Roman"/>
          <w:sz w:val="22"/>
          <w:szCs w:val="22"/>
          <w:color w:val="auto"/>
        </w:rPr>
        <w:t xml:space="preserve">” means Indebtedness that is Incurred to Refinance (including pursuant to any defeasance or discharge mechanism) any Indebtedness of the Borrower or any Restricted Subsidiary existing on the Restatement Date or Incurred in compliance with this Agreement (including Indebtedness of the Borrower or any Restricted Subsidiary that Refinances Refinancing Indebtedness);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w:t>
      </w:r>
    </w:p>
    <w:p>
      <w:pPr>
        <w:spacing w:after="0" w:line="193" w:lineRule="exact"/>
        <w:rPr>
          <w:sz w:val="20"/>
          <w:szCs w:val="20"/>
          <w:color w:val="auto"/>
        </w:rPr>
      </w:pPr>
    </w:p>
    <w:p>
      <w:pPr>
        <w:ind w:left="1300" w:firstLine="405"/>
        <w:spacing w:after="0" w:line="271" w:lineRule="auto"/>
        <w:tabs>
          <w:tab w:leader="none" w:pos="2007"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Refinancing Indebtedness has a Stated Maturity no earlier than the Stated Maturity of the Indebtedness being Refinanced;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61" w:name="page262"/>
    <w:bookmarkEnd w:id="261"/>
    <w:p>
      <w:pPr>
        <w:ind w:left="1300" w:right="20" w:firstLine="405"/>
        <w:spacing w:after="0" w:line="271" w:lineRule="auto"/>
        <w:tabs>
          <w:tab w:leader="none" w:pos="2007"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Refinancing Indebtedness has an Average Life at the time such Refinancing Indebtedness is Incurred that is equal to or greater than the Average Life of the Indebtedness being refinanced;</w:t>
      </w:r>
    </w:p>
    <w:p>
      <w:pPr>
        <w:spacing w:after="0" w:line="157" w:lineRule="exact"/>
        <w:rPr>
          <w:rFonts w:ascii="Times New Roman" w:cs="Times New Roman" w:eastAsia="Times New Roman" w:hAnsi="Times New Roman"/>
          <w:sz w:val="22"/>
          <w:szCs w:val="22"/>
          <w:color w:val="auto"/>
        </w:rPr>
      </w:pPr>
    </w:p>
    <w:p>
      <w:pPr>
        <w:jc w:val="both"/>
        <w:ind w:left="1300" w:firstLine="405"/>
        <w:spacing w:after="0" w:line="251" w:lineRule="auto"/>
        <w:tabs>
          <w:tab w:leader="none" w:pos="2021"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Refinancing Indebtedness is Incurred in an aggregate principal amount (or if Incurred with original issue discount, an aggregate issue price) that is equal to or less than the aggregate principal amount of the Indebtedness being refinanced (or if issued with original issue discount, the aggregate accreted value) then outstanding (or that would be outstanding if the entire committed amount of any credit facility being Refinanced were fully drawn (other than any such amount that would have been prohibited from being drawn pursuant to Section 6.01) (plus fees and expenses, including any premium and defeasance costs);</w:t>
      </w:r>
    </w:p>
    <w:p>
      <w:pPr>
        <w:spacing w:after="0" w:line="194" w:lineRule="exact"/>
        <w:rPr>
          <w:rFonts w:ascii="Times New Roman" w:cs="Times New Roman" w:eastAsia="Times New Roman" w:hAnsi="Times New Roman"/>
          <w:sz w:val="22"/>
          <w:szCs w:val="22"/>
          <w:color w:val="auto"/>
        </w:rPr>
      </w:pPr>
    </w:p>
    <w:p>
      <w:pPr>
        <w:jc w:val="both"/>
        <w:ind w:left="1300" w:firstLine="405"/>
        <w:spacing w:after="0" w:line="257" w:lineRule="auto"/>
        <w:tabs>
          <w:tab w:leader="none" w:pos="2061"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Indebtedness being Refinanced is subordinated in right of payment to the Obligations, such Refinancing Indebtedness is subordinated in right of payment to the Obligations at least to the same extent as the Indebtedness being Refinanced; and</w:t>
      </w:r>
    </w:p>
    <w:p>
      <w:pPr>
        <w:spacing w:after="0" w:line="172" w:lineRule="exact"/>
        <w:rPr>
          <w:rFonts w:ascii="Times New Roman" w:cs="Times New Roman" w:eastAsia="Times New Roman" w:hAnsi="Times New Roman"/>
          <w:sz w:val="22"/>
          <w:szCs w:val="22"/>
          <w:color w:val="auto"/>
        </w:rPr>
      </w:pPr>
    </w:p>
    <w:p>
      <w:pPr>
        <w:jc w:val="both"/>
        <w:ind w:left="1300" w:firstLine="405"/>
        <w:spacing w:after="0" w:line="257" w:lineRule="auto"/>
        <w:tabs>
          <w:tab w:leader="none" w:pos="2021"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Incurred by the Borrower or any Domestic Subsidiary, the Refinancing Indebtedness is not secured by Liens on any assets other than the assets that secured the Indebtedness being refinanced, and any such Liens have no greater priority than the Liens securing the Indebtedness being refinanced;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Refinancing Indebtedness shall not include:</w:t>
      </w:r>
    </w:p>
    <w:p>
      <w:pPr>
        <w:spacing w:after="0" w:line="220" w:lineRule="exact"/>
        <w:rPr>
          <w:sz w:val="20"/>
          <w:szCs w:val="20"/>
          <w:color w:val="auto"/>
        </w:rPr>
      </w:pPr>
    </w:p>
    <w:p>
      <w:pPr>
        <w:ind w:left="1700" w:right="20" w:firstLine="414"/>
        <w:spacing w:after="0" w:line="271" w:lineRule="auto"/>
        <w:tabs>
          <w:tab w:leader="none" w:pos="2526"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a Restricted Subsidiary that is not a Subsidiary Guarantor that Refinances Indebtedness of the Borrower; or</w:t>
      </w:r>
    </w:p>
    <w:p>
      <w:pPr>
        <w:spacing w:after="0" w:line="157" w:lineRule="exact"/>
        <w:rPr>
          <w:rFonts w:ascii="Times New Roman" w:cs="Times New Roman" w:eastAsia="Times New Roman" w:hAnsi="Times New Roman"/>
          <w:sz w:val="22"/>
          <w:szCs w:val="22"/>
          <w:color w:val="auto"/>
        </w:rPr>
      </w:pPr>
    </w:p>
    <w:p>
      <w:pPr>
        <w:ind w:left="1700" w:firstLine="414"/>
        <w:spacing w:after="0" w:line="271" w:lineRule="auto"/>
        <w:tabs>
          <w:tab w:leader="none" w:pos="2501"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the Borrower or a Restricted Subsidiary that Refinances Indebtedness of an Unrestricted Subsidiary.</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has the meaning set forth in Section 9.04.</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Regulatory Authority</w:t>
      </w:r>
      <w:r>
        <w:rPr>
          <w:rFonts w:ascii="Times New Roman" w:cs="Times New Roman" w:eastAsia="Times New Roman" w:hAnsi="Times New Roman"/>
          <w:sz w:val="22"/>
          <w:szCs w:val="22"/>
          <w:color w:val="auto"/>
        </w:rPr>
        <w:t>” has the meaning set forth in Section 9.12.</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Business</w:t>
      </w:r>
      <w:r>
        <w:rPr>
          <w:rFonts w:ascii="Times New Roman" w:cs="Times New Roman" w:eastAsia="Times New Roman" w:hAnsi="Times New Roman"/>
          <w:sz w:val="22"/>
          <w:szCs w:val="22"/>
          <w:color w:val="auto"/>
        </w:rPr>
        <w:t>” means any business reasonably related, ancillary or complementary to the business of the Borrower and its Restricted Subsidiaries on the Restatement Date.</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Indemnified Person</w:t>
      </w:r>
      <w:r>
        <w:rPr>
          <w:rFonts w:ascii="Times New Roman" w:cs="Times New Roman" w:eastAsia="Times New Roman" w:hAnsi="Times New Roman"/>
          <w:sz w:val="22"/>
          <w:szCs w:val="22"/>
          <w:color w:val="auto"/>
        </w:rPr>
        <w:t>” means, with respect to any Indemnitee, (a) any Controlling Person or Controlled Affiliate of such Indemnitee, (b) the respective directors, officers, or employees of such Indemnitee or of any of its Controlling Persons or Controlled Affiliates and (c) the respective agents of such Indemnitee or of any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62" w:name="page263"/>
    <w:bookmarkEnd w:id="262"/>
    <w:p>
      <w:pPr>
        <w:jc w:val="both"/>
        <w:spacing w:after="0" w:line="271" w:lineRule="auto"/>
        <w:rPr>
          <w:sz w:val="20"/>
          <w:szCs w:val="20"/>
          <w:color w:val="auto"/>
        </w:rPr>
      </w:pPr>
      <w:r>
        <w:rPr>
          <w:rFonts w:ascii="Times New Roman" w:cs="Times New Roman" w:eastAsia="Times New Roman" w:hAnsi="Times New Roman"/>
          <w:sz w:val="22"/>
          <w:szCs w:val="22"/>
          <w:color w:val="auto"/>
        </w:rPr>
        <w:t>Controlling Persons or Controlled Affiliates, in the case of this clause (c), acting at the instructions of such Indemnitee, such Controlling Person or such Controlled Affiliate.</w:t>
      </w:r>
    </w:p>
    <w:p>
      <w:pPr>
        <w:spacing w:after="0" w:line="15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Parties</w:t>
      </w:r>
      <w:r>
        <w:rPr>
          <w:rFonts w:ascii="Times New Roman" w:cs="Times New Roman" w:eastAsia="Times New Roman" w:hAnsi="Times New Roman"/>
          <w:sz w:val="22"/>
          <w:szCs w:val="22"/>
          <w:color w:val="auto"/>
        </w:rPr>
        <w:t>” means, with respect to any specified Person, such Person’s Affiliates and the respective directors, officers, employees, agents, counsel, trustees and other advisors of such Person and such Person’s Affiliates.</w:t>
      </w:r>
    </w:p>
    <w:p>
      <w:pPr>
        <w:spacing w:after="0" w:line="144"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Relevant Governmental Body</w:t>
      </w:r>
      <w:r>
        <w:rPr>
          <w:rFonts w:ascii="Times New Roman" w:cs="Times New Roman" w:eastAsia="Times New Roman" w:hAnsi="Times New Roman"/>
          <w:sz w:val="22"/>
          <w:szCs w:val="22"/>
          <w:color w:val="auto"/>
        </w:rPr>
        <w:t>” means the Board or the NYFRB, or a committee officially endorsed or convened by the Board or the NYFRB or, in each case, any successor thereto.</w:t>
      </w:r>
    </w:p>
    <w:p>
      <w:pPr>
        <w:spacing w:after="0" w:line="158" w:lineRule="exact"/>
        <w:rPr>
          <w:sz w:val="20"/>
          <w:szCs w:val="20"/>
          <w:color w:val="auto"/>
        </w:rPr>
      </w:pPr>
    </w:p>
    <w:p>
      <w:pPr>
        <w:jc w:val="both"/>
        <w:ind w:right="20"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Relevant Rate</w:t>
      </w:r>
      <w:r>
        <w:rPr>
          <w:rFonts w:ascii="Times New Roman" w:cs="Times New Roman" w:eastAsia="Times New Roman" w:hAnsi="Times New Roman"/>
          <w:sz w:val="22"/>
          <w:szCs w:val="22"/>
          <w:color w:val="auto"/>
        </w:rPr>
        <w:t>” means (a) with respect to any Term Benchmark Borrowing (other than a Term Benchmark Borrowing with a one week Interest Period), the Adjusted Term SOFR and (b) with respect to any RFR Borrowing and any Term Benchmark Borrowing with a one week Interest Period, the Adjusted Daily Simple SOFR.</w:t>
      </w:r>
    </w:p>
    <w:p>
      <w:pPr>
        <w:spacing w:after="0" w:line="16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Rent Reserve</w:t>
      </w:r>
      <w:r>
        <w:rPr>
          <w:rFonts w:ascii="Times New Roman" w:cs="Times New Roman" w:eastAsia="Times New Roman" w:hAnsi="Times New Roman"/>
          <w:sz w:val="22"/>
          <w:szCs w:val="22"/>
          <w:color w:val="auto"/>
        </w:rPr>
        <w:t>” means, on any date, with respect to any retail store, distribution center, warehouse, manufacturing facility or other Permitted Inventory Location where any Eligible Inventory that is subject to Liens arising by operation of law is located and with respect to which no Lien Waiver is in effect, a reserve equal to three months’ rent and charges at such retail store, distribution center, warehouse, manufacturing facility or other Permitted Inventory Location.</w:t>
      </w:r>
    </w:p>
    <w:p>
      <w:pPr>
        <w:spacing w:after="0" w:line="179"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Repayment Notice</w:t>
      </w:r>
      <w:r>
        <w:rPr>
          <w:rFonts w:ascii="Times New Roman" w:cs="Times New Roman" w:eastAsia="Times New Roman" w:hAnsi="Times New Roman"/>
          <w:sz w:val="22"/>
          <w:szCs w:val="22"/>
          <w:color w:val="auto"/>
        </w:rPr>
        <w:t>” means a notice by the Borrower to repay a Borrowing in accordance with Section 2.09(c) in substantially the form approved by the Administrative Agent and the Borrower and separately provided to the Borrower.</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Resolution Authority</w:t>
      </w:r>
      <w:r>
        <w:rPr>
          <w:rFonts w:ascii="Times New Roman" w:cs="Times New Roman" w:eastAsia="Times New Roman" w:hAnsi="Times New Roman"/>
          <w:sz w:val="22"/>
          <w:szCs w:val="22"/>
          <w:color w:val="auto"/>
        </w:rPr>
        <w:t>” has the meaning set forth in Section 9.21.</w:t>
      </w:r>
    </w:p>
    <w:p>
      <w:pPr>
        <w:spacing w:after="0" w:line="220"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Restatement Date</w:t>
      </w:r>
      <w:r>
        <w:rPr>
          <w:rFonts w:ascii="Times New Roman" w:cs="Times New Roman" w:eastAsia="Times New Roman" w:hAnsi="Times New Roman"/>
          <w:sz w:val="22"/>
          <w:szCs w:val="22"/>
          <w:color w:val="auto"/>
        </w:rPr>
        <w:t>” means the date on which the conditions specified in Section 4.01 are satisfied (or waived in accordance with Section 9.02).</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Restatement Date Borrowing</w:t>
      </w:r>
      <w:r>
        <w:rPr>
          <w:rFonts w:ascii="Times New Roman" w:cs="Times New Roman" w:eastAsia="Times New Roman" w:hAnsi="Times New Roman"/>
          <w:sz w:val="22"/>
          <w:szCs w:val="22"/>
          <w:color w:val="auto"/>
        </w:rPr>
        <w:t>” means a Borrowing of Loans on the Restatement Date.</w:t>
      </w:r>
    </w:p>
    <w:p>
      <w:pPr>
        <w:spacing w:after="0" w:line="233"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Restatement Date Perfection Certificate</w:t>
      </w:r>
      <w:r>
        <w:rPr>
          <w:rFonts w:ascii="Times New Roman" w:cs="Times New Roman" w:eastAsia="Times New Roman" w:hAnsi="Times New Roman"/>
          <w:sz w:val="22"/>
          <w:szCs w:val="22"/>
          <w:color w:val="auto"/>
        </w:rPr>
        <w:t>” means the Perfection Certificate (as defined in the Existing Guarantee and Collateral Agreement) most recently delivered under Section 5.04(c) of the Existing Guarantee and Collateral Agreement.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Payment</w:t>
      </w:r>
      <w:r>
        <w:rPr>
          <w:rFonts w:ascii="Times New Roman" w:cs="Times New Roman" w:eastAsia="Times New Roman" w:hAnsi="Times New Roman"/>
          <w:sz w:val="22"/>
          <w:szCs w:val="22"/>
          <w:color w:val="auto"/>
        </w:rPr>
        <w:t>” in respect of any Person means:</w:t>
      </w:r>
    </w:p>
    <w:p>
      <w:pPr>
        <w:spacing w:after="0" w:line="220" w:lineRule="exact"/>
        <w:rPr>
          <w:sz w:val="20"/>
          <w:szCs w:val="20"/>
          <w:color w:val="auto"/>
        </w:rPr>
      </w:pPr>
    </w:p>
    <w:p>
      <w:pPr>
        <w:jc w:val="both"/>
        <w:ind w:left="1300" w:firstLine="405"/>
        <w:spacing w:after="0" w:line="267" w:lineRule="auto"/>
        <w:tabs>
          <w:tab w:leader="none" w:pos="2021" w:val="left"/>
        </w:tabs>
        <w:numPr>
          <w:ilvl w:val="1"/>
          <w:numId w:val="2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declaration or payment of any dividend, any distribution on or in respect of its Capital Stock or any similar payment (including any payment in connection with any merger or consolidation involving the Borrower or any Restricted Subsidiary) to the direct or indirect holders of its Capital Stock in their capacity as such, except</w:t>
      </w:r>
    </w:p>
    <w:p>
      <w:pPr>
        <w:spacing w:after="0" w:line="1" w:lineRule="exact"/>
        <w:rPr>
          <w:rFonts w:ascii="Times New Roman" w:cs="Times New Roman" w:eastAsia="Times New Roman" w:hAnsi="Times New Roman"/>
          <w:sz w:val="21"/>
          <w:szCs w:val="21"/>
          <w:color w:val="auto"/>
        </w:rPr>
      </w:pPr>
    </w:p>
    <w:p>
      <w:pPr>
        <w:ind w:left="1660" w:hanging="356"/>
        <w:spacing w:after="0"/>
        <w:tabs>
          <w:tab w:leader="none" w:pos="1660"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63" w:name="page264"/>
    <w:bookmarkEnd w:id="263"/>
    <w:p>
      <w:pPr>
        <w:jc w:val="both"/>
        <w:ind w:left="1300"/>
        <w:spacing w:after="0" w:line="256" w:lineRule="auto"/>
        <w:rPr>
          <w:sz w:val="20"/>
          <w:szCs w:val="20"/>
          <w:color w:val="auto"/>
        </w:rPr>
      </w:pPr>
      <w:r>
        <w:rPr>
          <w:rFonts w:ascii="Times New Roman" w:cs="Times New Roman" w:eastAsia="Times New Roman" w:hAnsi="Times New Roman"/>
          <w:sz w:val="22"/>
          <w:szCs w:val="22"/>
          <w:color w:val="auto"/>
        </w:rPr>
        <w:t>distributions payable solely in its Capital Stock (other than Disqualified Stock or, in the case of a Restricted Subsidiary, Preferred Stock) and (B) dividends or distributions payable to the Borrower or a Restricted Subsidiary (and, if such Restricted Subsidiary has Capital Stock held by Persons other than the Borrower or other Restricted Subsidiaries, to such other Persons on no more than a pro rata basis);</w:t>
      </w:r>
    </w:p>
    <w:p>
      <w:pPr>
        <w:spacing w:after="0" w:line="176" w:lineRule="exact"/>
        <w:rPr>
          <w:sz w:val="20"/>
          <w:szCs w:val="20"/>
          <w:color w:val="auto"/>
        </w:rPr>
      </w:pPr>
    </w:p>
    <w:p>
      <w:pPr>
        <w:jc w:val="both"/>
        <w:ind w:left="1300" w:firstLine="405"/>
        <w:spacing w:after="0" w:line="253" w:lineRule="auto"/>
        <w:tabs>
          <w:tab w:leader="none" w:pos="2007"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 repurchase, redemption, retirement or other acquisition (“</w:t>
      </w:r>
      <w:r>
        <w:rPr>
          <w:rFonts w:ascii="Times New Roman" w:cs="Times New Roman" w:eastAsia="Times New Roman" w:hAnsi="Times New Roman"/>
          <w:sz w:val="22"/>
          <w:szCs w:val="22"/>
          <w:u w:val="single" w:color="auto"/>
          <w:color w:val="auto"/>
        </w:rPr>
        <w:t>Purchase</w:t>
      </w:r>
      <w:r>
        <w:rPr>
          <w:rFonts w:ascii="Times New Roman" w:cs="Times New Roman" w:eastAsia="Times New Roman" w:hAnsi="Times New Roman"/>
          <w:sz w:val="22"/>
          <w:szCs w:val="22"/>
          <w:color w:val="auto"/>
        </w:rPr>
        <w:t>”) for value of any Capital Stock of the Borrower held by any Person (other than Capital Stock held by the Borrower or a Restricted Subsidiary) or any Capital Stock of a Restricted Subsidiary held by any Affiliate of the Borrower (other than Capital Stock held by a Restricted Subsidiary) (other than in exchange for Capital Stock of the Borrower that is not Disqualified Stock);</w:t>
      </w:r>
    </w:p>
    <w:p>
      <w:pPr>
        <w:spacing w:after="0" w:line="178" w:lineRule="exact"/>
        <w:rPr>
          <w:rFonts w:ascii="Times New Roman" w:cs="Times New Roman" w:eastAsia="Times New Roman" w:hAnsi="Times New Roman"/>
          <w:sz w:val="22"/>
          <w:szCs w:val="22"/>
          <w:color w:val="auto"/>
        </w:rPr>
      </w:pPr>
    </w:p>
    <w:p>
      <w:pPr>
        <w:jc w:val="both"/>
        <w:ind w:left="1300" w:firstLine="405"/>
        <w:spacing w:after="0" w:line="252" w:lineRule="auto"/>
        <w:tabs>
          <w:tab w:leader="none" w:pos="2021"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 for value, prior to scheduled maturity, any scheduled repayment or any scheduled sinking fund payment, of any Subordinated Obligations (other than the Purchase for value of Subordinated Obligations acquired in anticipation of satisfying a sinking fund obligation, principal installment or final maturity, in each case due within one year of the date of such Purchase); or</w:t>
      </w:r>
    </w:p>
    <w:p>
      <w:pPr>
        <w:spacing w:after="0" w:line="179" w:lineRule="exact"/>
        <w:rPr>
          <w:rFonts w:ascii="Times New Roman" w:cs="Times New Roman" w:eastAsia="Times New Roman" w:hAnsi="Times New Roman"/>
          <w:sz w:val="22"/>
          <w:szCs w:val="22"/>
          <w:color w:val="auto"/>
        </w:rPr>
      </w:pPr>
    </w:p>
    <w:p>
      <w:pPr>
        <w:ind w:left="2020" w:hanging="315"/>
        <w:spacing w:after="0"/>
        <w:tabs>
          <w:tab w:leader="none" w:pos="2020"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Investment (other than a Permitted Investment) in any Person.</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Subsidiary</w:t>
      </w:r>
      <w:r>
        <w:rPr>
          <w:rFonts w:ascii="Times New Roman" w:cs="Times New Roman" w:eastAsia="Times New Roman" w:hAnsi="Times New Roman"/>
          <w:sz w:val="22"/>
          <w:szCs w:val="22"/>
          <w:color w:val="auto"/>
        </w:rPr>
        <w:t>” means any Subsidiary of the Borrower other than an Unrestricted Subsidiary.</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Retail Division</w:t>
      </w:r>
      <w:r>
        <w:rPr>
          <w:rFonts w:ascii="Times New Roman" w:cs="Times New Roman" w:eastAsia="Times New Roman" w:hAnsi="Times New Roman"/>
          <w:sz w:val="22"/>
          <w:szCs w:val="22"/>
          <w:color w:val="auto"/>
        </w:rPr>
        <w:t>” means those standard consumer and commercial business units of the Borrower and the other Grantors classified as “Retail Division” on the Borrower’s (or such Grantors’, as the case may be) perpetual inventory records.</w:t>
      </w:r>
    </w:p>
    <w:p>
      <w:pPr>
        <w:spacing w:after="0" w:line="158"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Reuters</w:t>
      </w:r>
      <w:r>
        <w:rPr>
          <w:rFonts w:ascii="Times New Roman" w:cs="Times New Roman" w:eastAsia="Times New Roman" w:hAnsi="Times New Roman"/>
          <w:sz w:val="22"/>
          <w:szCs w:val="22"/>
          <w:color w:val="auto"/>
        </w:rPr>
        <w:t>” means, as applicable, (a) Thomson Reuters Corporation, a corporation incorporated under and governed by the Business Corporations Act (Ontario), Canada, (b) Refinitiv, or (c) any successor to any of the foregoing.</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Loan</w:t>
      </w:r>
      <w:r>
        <w:rPr>
          <w:rFonts w:ascii="Times New Roman" w:cs="Times New Roman" w:eastAsia="Times New Roman" w:hAnsi="Times New Roman"/>
          <w:sz w:val="22"/>
          <w:szCs w:val="22"/>
          <w:color w:val="auto"/>
        </w:rPr>
        <w:t>” means a Loan made pursuant to Section 2.01(a).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RFR Borrowing</w:t>
      </w:r>
      <w:r>
        <w:rPr>
          <w:rFonts w:ascii="Times New Roman" w:cs="Times New Roman" w:eastAsia="Times New Roman" w:hAnsi="Times New Roman"/>
          <w:sz w:val="22"/>
          <w:szCs w:val="22"/>
          <w:color w:val="auto"/>
        </w:rPr>
        <w:t>” means any Borrowing comprised of RFR Loans.</w:t>
      </w:r>
    </w:p>
    <w:p>
      <w:pPr>
        <w:spacing w:after="0" w:line="22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RFR Loan</w:t>
      </w:r>
      <w:r>
        <w:rPr>
          <w:rFonts w:ascii="Times New Roman" w:cs="Times New Roman" w:eastAsia="Times New Roman" w:hAnsi="Times New Roman"/>
          <w:sz w:val="22"/>
          <w:szCs w:val="22"/>
          <w:color w:val="auto"/>
        </w:rPr>
        <w:t>” means a Loan that bears interest at a rate determined by reference to the Adjusted Daily Simple SOFR (and, for the avoidance of doubt, excludes Loans that bear interest at a rate determined by reference to clause (b) of the definition of Adjusted Term SOFR).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64" w:name="page265"/>
    <w:bookmarkEnd w:id="264"/>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Sale/Leaseback Transaction</w:t>
      </w:r>
      <w:r>
        <w:rPr>
          <w:rFonts w:ascii="Times New Roman" w:cs="Times New Roman" w:eastAsia="Times New Roman" w:hAnsi="Times New Roman"/>
          <w:sz w:val="22"/>
          <w:szCs w:val="22"/>
          <w:color w:val="auto"/>
        </w:rPr>
        <w:t>” means an arrangement relating to property, plant and equipment now owned or hereafter acquired by the Borrower or a Restricted Subsidiary whereby the Borrower or a Restricted Subsidiary transfers such property to a Person and the Borrower or such Restricted Subsidiary leases it from such Person, other than (i) leases between the Borrower and a Restricted Subsidiary or between Restricted Subsidiaries or (ii) any such transaction entered into with respect to any property, plant and equipment or any improvements thereto at the time of, or within 180 days after, the acquisition or completion of construction of such property, plant and equipment or such improvements (or, if later, the commencement of commercial operation of any such property, plant and equipment), as the case may be, to finance the cost of such property, plant and equipment or such improvements, as the case may be.</w:t>
      </w:r>
    </w:p>
    <w:p>
      <w:pPr>
        <w:spacing w:after="0" w:line="19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Country</w:t>
      </w:r>
      <w:r>
        <w:rPr>
          <w:rFonts w:ascii="Times New Roman" w:cs="Times New Roman" w:eastAsia="Times New Roman" w:hAnsi="Times New Roman"/>
          <w:sz w:val="22"/>
          <w:szCs w:val="22"/>
          <w:color w:val="auto"/>
        </w:rPr>
        <w:t>” means, at any time, a country, region or territory which is itself the subject or target of any comprehensive Sanctions (solely consisting of, at the time of this Agreement, the so-called Donetsk People’s Republic, the so-called Luhansk People’s Republic, the Crimea Region of Ukraine, the non-Ukrainian government-controlled areas of the Kherson and Zaporizhzhia regions of Ukraine, Cuba, Iran, North Korea and Syria).</w:t>
      </w:r>
    </w:p>
    <w:p>
      <w:pPr>
        <w:spacing w:after="0" w:line="179" w:lineRule="exact"/>
        <w:rPr>
          <w:sz w:val="20"/>
          <w:szCs w:val="20"/>
          <w:color w:val="auto"/>
        </w:rPr>
      </w:pPr>
    </w:p>
    <w:p>
      <w:pPr>
        <w:jc w:val="both"/>
        <w:ind w:firstLine="1296"/>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Sanctioned Person</w:t>
      </w:r>
      <w:r>
        <w:rPr>
          <w:rFonts w:ascii="Times New Roman" w:cs="Times New Roman" w:eastAsia="Times New Roman" w:hAnsi="Times New Roman"/>
          <w:sz w:val="21"/>
          <w:szCs w:val="21"/>
          <w:color w:val="auto"/>
        </w:rPr>
        <w:t>” means, at any time, (a) any Person listed in any Sanctions-related list of designated Persons maintained by the Office of Foreign Assets Control of the U.S. Department of the Treasury or the U.S. Department of State, or by the United Nations Security Council, the European Union, the United Kingdom or Canada, (b) any Person organized or resident in a Sanctioned Country or (c) any Person owned 50% or more by any Person or Persons described in the foregoing clauses (a) or</w:t>
      </w:r>
    </w:p>
    <w:p>
      <w:pPr>
        <w:spacing w:after="0" w:line="1" w:lineRule="exact"/>
        <w:rPr>
          <w:sz w:val="20"/>
          <w:szCs w:val="20"/>
          <w:color w:val="auto"/>
        </w:rPr>
      </w:pPr>
    </w:p>
    <w:p>
      <w:pPr>
        <w:ind w:firstLine="8"/>
        <w:spacing w:after="0" w:line="248" w:lineRule="auto"/>
        <w:tabs>
          <w:tab w:leader="none" w:pos="315"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(including, without limitation for purposes of defining a Sanctioned Person, as ownership and control may be defined and/or established in and/or by any applicable laws, rules, regulations, or orders pertaining to Sanctions).</w:t>
      </w:r>
    </w:p>
    <w:p>
      <w:pPr>
        <w:spacing w:after="0" w:line="18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means all economic or financial sanctions or trade embargoes imposed, administered or enforced from time to time by (a) the Office of Foreign Assets Control (and any successor performing similar functions) of the U.S. Department of the Treasury or the U. S. Department of State, or (b) the United Nations Security Council, the European Union, His Majesty’s Treasury of the United Kingdom or Canada.</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means the Securities and Exchange Commission.</w:t>
      </w:r>
    </w:p>
    <w:p>
      <w:pPr>
        <w:spacing w:after="0" w:line="220"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Indebtedness</w:t>
      </w:r>
      <w:r>
        <w:rPr>
          <w:rFonts w:ascii="Times New Roman" w:cs="Times New Roman" w:eastAsia="Times New Roman" w:hAnsi="Times New Roman"/>
          <w:sz w:val="22"/>
          <w:szCs w:val="22"/>
          <w:color w:val="auto"/>
        </w:rPr>
        <w:t>” means any Indebtedness of the Borrower secured by a Lien. “</w:t>
      </w:r>
      <w:r>
        <w:rPr>
          <w:rFonts w:ascii="Times New Roman" w:cs="Times New Roman" w:eastAsia="Times New Roman" w:hAnsi="Times New Roman"/>
          <w:sz w:val="22"/>
          <w:szCs w:val="22"/>
          <w:u w:val="single" w:color="auto"/>
          <w:color w:val="auto"/>
        </w:rPr>
        <w:t>Secured Indebtedness</w:t>
      </w:r>
      <w:r>
        <w:rPr>
          <w:rFonts w:ascii="Times New Roman" w:cs="Times New Roman" w:eastAsia="Times New Roman" w:hAnsi="Times New Roman"/>
          <w:sz w:val="22"/>
          <w:szCs w:val="22"/>
          <w:color w:val="auto"/>
        </w:rPr>
        <w:t>” of a Subsidiary has a correlative meaning.</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Parties</w:t>
      </w:r>
      <w:r>
        <w:rPr>
          <w:rFonts w:ascii="Times New Roman" w:cs="Times New Roman" w:eastAsia="Times New Roman" w:hAnsi="Times New Roman"/>
          <w:sz w:val="22"/>
          <w:szCs w:val="22"/>
          <w:color w:val="auto"/>
        </w:rPr>
        <w:t>” means the Administrative Agent, each Issuing Bank, the Collateral Agent and each Lender.</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Securities Act of 1933, as amended, and the rules and regulations promulgated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65" w:name="page266"/>
    <w:bookmarkEnd w:id="265"/>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Security Documents</w:t>
      </w:r>
      <w:r>
        <w:rPr>
          <w:rFonts w:ascii="Times New Roman" w:cs="Times New Roman" w:eastAsia="Times New Roman" w:hAnsi="Times New Roman"/>
          <w:sz w:val="22"/>
          <w:szCs w:val="22"/>
          <w:color w:val="auto"/>
        </w:rPr>
        <w:t>” means the Reaffirmation Agreement, the Guarantee and Collateral Agreement, the Foreign Pledge Agreements, the Canadian Security Agreements, the Mortgages and each other instrument or document delivered in connection with the cash collateralization of Letters of Credit or pursuant to Section 5.08, in each case to secure any of the Obligations.</w:t>
      </w:r>
    </w:p>
    <w:p>
      <w:pPr>
        <w:spacing w:after="0" w:line="17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Senior Subordinated-Lien Collateral Agent</w:t>
      </w:r>
      <w:r>
        <w:rPr>
          <w:rFonts w:ascii="Times New Roman" w:cs="Times New Roman" w:eastAsia="Times New Roman" w:hAnsi="Times New Roman"/>
          <w:sz w:val="22"/>
          <w:szCs w:val="22"/>
          <w:color w:val="auto"/>
        </w:rPr>
        <w:t>” means, as to any Senior Subordinated-Lien Indebtedness, the collateral agent under the applicable Senior Subordinated-Lien Indebtedness Security Documents.</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Senior Subordinated-Lien Governing Documents</w:t>
      </w:r>
      <w:r>
        <w:rPr>
          <w:rFonts w:ascii="Times New Roman" w:cs="Times New Roman" w:eastAsia="Times New Roman" w:hAnsi="Times New Roman"/>
          <w:sz w:val="22"/>
          <w:szCs w:val="22"/>
          <w:color w:val="auto"/>
        </w:rPr>
        <w:t>” means each indenture or other agreement or instrument providing for the issuance or setting forth the terms of any Senior Subordinated-Lien Indebtedness.</w:t>
      </w:r>
    </w:p>
    <w:p>
      <w:pPr>
        <w:spacing w:after="0" w:line="17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Senior Subordinated-Lien Indebtedness</w:t>
      </w:r>
      <w:r>
        <w:rPr>
          <w:rFonts w:ascii="Times New Roman" w:cs="Times New Roman" w:eastAsia="Times New Roman" w:hAnsi="Times New Roman"/>
          <w:sz w:val="22"/>
          <w:szCs w:val="22"/>
          <w:color w:val="auto"/>
          <w:highlight w:val="white"/>
        </w:rPr>
        <w:t>” means Indebtedness of the Borrower that (a) is secured by Liens</w:t>
      </w:r>
      <w:r>
        <w:rPr>
          <w:rFonts w:ascii="Times New Roman" w:cs="Times New Roman" w:eastAsia="Times New Roman" w:hAnsi="Times New Roman"/>
          <w:sz w:val="22"/>
          <w:szCs w:val="22"/>
          <w:color w:val="auto"/>
        </w:rPr>
        <w:t xml:space="preserve"> permitted under Section 6.06(b), but that is not secured by Liens on any additional assets, (b) constitutes Designated Junior Obligations under and as defined in the Lien Subordination and Intercreditor Agreement, and the Liens securing such Designated Junior Obligations are subordinated under the Lien Subordination and Intercreditor Agreement to the Liens securing the Obligations and (c) does not contain provisions inconsistent with the restrictions of Schedule 1.01C.</w:t>
      </w:r>
    </w:p>
    <w:p>
      <w:pPr>
        <w:spacing w:after="0" w:line="181"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Senior Subordinated-Lien Indebtedness Security Documents</w:t>
      </w:r>
      <w:r>
        <w:rPr>
          <w:rFonts w:ascii="Times New Roman" w:cs="Times New Roman" w:eastAsia="Times New Roman" w:hAnsi="Times New Roman"/>
          <w:sz w:val="22"/>
          <w:szCs w:val="22"/>
          <w:color w:val="auto"/>
        </w:rPr>
        <w:t>” means, as to any Senior Subordinated-Lien Indebtedness, the security agreements, pledge agreements, mortgages and other documents creating Liens on assets of the Borrower and the Subsidiary Guarantors to secure the applicable Senior Subordinated-Lien Obligations.</w:t>
      </w:r>
    </w:p>
    <w:p>
      <w:pPr>
        <w:spacing w:after="0" w:line="167"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Senior Subordinated-Lien Obligations</w:t>
      </w:r>
      <w:r>
        <w:rPr>
          <w:rFonts w:ascii="Times New Roman" w:cs="Times New Roman" w:eastAsia="Times New Roman" w:hAnsi="Times New Roman"/>
          <w:sz w:val="22"/>
          <w:szCs w:val="22"/>
          <w:color w:val="auto"/>
        </w:rPr>
        <w:t>” means, as to any Senior Subordinated-Lien Indebtedness, (a) the principal of and all premium or make-whole amounts, if any, and interest payable in respect of such Senior Subordinated-Lien Indebtedness, (b) any amounts payable under Guarantees of such Senior Subordinated-Lien Indebtedness by Subsidiaries and (c) all other amounts payable by the Borrower or any Subsidiary under such Senior Subordinated-Lien Indebtedness, the applicable Senior Subordinated-Lien Indebtedness Security Documents (to the extent such amounts relate to such Senior Subordinated-Lien Indebtedness) or the applicable Senior Subordinated-Lien Governing Documents.</w:t>
      </w:r>
    </w:p>
    <w:p>
      <w:pPr>
        <w:spacing w:after="0" w:line="181"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Sixth Supplemental Indenture</w:t>
      </w:r>
      <w:r>
        <w:rPr>
          <w:rFonts w:ascii="Times New Roman" w:cs="Times New Roman" w:eastAsia="Times New Roman" w:hAnsi="Times New Roman"/>
          <w:sz w:val="22"/>
          <w:szCs w:val="22"/>
          <w:color w:val="auto"/>
        </w:rPr>
        <w:t>” means, collectively, the Indenture dated as of August 13, 2010, among the Borrower, the subsidiary guarantors thereunder and Wells Fargo Bank, N.A., as trustee, and the Sixth Supplemental Indenture dated as of March 7, 2017, among the Borrower, the subsidiary guarantors thereunder and Wells Fargo Bank, N.A., as trustee.</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w:t>
      </w:r>
      <w:r>
        <w:rPr>
          <w:rFonts w:ascii="Times New Roman" w:cs="Times New Roman" w:eastAsia="Times New Roman" w:hAnsi="Times New Roman"/>
          <w:sz w:val="22"/>
          <w:szCs w:val="22"/>
          <w:color w:val="auto"/>
        </w:rPr>
        <w:t>” means a rate equal to the secured overnight financing rate as administered by the SOFR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66" w:name="page267"/>
    <w:bookmarkEnd w:id="266"/>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SOFR Administrator</w:t>
      </w:r>
      <w:r>
        <w:rPr>
          <w:rFonts w:ascii="Times New Roman" w:cs="Times New Roman" w:eastAsia="Times New Roman" w:hAnsi="Times New Roman"/>
          <w:sz w:val="21"/>
          <w:szCs w:val="21"/>
          <w:color w:val="auto"/>
        </w:rPr>
        <w:t>” means the NYFRB (or a successor administrator of the secured overnight financing rate).</w:t>
      </w:r>
    </w:p>
    <w:p>
      <w:pPr>
        <w:spacing w:after="0" w:line="23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Administrator’s Website</w:t>
      </w:r>
      <w:r>
        <w:rPr>
          <w:rFonts w:ascii="Times New Roman" w:cs="Times New Roman" w:eastAsia="Times New Roman" w:hAnsi="Times New Roman"/>
          <w:sz w:val="22"/>
          <w:szCs w:val="22"/>
          <w:color w:val="auto"/>
        </w:rPr>
        <w:t>” means the NYFRB’s website, currently at http://www.newyorkfed.org, or any successor source for the secured overnight financing rate identified as such by the SOFR Administrator from time to time.</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Rate Day</w:t>
      </w:r>
      <w:r>
        <w:rPr>
          <w:rFonts w:ascii="Times New Roman" w:cs="Times New Roman" w:eastAsia="Times New Roman" w:hAnsi="Times New Roman"/>
          <w:sz w:val="22"/>
          <w:szCs w:val="22"/>
          <w:color w:val="auto"/>
        </w:rPr>
        <w:t>” has the meaning assigned to such term in the definition of the term “Daily Simple SOFR”.</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Jurisdiction</w:t>
      </w:r>
      <w:r>
        <w:rPr>
          <w:rFonts w:ascii="Times New Roman" w:cs="Times New Roman" w:eastAsia="Times New Roman" w:hAnsi="Times New Roman"/>
          <w:sz w:val="22"/>
          <w:szCs w:val="22"/>
          <w:color w:val="auto"/>
        </w:rPr>
        <w:t>” means The United States of America and Canada.</w:t>
      </w:r>
    </w:p>
    <w:p>
      <w:pPr>
        <w:spacing w:after="0" w:line="22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Supplemental Indentures</w:t>
      </w:r>
      <w:r>
        <w:rPr>
          <w:rFonts w:ascii="Times New Roman" w:cs="Times New Roman" w:eastAsia="Times New Roman" w:hAnsi="Times New Roman"/>
          <w:sz w:val="22"/>
          <w:szCs w:val="22"/>
          <w:color w:val="auto"/>
        </w:rPr>
        <w:t>” means, collectively, the Fifth Supplemental Indenture, Sixth Supplemental Indenture, Eighth Supplemental Indenture, Ninth Supplemental Indenture, Tenth Supplemental Indenture and Eleventh Supplemental Indenture.</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Stamp Duty Sensitive Document</w:t>
      </w:r>
      <w:r>
        <w:rPr>
          <w:rFonts w:ascii="Times New Roman" w:cs="Times New Roman" w:eastAsia="Times New Roman" w:hAnsi="Times New Roman"/>
          <w:sz w:val="22"/>
          <w:szCs w:val="22"/>
          <w:color w:val="auto"/>
        </w:rPr>
        <w:t>” has the meaning set forth in Section 9.18.</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Standard &amp; Poor’s</w:t>
      </w:r>
      <w:r>
        <w:rPr>
          <w:rFonts w:ascii="Times New Roman" w:cs="Times New Roman" w:eastAsia="Times New Roman" w:hAnsi="Times New Roman"/>
          <w:sz w:val="22"/>
          <w:szCs w:val="22"/>
          <w:color w:val="auto"/>
        </w:rPr>
        <w:t>” means S&amp;P Global Ratings, an S&amp;P Financial Services LLC business, and any successor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thereto.</w:t>
      </w:r>
    </w:p>
    <w:p>
      <w:pPr>
        <w:spacing w:after="0" w:line="196" w:lineRule="exact"/>
        <w:rPr>
          <w:sz w:val="20"/>
          <w:szCs w:val="20"/>
          <w:color w:val="auto"/>
        </w:rPr>
      </w:pPr>
    </w:p>
    <w:p>
      <w:pPr>
        <w:jc w:val="both"/>
        <w:ind w:right="20" w:firstLine="1296"/>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Standard Securitization Undertakings</w:t>
      </w:r>
      <w:r>
        <w:rPr>
          <w:rFonts w:ascii="Times New Roman" w:cs="Times New Roman" w:eastAsia="Times New Roman" w:hAnsi="Times New Roman"/>
          <w:sz w:val="21"/>
          <w:szCs w:val="21"/>
          <w:color w:val="auto"/>
        </w:rPr>
        <w:t>” means representations, warranties, covenants and indemnities entered into by the Borrower or any Subsidiary of the Borrower which, taken as a whole, are customary in an accounts receivable transaction.</w:t>
      </w:r>
    </w:p>
    <w:p>
      <w:pPr>
        <w:spacing w:after="0" w:line="13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Stated Maturity</w:t>
      </w:r>
      <w:r>
        <w:rPr>
          <w:rFonts w:ascii="Times New Roman" w:cs="Times New Roman" w:eastAsia="Times New Roman" w:hAnsi="Times New Roman"/>
          <w:sz w:val="22"/>
          <w:szCs w:val="22"/>
          <w:color w:val="auto"/>
        </w:rPr>
        <w:t>” means, with respect to any Indebtedness, the date specified in the documentation governing such Indebtedness as the fixed date on which the final payment of principal of such Indebtedness is due and payable, including pursuant to any mandatory redemption provision (but excluding any provision providing for the repurchase of such Indebtedness at the option of the holder thereof upon the happening of any contingency beyond the control of the Borrower unless such contingency has occurred). The “Stated Maturity” of the Obligations means the Commitment Termination Date.</w:t>
      </w:r>
    </w:p>
    <w:p>
      <w:pPr>
        <w:spacing w:after="0" w:line="179"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Subordinated Obligation</w:t>
      </w:r>
      <w:r>
        <w:rPr>
          <w:rFonts w:ascii="Times New Roman" w:cs="Times New Roman" w:eastAsia="Times New Roman" w:hAnsi="Times New Roman"/>
          <w:sz w:val="22"/>
          <w:szCs w:val="22"/>
          <w:color w:val="auto"/>
        </w:rPr>
        <w:t>” means any Indebtedness of the Borrower (whether outstanding on the Restatement Date or thereafter Incurred) (a) that by its terms is subordinate or junior in right of payment to the Obligations or (b) that is not Secured Indebtedness or (c) that is secured subject to an agreement subordinating its Liens to those securing the Obligations. For the avoidance of doubt, “</w:t>
      </w:r>
      <w:r>
        <w:rPr>
          <w:rFonts w:ascii="Times New Roman" w:cs="Times New Roman" w:eastAsia="Times New Roman" w:hAnsi="Times New Roman"/>
          <w:sz w:val="22"/>
          <w:szCs w:val="22"/>
          <w:u w:val="single" w:color="auto"/>
          <w:color w:val="auto"/>
        </w:rPr>
        <w:t>Subordinated Obligations</w:t>
      </w:r>
      <w:r>
        <w:rPr>
          <w:rFonts w:ascii="Times New Roman" w:cs="Times New Roman" w:eastAsia="Times New Roman" w:hAnsi="Times New Roman"/>
          <w:sz w:val="22"/>
          <w:szCs w:val="22"/>
          <w:color w:val="auto"/>
        </w:rPr>
        <w:t>” shall include any Senior Subordinated-Lien Obligations and any unsecured Indebtedness of the Borrower and the Subsidiary Guarantors. “</w:t>
      </w:r>
      <w:r>
        <w:rPr>
          <w:rFonts w:ascii="Times New Roman" w:cs="Times New Roman" w:eastAsia="Times New Roman" w:hAnsi="Times New Roman"/>
          <w:sz w:val="22"/>
          <w:szCs w:val="22"/>
          <w:u w:val="single" w:color="auto"/>
          <w:color w:val="auto"/>
        </w:rPr>
        <w:t>Subordinated Obligation</w:t>
      </w:r>
      <w:r>
        <w:rPr>
          <w:rFonts w:ascii="Times New Roman" w:cs="Times New Roman" w:eastAsia="Times New Roman" w:hAnsi="Times New Roman"/>
          <w:sz w:val="22"/>
          <w:szCs w:val="22"/>
          <w:color w:val="auto"/>
        </w:rPr>
        <w:t>” of a Subsidiary Guarantor has a correlative meaning.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67" w:name="page268"/>
    <w:bookmarkEnd w:id="267"/>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with respect to any Person (the “</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at any date, any corporation, limited liability company, partnership, association or other entity the accounts of which are consolidated with those of the parent in the parent’s consolidated financial statements in accordance with GAAP as of such date, as well as any other corporation, limited liability company, partnership, association or other entity of which securities or other ownership interests representing more than 50% of the equity or more than 50% of the ordinary voting power or, in the case of a partnership, more than 50% of the general partnership interests are, as of such date, owned, controlled or held by the parent or one or more subsidiaries of the parent or by the parent and one or more subsidiaries of the parent.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any subsidiary of the Borrower.</w:t>
      </w:r>
    </w:p>
    <w:p>
      <w:pPr>
        <w:spacing w:after="0" w:line="23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 Guarantor</w:t>
      </w:r>
      <w:r>
        <w:rPr>
          <w:rFonts w:ascii="Times New Roman" w:cs="Times New Roman" w:eastAsia="Times New Roman" w:hAnsi="Times New Roman"/>
          <w:sz w:val="22"/>
          <w:szCs w:val="22"/>
          <w:color w:val="auto"/>
        </w:rPr>
        <w:t>” means any Subsidiary that is, or is required pursuant to Section 5.08 to become, a Guarantor (as defined in the Guarantee and Collateral Agreement).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Supported QFC</w:t>
      </w:r>
      <w:r>
        <w:rPr>
          <w:rFonts w:ascii="Times New Roman" w:cs="Times New Roman" w:eastAsia="Times New Roman" w:hAnsi="Times New Roman"/>
          <w:sz w:val="22"/>
          <w:szCs w:val="22"/>
          <w:color w:val="auto"/>
        </w:rPr>
        <w:t>” has the meaning set forth in Section 9.22.</w:t>
      </w:r>
    </w:p>
    <w:p>
      <w:pPr>
        <w:spacing w:after="0" w:line="220"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Swap Agreement</w:t>
      </w:r>
      <w:r>
        <w:rPr>
          <w:rFonts w:ascii="Times New Roman" w:cs="Times New Roman" w:eastAsia="Times New Roman" w:hAnsi="Times New Roman"/>
          <w:sz w:val="21"/>
          <w:szCs w:val="21"/>
          <w:color w:val="auto"/>
        </w:rPr>
        <w:t>” means (a) any swap, forward, spot, future, credit default or derivative transaction or option involving, or settled by reference to, one or more rates, currencies, commodities, raw materials, equity or debt instruments or securities, or economic, financial or pricing indices or measures of economic, financial or pricing risk or value or any similar transaction or any combination of these transactions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or any other master agreement (any such master agreement, together with any related schedules, a “</w:t>
      </w:r>
      <w:r>
        <w:rPr>
          <w:rFonts w:ascii="Times New Roman" w:cs="Times New Roman" w:eastAsia="Times New Roman" w:hAnsi="Times New Roman"/>
          <w:sz w:val="21"/>
          <w:szCs w:val="21"/>
          <w:u w:val="single" w:color="auto"/>
          <w:color w:val="auto"/>
        </w:rPr>
        <w:t>Master Agreement</w:t>
      </w:r>
      <w:r>
        <w:rPr>
          <w:rFonts w:ascii="Times New Roman" w:cs="Times New Roman" w:eastAsia="Times New Roman" w:hAnsi="Times New Roman"/>
          <w:sz w:val="21"/>
          <w:szCs w:val="21"/>
          <w:color w:val="auto"/>
        </w:rPr>
        <w:t>”), including any such obligations or liabilities under any Master Agreement; provided that no phantom stock or similar plan providing for payments only on account of services provided by current or former directors, officers, employees or consultants of the Borrower or the Subsidiaries shall be a Swap Agreement.</w:t>
      </w:r>
    </w:p>
    <w:p>
      <w:pPr>
        <w:spacing w:after="0" w:line="17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Swap Agreement Obligations</w:t>
      </w:r>
      <w:r>
        <w:rPr>
          <w:rFonts w:ascii="Times New Roman" w:cs="Times New Roman" w:eastAsia="Times New Roman" w:hAnsi="Times New Roman"/>
          <w:sz w:val="22"/>
          <w:szCs w:val="22"/>
          <w:color w:val="auto"/>
        </w:rPr>
        <w:t>” means any and all obligations of the Credit Parties or any Subsidiary (other than GEBV or a GEBV Subsidiary), whether absolute or contingent and howsoever and whensoever created, arising, evidenced or acquired (including all renewals, extensions and modifications thereof and substitutions therefor), under (a) any and all Swap Agreements permitted hereunder and (b) any and all cancellations, buy backs, reversals, terminations or assignments of any Swap Agreement transaction permitted hereunder.</w:t>
      </w:r>
    </w:p>
    <w:p>
      <w:pPr>
        <w:spacing w:after="0" w:line="179" w:lineRule="exact"/>
        <w:rPr>
          <w:sz w:val="20"/>
          <w:szCs w:val="20"/>
          <w:color w:val="auto"/>
        </w:rPr>
      </w:pPr>
    </w:p>
    <w:p>
      <w:pPr>
        <w:jc w:val="both"/>
        <w:ind w:firstLine="1296"/>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Swap Obligation</w:t>
      </w:r>
      <w:r>
        <w:rPr>
          <w:rFonts w:ascii="Times New Roman" w:cs="Times New Roman" w:eastAsia="Times New Roman" w:hAnsi="Times New Roman"/>
          <w:sz w:val="21"/>
          <w:szCs w:val="21"/>
          <w:color w:val="auto"/>
        </w:rPr>
        <w:t>” means, with respect to any Credit Party, any obligation to pay or perform under any agreement, contract or transaction that constitutes a “ swap” within the meaning of Section 1a(47) of the Commodity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68" w:name="page269"/>
    <w:bookmarkEnd w:id="268"/>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Swingline Agreement</w:t>
      </w:r>
      <w:r>
        <w:rPr>
          <w:rFonts w:ascii="Times New Roman" w:cs="Times New Roman" w:eastAsia="Times New Roman" w:hAnsi="Times New Roman"/>
          <w:sz w:val="22"/>
          <w:szCs w:val="22"/>
          <w:color w:val="auto"/>
        </w:rPr>
        <w:t>” means an agreement or instrument executed by the Borrower, a Lender and the Administrative Agent under which such Lender agrees to serve as a Swingline Lender.</w:t>
      </w:r>
    </w:p>
    <w:p>
      <w:pPr>
        <w:spacing w:after="0" w:line="158"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Swingline Commitment</w:t>
      </w:r>
      <w:r>
        <w:rPr>
          <w:rFonts w:ascii="Times New Roman" w:cs="Times New Roman" w:eastAsia="Times New Roman" w:hAnsi="Times New Roman"/>
          <w:sz w:val="22"/>
          <w:szCs w:val="22"/>
          <w:color w:val="auto"/>
        </w:rPr>
        <w:t>” means, with respect to each Swingline Lender, the commitment of such Swingline Lender to make Swingline Loans pursuant to Section 2.04, expressed as an amount representing the maximum permitted aggregate amount of such Swingline Lender’s outstanding Swingline Loans hereunder. The initial amount of each Swingline Lender’s Swingline Commitment is set forth on Schedule 2.04 or in the Swingline Agreement pursuant to which such Lender shall have assumed its Swingline Commitment, as applicable. The initial aggregate amount of the Swingline Lenders’ Swingline Commitments on the Restatement Date is $50,000,000.</w:t>
      </w:r>
    </w:p>
    <w:p>
      <w:pPr>
        <w:spacing w:after="0" w:line="195"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Swingline Exposure</w:t>
      </w:r>
      <w:r>
        <w:rPr>
          <w:rFonts w:ascii="Times New Roman" w:cs="Times New Roman" w:eastAsia="Times New Roman" w:hAnsi="Times New Roman"/>
          <w:sz w:val="22"/>
          <w:szCs w:val="22"/>
          <w:color w:val="auto"/>
        </w:rPr>
        <w:t xml:space="preserve">” means, at any time, the aggregate principal amount of all Swingline Loans outstanding at such time. The Swingline Exposure of any Lender at any time shall be the sum of (a) its Applicable Percentage of the aggregate principal amount of all Swingline Loans outstanding at such time (excluding, in the case of any Lender that is a Swingline Lender, Swingline Loans made by it that are outstanding at such time to the extent that the other Lenders shall not have funded their participations in such Swingline Loans), adjusted to give effect to any reallocation under Section </w:t>
      </w:r>
      <w:r>
        <w:rPr>
          <w:rFonts w:ascii="Times New Roman" w:cs="Times New Roman" w:eastAsia="Times New Roman" w:hAnsi="Times New Roman"/>
          <w:sz w:val="22"/>
          <w:szCs w:val="22"/>
          <w:b w:val="1"/>
          <w:bCs w:val="1"/>
          <w:color w:val="auto"/>
        </w:rPr>
        <w:t>2.18</w:t>
      </w:r>
      <w:r>
        <w:rPr>
          <w:rFonts w:ascii="Times New Roman" w:cs="Times New Roman" w:eastAsia="Times New Roman" w:hAnsi="Times New Roman"/>
          <w:sz w:val="22"/>
          <w:szCs w:val="22"/>
          <w:color w:val="auto"/>
        </w:rPr>
        <w:t xml:space="preserve"> of the Swingline Exposure of Defaulting Lenders in effect at such time, and (b) in the case of any Lender that is a Swingline Lender, the aggregate principal amount of all Swingline Loans made by such Lender outstanding at such time to the extent that the other Lenders shall not have funded their participations in such Swingline Loans.</w:t>
      </w:r>
    </w:p>
    <w:p>
      <w:pPr>
        <w:spacing w:after="0" w:line="18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Swingline Lender</w:t>
      </w:r>
      <w:r>
        <w:rPr>
          <w:rFonts w:ascii="Times New Roman" w:cs="Times New Roman" w:eastAsia="Times New Roman" w:hAnsi="Times New Roman"/>
          <w:sz w:val="22"/>
          <w:szCs w:val="22"/>
          <w:color w:val="auto"/>
        </w:rPr>
        <w:t>” means JPMCB in its capacity as a lender of Swingline Loans pursuant to Section 2.04, and any other Lender that shall have agreed to serve in such capacity pursuant to a Swingline Agreement. Each Swingline Lender may, in its discretion, arrange for one or more Swingline Loans to be made available by Affiliates or branches of such Swingline Lender, in which case the term “Swingline Lender” shall include any such Affiliate or branch with respect to Swingline Loans made available by such Affiliate or branch.</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Swingline Loan</w:t>
      </w:r>
      <w:r>
        <w:rPr>
          <w:rFonts w:ascii="Times New Roman" w:cs="Times New Roman" w:eastAsia="Times New Roman" w:hAnsi="Times New Roman"/>
          <w:sz w:val="22"/>
          <w:szCs w:val="22"/>
          <w:color w:val="auto"/>
        </w:rPr>
        <w:t>” means a Loan made by a Swingline Lender pursuant to Section 2.04.</w:t>
      </w:r>
    </w:p>
    <w:p>
      <w:pPr>
        <w:spacing w:after="0" w:line="220" w:lineRule="exact"/>
        <w:rPr>
          <w:sz w:val="20"/>
          <w:szCs w:val="20"/>
          <w:color w:val="auto"/>
        </w:rPr>
      </w:pPr>
    </w:p>
    <w:p>
      <w:pPr>
        <w:jc w:val="both"/>
        <w:ind w:firstLine="1296"/>
        <w:spacing w:after="0" w:line="28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Syndication Agent</w:t>
      </w:r>
      <w:r>
        <w:rPr>
          <w:rFonts w:ascii="Times New Roman" w:cs="Times New Roman" w:eastAsia="Times New Roman" w:hAnsi="Times New Roman"/>
          <w:sz w:val="21"/>
          <w:szCs w:val="21"/>
          <w:color w:val="auto"/>
        </w:rPr>
        <w:t>” means each of Bank of America, N.A., BNP Paribas Securities Corp., Citibank, N.A., Credit Agricole Corporate and Investment Bank, Deutsche Bank Securities Inc., Fifth Third Bank, National Association, Goldman Sachs Bank USA, MUFG Bank, Ltd. and PNC Bank, National Association, in its capacity as syndication agent hereunder.</w:t>
      </w:r>
    </w:p>
    <w:p>
      <w:pPr>
        <w:spacing w:after="0" w:line="151"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means any and all present or future taxes, levies, imposts, duties, deductions, charges or withholdings imposed by any Governmental Authority, including any interest, additions to tax or penalties applicable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69" w:name="page270"/>
    <w:bookmarkEnd w:id="269"/>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Temporary Cash Investments</w:t>
      </w:r>
      <w:r>
        <w:rPr>
          <w:rFonts w:ascii="Times New Roman" w:cs="Times New Roman" w:eastAsia="Times New Roman" w:hAnsi="Times New Roman"/>
          <w:sz w:val="22"/>
          <w:szCs w:val="22"/>
          <w:color w:val="auto"/>
        </w:rPr>
        <w:t>” means any of the following:</w:t>
      </w:r>
    </w:p>
    <w:p>
      <w:pPr>
        <w:spacing w:after="0" w:line="220" w:lineRule="exact"/>
        <w:rPr>
          <w:sz w:val="20"/>
          <w:szCs w:val="20"/>
          <w:color w:val="auto"/>
        </w:rPr>
      </w:pPr>
    </w:p>
    <w:p>
      <w:pPr>
        <w:jc w:val="both"/>
        <w:ind w:left="660" w:firstLine="721"/>
        <w:spacing w:after="0" w:line="256" w:lineRule="auto"/>
        <w:tabs>
          <w:tab w:leader="none" w:pos="1679"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 obligations of, or obligations the principal of and interest on which are unconditionally guaranteed by, the United States of America, the United Kingdom or a member state of the European Union (or by any agency thereof to the extent such obligations are backed by the full faith and credit of such sovereign), in each case maturing within one year from the date of acquisition thereof;</w:t>
      </w:r>
    </w:p>
    <w:p>
      <w:pPr>
        <w:spacing w:after="0" w:line="176" w:lineRule="exact"/>
        <w:rPr>
          <w:rFonts w:ascii="Times New Roman" w:cs="Times New Roman" w:eastAsia="Times New Roman" w:hAnsi="Times New Roman"/>
          <w:sz w:val="22"/>
          <w:szCs w:val="22"/>
          <w:color w:val="auto"/>
        </w:rPr>
      </w:pPr>
    </w:p>
    <w:p>
      <w:pPr>
        <w:jc w:val="both"/>
        <w:ind w:left="660" w:firstLine="721"/>
        <w:spacing w:after="0" w:line="257" w:lineRule="auto"/>
        <w:tabs>
          <w:tab w:leader="none" w:pos="1691"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commercial paper maturing within 270 days from the date of acquisition thereof, and having, at such date of acquisition, not less than two of the following ratings: A2 or higher from Standard &amp; Poor’s, P2 or higher from Moody’s and F2 or higher from Fitch;</w:t>
      </w:r>
    </w:p>
    <w:p>
      <w:pPr>
        <w:spacing w:after="0" w:line="186" w:lineRule="exact"/>
        <w:rPr>
          <w:rFonts w:ascii="Times New Roman" w:cs="Times New Roman" w:eastAsia="Times New Roman" w:hAnsi="Times New Roman"/>
          <w:sz w:val="22"/>
          <w:szCs w:val="22"/>
          <w:color w:val="auto"/>
        </w:rPr>
      </w:pPr>
    </w:p>
    <w:p>
      <w:pPr>
        <w:jc w:val="both"/>
        <w:ind w:left="660" w:firstLine="721"/>
        <w:spacing w:after="0" w:line="248" w:lineRule="auto"/>
        <w:tabs>
          <w:tab w:leader="none" w:pos="1679"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certificates of deposit, banker’s acceptances and time deposits maturing within 180 days from the date of acquisition thereof and issued or guaranteed by or placed with, and money market deposit accounts issued or offered by any commercial bank organized under the laws of the United States of America or any state thereof, the United Kingdom or a member state of the European Union which has (i) not less than two of the following short-term deposit ratings: A1 from Standard &amp; Poor’s, P1 from Moody’s and F1 from Fitch, and (ii) a combined capital and surplus and undivided profits of not less than $500,000,000;</w:t>
      </w:r>
    </w:p>
    <w:p>
      <w:pPr>
        <w:spacing w:after="0" w:line="200" w:lineRule="exact"/>
        <w:rPr>
          <w:rFonts w:ascii="Times New Roman" w:cs="Times New Roman" w:eastAsia="Times New Roman" w:hAnsi="Times New Roman"/>
          <w:sz w:val="22"/>
          <w:szCs w:val="22"/>
          <w:color w:val="auto"/>
        </w:rPr>
      </w:pPr>
    </w:p>
    <w:p>
      <w:pPr>
        <w:ind w:left="660" w:right="20" w:firstLine="721"/>
        <w:spacing w:after="0" w:line="271" w:lineRule="auto"/>
        <w:tabs>
          <w:tab w:leader="none" w:pos="1705"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fully collateralized repurchase agreements with a term of not more than 30 days for securities described in clause </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22"/>
          <w:szCs w:val="22"/>
          <w:color w:val="auto"/>
        </w:rPr>
        <w:t xml:space="preserve"> above and entered into with a financial institution described in clause </w:t>
      </w: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22"/>
          <w:szCs w:val="22"/>
          <w:color w:val="auto"/>
        </w:rPr>
        <w:t xml:space="preserve"> above;</w:t>
      </w:r>
    </w:p>
    <w:p>
      <w:pPr>
        <w:spacing w:after="0" w:line="157" w:lineRule="exact"/>
        <w:rPr>
          <w:rFonts w:ascii="Times New Roman" w:cs="Times New Roman" w:eastAsia="Times New Roman" w:hAnsi="Times New Roman"/>
          <w:sz w:val="22"/>
          <w:szCs w:val="22"/>
          <w:color w:val="auto"/>
        </w:rPr>
      </w:pPr>
    </w:p>
    <w:p>
      <w:pPr>
        <w:jc w:val="both"/>
        <w:ind w:left="660" w:firstLine="721"/>
        <w:spacing w:after="0" w:line="257" w:lineRule="auto"/>
        <w:tabs>
          <w:tab w:leader="none" w:pos="1719"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money market funds that (i) comply with the criteria set forth in SEC Rule 2a-7 under the Investment Company Act of 1940, (ii) have not less than two of the following ratings: AAA from Standard &amp; Poor’s, Aaa from Moody’s and AAA from Fitch and (iii) have portfolio assets of at least $3,000,000,000;</w:t>
      </w:r>
    </w:p>
    <w:p>
      <w:pPr>
        <w:spacing w:after="0" w:line="182" w:lineRule="exact"/>
        <w:rPr>
          <w:rFonts w:ascii="Times New Roman" w:cs="Times New Roman" w:eastAsia="Times New Roman" w:hAnsi="Times New Roman"/>
          <w:sz w:val="22"/>
          <w:szCs w:val="22"/>
          <w:color w:val="auto"/>
        </w:rPr>
      </w:pPr>
    </w:p>
    <w:p>
      <w:pPr>
        <w:jc w:val="both"/>
        <w:ind w:left="660" w:firstLine="721"/>
        <w:spacing w:after="0" w:line="259" w:lineRule="auto"/>
        <w:tabs>
          <w:tab w:leader="none" w:pos="1709"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of the type and maturity described in clauses </w:t>
      </w: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22"/>
          <w:szCs w:val="22"/>
          <w:color w:val="auto"/>
        </w:rPr>
        <w:t xml:space="preserve"> of foreign obligors, which investments or obligors have ratings described in such clauses or equivalent ratings from comparable foreign rating agencies (and with respect to clause </w:t>
      </w: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22"/>
          <w:szCs w:val="22"/>
          <w:color w:val="auto"/>
        </w:rPr>
        <w:t>, are not required to comply with the Rule 2a-7 criteria);</w:t>
      </w:r>
    </w:p>
    <w:p>
      <w:pPr>
        <w:spacing w:after="0" w:line="170" w:lineRule="exact"/>
        <w:rPr>
          <w:rFonts w:ascii="Times New Roman" w:cs="Times New Roman" w:eastAsia="Times New Roman" w:hAnsi="Times New Roman"/>
          <w:sz w:val="22"/>
          <w:szCs w:val="22"/>
          <w:color w:val="auto"/>
        </w:rPr>
      </w:pPr>
    </w:p>
    <w:p>
      <w:pPr>
        <w:jc w:val="both"/>
        <w:ind w:left="660" w:firstLine="721"/>
        <w:spacing w:after="0" w:line="253" w:lineRule="auto"/>
        <w:tabs>
          <w:tab w:leader="none" w:pos="1718"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of the type and maturity described in clause (c) in any obligor organized under the laws of a jurisdiction other than the United States that (i) is a branch or subsidiary of a Lender or the ultimate parent company of a Lender under any of the Credit Facilities Agreements (but only if such Lender meets the ratings and capital, surplus and undivided profits requirements of such clause </w:t>
      </w: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22"/>
          <w:szCs w:val="22"/>
          <w:color w:val="auto"/>
        </w:rPr>
        <w:t>) or (ii) carries a rating at least equivalent to the rating of the sovereign nation in which it is located;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70" w:name="page271"/>
    <w:bookmarkEnd w:id="270"/>
    <w:p>
      <w:pPr>
        <w:jc w:val="both"/>
        <w:ind w:left="660" w:firstLine="721"/>
        <w:spacing w:after="0" w:line="263" w:lineRule="auto"/>
        <w:tabs>
          <w:tab w:leader="none" w:pos="1705" w:val="left"/>
        </w:tabs>
        <w:numPr>
          <w:ilvl w:val="0"/>
          <w:numId w:val="2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case of any Foreign Subsidiary, (i) marketable direct obligations issued or unconditionally guaranteed by the sovereign nation in which such Foreign Subsidiary is organized and is conducting business or issued by an agency of such sovereign nation and backed by the full faith and credit of such sovereign nation, in each case maturing within one year from the date of acquisition, so long as the indebtedness of such sovereign nation has not less than two of the following ratings: A or higher from Standard &amp; Poor’s, A2 or higher from Moody’s and A or higher from Fitch or carries an equivalent rating from a comparable foreign rating agency, and (ii) other investments of the type and maturity described in clause </w:t>
      </w:r>
      <w:r>
        <w:rPr>
          <w:rFonts w:ascii="Times New Roman" w:cs="Times New Roman" w:eastAsia="Times New Roman" w:hAnsi="Times New Roman"/>
          <w:sz w:val="21"/>
          <w:szCs w:val="21"/>
          <w:b w:val="1"/>
          <w:bCs w:val="1"/>
          <w:color w:val="auto"/>
        </w:rPr>
        <w:t>(c)</w:t>
      </w:r>
      <w:r>
        <w:rPr>
          <w:rFonts w:ascii="Times New Roman" w:cs="Times New Roman" w:eastAsia="Times New Roman" w:hAnsi="Times New Roman"/>
          <w:sz w:val="21"/>
          <w:szCs w:val="21"/>
          <w:color w:val="auto"/>
        </w:rPr>
        <w:t xml:space="preserve"> in obligors organized under the laws of a jurisdiction other than the United States in any country in which such Foreign Subsidiary is located,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investments permitted under this subclause (ii) shall be made in amounts and jurisdictions consistent with the Borrower’s policies governing short-term investments.</w:t>
      </w:r>
    </w:p>
    <w:p>
      <w:pPr>
        <w:spacing w:after="0" w:line="17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Tenth Supplemental Indenture</w:t>
      </w:r>
      <w:r>
        <w:rPr>
          <w:rFonts w:ascii="Times New Roman" w:cs="Times New Roman" w:eastAsia="Times New Roman" w:hAnsi="Times New Roman"/>
          <w:sz w:val="22"/>
          <w:szCs w:val="22"/>
          <w:color w:val="auto"/>
        </w:rPr>
        <w:t>” means, collectively, the Indenture dated as of August 13, 2010, among the Borrower, the subsidiary guarantors thereunder and Wells Fargo Bank, N.A., as trustee, and the Tenth Supplemental Indenture dated as of May 18, 2021, among the Borrower, the subsidiary guarantors thereunder and Wells Fargo Bank, N.A., as trustee.</w:t>
      </w:r>
    </w:p>
    <w:p>
      <w:pPr>
        <w:spacing w:after="0" w:line="173"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Benchmark</w:t>
      </w:r>
      <w:r>
        <w:rPr>
          <w:rFonts w:ascii="Times New Roman" w:cs="Times New Roman" w:eastAsia="Times New Roman" w:hAnsi="Times New Roman"/>
          <w:sz w:val="22"/>
          <w:szCs w:val="22"/>
          <w:color w:val="auto"/>
        </w:rPr>
        <w:t>”, when used in reference to any Loan or Borrowing, refers to whether such Loan, or the Loans comprising such Borrowing, are bearing interest at a rate determined by reference to the Adjusted Term SOFR.</w:t>
      </w:r>
    </w:p>
    <w:p>
      <w:pPr>
        <w:spacing w:after="0" w:line="171"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SOFR</w:t>
      </w:r>
      <w:r>
        <w:rPr>
          <w:rFonts w:ascii="Times New Roman" w:cs="Times New Roman" w:eastAsia="Times New Roman" w:hAnsi="Times New Roman"/>
          <w:sz w:val="21"/>
          <w:szCs w:val="21"/>
          <w:color w:val="auto"/>
        </w:rPr>
        <w:t>” means, with respect to any Term Benchmark Borrowing (other than a Term Benchmark Borrowing with a one week Interest Period)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spacing w:after="0" w:line="163"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Determination Day</w:t>
      </w:r>
      <w:r>
        <w:rPr>
          <w:rFonts w:ascii="Times New Roman" w:cs="Times New Roman" w:eastAsia="Times New Roman" w:hAnsi="Times New Roman"/>
          <w:sz w:val="22"/>
          <w:szCs w:val="22"/>
          <w:color w:val="auto"/>
        </w:rPr>
        <w:t>” has the meaning assigned to such term in the definition of “Term SOFR Reference Rate”.</w:t>
      </w:r>
    </w:p>
    <w:p>
      <w:pPr>
        <w:spacing w:after="0" w:line="144"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Reference Rate</w:t>
      </w:r>
      <w:r>
        <w:rPr>
          <w:rFonts w:ascii="Times New Roman" w:cs="Times New Roman" w:eastAsia="Times New Roman" w:hAnsi="Times New Roman"/>
          <w:sz w:val="22"/>
          <w:szCs w:val="22"/>
          <w:color w:val="auto"/>
        </w:rPr>
        <w:t>” means, for any day and time (such day, the “</w:t>
      </w:r>
      <w:r>
        <w:rPr>
          <w:rFonts w:ascii="Times New Roman" w:cs="Times New Roman" w:eastAsia="Times New Roman" w:hAnsi="Times New Roman"/>
          <w:sz w:val="22"/>
          <w:szCs w:val="22"/>
          <w:u w:val="single" w:color="auto"/>
          <w:color w:val="auto"/>
        </w:rPr>
        <w:t>Term SOFR Determination Day</w:t>
      </w:r>
      <w:r>
        <w:rPr>
          <w:rFonts w:ascii="Times New Roman" w:cs="Times New Roman" w:eastAsia="Times New Roman" w:hAnsi="Times New Roman"/>
          <w:sz w:val="22"/>
          <w:szCs w:val="22"/>
          <w:color w:val="auto"/>
        </w:rPr>
        <w:t>”), with respect to any Term Benchmark Borrowing (other than a Term Benchmark Borrowing with a one week Interest Period) and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such tenor has not been published by the CME Term SOFR Administrator and a Benchmark Replacement Date with respect to the Term SOFR has not occurred, then, so long as such day is otherwise a U.S. Government Securities Business Day, the Term SOFR Reference Rate for such Term SOFR Determination Day will be the Term SOFR Reference Rate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71" w:name="page272"/>
    <w:bookmarkEnd w:id="271"/>
    <w:p>
      <w:pPr>
        <w:jc w:val="both"/>
        <w:spacing w:after="0" w:line="257" w:lineRule="auto"/>
        <w:rPr>
          <w:sz w:val="20"/>
          <w:szCs w:val="20"/>
          <w:color w:val="auto"/>
        </w:rPr>
      </w:pPr>
      <w:r>
        <w:rPr>
          <w:rFonts w:ascii="Times New Roman" w:cs="Times New Roman" w:eastAsia="Times New Roman" w:hAnsi="Times New Roman"/>
          <w:sz w:val="22"/>
          <w:szCs w:val="22"/>
          <w:color w:val="auto"/>
        </w:rPr>
        <w:t>published in respect of the first preceding U.S. Government Securities Business Day for which such Term SOFR Reference Rate was published by the CME Term SOFR Administrator, so long as such first preceding U.S. Government Securities Business Day is not more than five U.S. Government Securities Business Days prior to such Term SOFR Determination Day.</w:t>
      </w:r>
    </w:p>
    <w:p>
      <w:pPr>
        <w:spacing w:after="0" w:line="18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TireHub JV”</w:t>
      </w:r>
      <w:r>
        <w:rPr>
          <w:rFonts w:ascii="Times New Roman" w:cs="Times New Roman" w:eastAsia="Times New Roman" w:hAnsi="Times New Roman"/>
          <w:sz w:val="22"/>
          <w:szCs w:val="22"/>
          <w:color w:val="auto"/>
        </w:rPr>
        <w:t xml:space="preserve"> means TireHub, LLC, a Delaware limited liability company and joint venture entity established by the Borrower and Bridgestone Americas Tire Operations, LLC (or an Affiliate thereof).</w:t>
      </w:r>
    </w:p>
    <w:p>
      <w:pPr>
        <w:spacing w:after="0" w:line="15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TireHub JV Governance Documents</w:t>
      </w:r>
      <w:r>
        <w:rPr>
          <w:rFonts w:ascii="Times New Roman" w:cs="Times New Roman" w:eastAsia="Times New Roman" w:hAnsi="Times New Roman"/>
          <w:sz w:val="22"/>
          <w:szCs w:val="22"/>
          <w:color w:val="auto"/>
        </w:rPr>
        <w:t>” means (a) the Certificate of Formation of TireHub JV filed with the Secretary of State of the State of Delaware on October 26, 2017, (b) the Amended and Restated Limited Liability Company Agreement of TireHub JV dated as of July 1, 2018, (c) the Transaction Agreement dated as of April 16, 2018, among the Borrower, TireHub JV and the other parties party thereto, and (d) all other similar documents, instruments or certificates of or relating to the organization, governance or management of TireHub JV.</w:t>
      </w:r>
    </w:p>
    <w:p>
      <w:pPr>
        <w:spacing w:after="0" w:line="17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TireHub JV Period</w:t>
      </w:r>
      <w:r>
        <w:rPr>
          <w:rFonts w:ascii="Times New Roman" w:cs="Times New Roman" w:eastAsia="Times New Roman" w:hAnsi="Times New Roman"/>
          <w:sz w:val="22"/>
          <w:szCs w:val="22"/>
          <w:color w:val="auto"/>
        </w:rPr>
        <w:t>” means the period commencing on the date of consummation of the TireHub JV Transaction (July 1, 2018) and ending on the date on which any TireHub JV Governance Document as in effect on the Restatement Date is amended or otherwise modified in a manner that would, in the Administrative Agent’s or the Majority Lenders’ reasonable discretion, affect the Control of TireHub JV in a manner materially adverse to the rights or interests of the Secured Parties under the Credit Documents.</w:t>
      </w:r>
    </w:p>
    <w:p>
      <w:pPr>
        <w:spacing w:after="0" w:line="17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TireHub JV Transaction</w:t>
      </w:r>
      <w:r>
        <w:rPr>
          <w:rFonts w:ascii="Times New Roman" w:cs="Times New Roman" w:eastAsia="Times New Roman" w:hAnsi="Times New Roman"/>
          <w:sz w:val="22"/>
          <w:szCs w:val="22"/>
          <w:color w:val="auto"/>
        </w:rPr>
        <w:t>” means the establishment of a joint venture between the Borrower and Bridgestone Americas Tire Operations, LLC (or an Affiliate thereof) in which the Borrower and Bridgestone Americas Tire Operations, LLC (or such Affiliate) will each own 50% of the issued and outstanding membership interests of TireHub JV.</w:t>
      </w:r>
    </w:p>
    <w:p>
      <w:pPr>
        <w:spacing w:after="0" w:line="17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Assets</w:t>
      </w:r>
      <w:r>
        <w:rPr>
          <w:rFonts w:ascii="Times New Roman" w:cs="Times New Roman" w:eastAsia="Times New Roman" w:hAnsi="Times New Roman"/>
          <w:sz w:val="22"/>
          <w:szCs w:val="22"/>
          <w:color w:val="auto"/>
        </w:rPr>
        <w:t>” of any Subsidiary means (a) in the case of any Subsidiary organized in a Specified Jurisdiction, (i) the total assets of such Subsidiary, excluding Intercompany Items, plus (ii) if the Net Intercompany Items of such Subsidiary shall be positive, the amount of such Net Intercompany Items; and (b) in the case of any other Subsidiary, the total assets of such Subsidiary, excluding Intercompany Items.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Commitment</w:t>
      </w:r>
      <w:r>
        <w:rPr>
          <w:rFonts w:ascii="Times New Roman" w:cs="Times New Roman" w:eastAsia="Times New Roman" w:hAnsi="Times New Roman"/>
          <w:sz w:val="22"/>
          <w:szCs w:val="22"/>
          <w:color w:val="auto"/>
        </w:rPr>
        <w:t>” means, at any time, the aggregate amount of all the Commitments at such time.</w:t>
      </w:r>
    </w:p>
    <w:p>
      <w:pPr>
        <w:spacing w:after="0" w:line="220"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Trade Acceptance</w:t>
      </w:r>
      <w:r>
        <w:rPr>
          <w:rFonts w:ascii="Times New Roman" w:cs="Times New Roman" w:eastAsia="Times New Roman" w:hAnsi="Times New Roman"/>
          <w:sz w:val="22"/>
          <w:szCs w:val="22"/>
          <w:color w:val="auto"/>
        </w:rPr>
        <w:t>” means any bankers acceptance provided to trade creditors in the ordinary course of business in connection with the acquisition of goods or services in order to assure payment of any Trade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72" w:name="page273"/>
    <w:bookmarkEnd w:id="272"/>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Trade Payables</w:t>
      </w:r>
      <w:r>
        <w:rPr>
          <w:rFonts w:ascii="Times New Roman" w:cs="Times New Roman" w:eastAsia="Times New Roman" w:hAnsi="Times New Roman"/>
          <w:sz w:val="22"/>
          <w:szCs w:val="22"/>
          <w:color w:val="auto"/>
        </w:rPr>
        <w:t>” means, with respect to any Person, any accounts payable or any indebtedness or monetary obligation to trade creditors created, assumed or Guaranteed by such Person arising in the ordinary course of business in connection with the acquisition of goods or services.</w:t>
      </w:r>
    </w:p>
    <w:p>
      <w:pPr>
        <w:spacing w:after="0" w:line="18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Transactions</w:t>
      </w:r>
      <w:r>
        <w:rPr>
          <w:rFonts w:ascii="Times New Roman" w:cs="Times New Roman" w:eastAsia="Times New Roman" w:hAnsi="Times New Roman"/>
          <w:sz w:val="22"/>
          <w:szCs w:val="22"/>
          <w:color w:val="auto"/>
        </w:rPr>
        <w:t>” means the execution, delivery and performance by the Borrower of this Agreement and by the Borrower, the Subsidiary Guarantors and the Grantors, as applicable, of the Reaffirmation Agreement and the other Credit Documents, the borrowing of the Loans, the obtaining and use of the Letters of Credit, the creation and the continuation of the Liens and Guarantees provided for in the Security Documents and the other transactions contemplated hereby.</w:t>
      </w:r>
    </w:p>
    <w:p>
      <w:pPr>
        <w:spacing w:after="0" w:line="179"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Type</w:t>
      </w:r>
      <w:r>
        <w:rPr>
          <w:rFonts w:ascii="Times New Roman" w:cs="Times New Roman" w:eastAsia="Times New Roman" w:hAnsi="Times New Roman"/>
          <w:sz w:val="22"/>
          <w:szCs w:val="22"/>
          <w:color w:val="auto"/>
        </w:rPr>
        <w:t>”, when used in reference to any Loan or Borrowing, refers to whether the rate of interest on such Loan, or on the Loans comprising such Borrowing, is determined by reference to the Adjusted Term SOFR, the Adjusted Daily Simple SOFR or the Alternate Base Rate.</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UCC</w:t>
      </w:r>
      <w:r>
        <w:rPr>
          <w:rFonts w:ascii="Times New Roman" w:cs="Times New Roman" w:eastAsia="Times New Roman" w:hAnsi="Times New Roman"/>
          <w:sz w:val="21"/>
          <w:szCs w:val="21"/>
          <w:color w:val="auto"/>
        </w:rPr>
        <w:t>” means Article 9 of the Uniform Commercial Code as from time to time in effect in the State of New York.</w:t>
      </w:r>
    </w:p>
    <w:p>
      <w:pPr>
        <w:spacing w:after="0" w:line="2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Financial Institution</w:t>
      </w:r>
      <w:r>
        <w:rPr>
          <w:rFonts w:ascii="Times New Roman" w:cs="Times New Roman" w:eastAsia="Times New Roman" w:hAnsi="Times New Roman"/>
          <w:sz w:val="22"/>
          <w:szCs w:val="22"/>
          <w:color w:val="auto"/>
        </w:rPr>
        <w:t>” has the meaning set forth in Section 9.21.</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Resolution Authority</w:t>
      </w:r>
      <w:r>
        <w:rPr>
          <w:rFonts w:ascii="Times New Roman" w:cs="Times New Roman" w:eastAsia="Times New Roman" w:hAnsi="Times New Roman"/>
          <w:sz w:val="22"/>
          <w:szCs w:val="22"/>
          <w:color w:val="auto"/>
        </w:rPr>
        <w:t>” has the meaning set forth in Section 9.21.</w:t>
      </w:r>
    </w:p>
    <w:p>
      <w:pPr>
        <w:spacing w:after="0" w:line="220"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Unadjusted Benchmark Replacement</w:t>
      </w:r>
      <w:r>
        <w:rPr>
          <w:rFonts w:ascii="Times New Roman" w:cs="Times New Roman" w:eastAsia="Times New Roman" w:hAnsi="Times New Roman"/>
          <w:sz w:val="22"/>
          <w:szCs w:val="22"/>
          <w:color w:val="auto"/>
        </w:rPr>
        <w:t>” means the applicable Benchmark Replacement excluding the related Benchmark Replacement Adjustment.</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Unrestricted Subsidiary</w:t>
      </w:r>
      <w:r>
        <w:rPr>
          <w:rFonts w:ascii="Times New Roman" w:cs="Times New Roman" w:eastAsia="Times New Roman" w:hAnsi="Times New Roman"/>
          <w:sz w:val="22"/>
          <w:szCs w:val="22"/>
          <w:color w:val="auto"/>
        </w:rPr>
        <w:t>” means:</w:t>
      </w:r>
    </w:p>
    <w:p>
      <w:pPr>
        <w:spacing w:after="0" w:line="220" w:lineRule="exact"/>
        <w:rPr>
          <w:sz w:val="20"/>
          <w:szCs w:val="20"/>
          <w:color w:val="auto"/>
        </w:rPr>
      </w:pPr>
    </w:p>
    <w:p>
      <w:pPr>
        <w:ind w:left="660" w:firstLine="721"/>
        <w:spacing w:after="0" w:line="271" w:lineRule="auto"/>
        <w:tabs>
          <w:tab w:leader="none" w:pos="1733"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Subsidiary of the Borrower that at the time of determination shall be designated an Unrestricted Subsidiary by the Board of Directors in the manner provided below and</w:t>
      </w:r>
    </w:p>
    <w:p>
      <w:pPr>
        <w:spacing w:after="0" w:line="157" w:lineRule="exact"/>
        <w:rPr>
          <w:rFonts w:ascii="Times New Roman" w:cs="Times New Roman" w:eastAsia="Times New Roman" w:hAnsi="Times New Roman"/>
          <w:sz w:val="22"/>
          <w:szCs w:val="22"/>
          <w:color w:val="auto"/>
        </w:rPr>
      </w:pPr>
    </w:p>
    <w:p>
      <w:pPr>
        <w:ind w:left="1680" w:hanging="299"/>
        <w:spacing w:after="0"/>
        <w:tabs>
          <w:tab w:leader="none" w:pos="1680"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Subsidiary of an Unrestricted Subsidiary.</w:t>
      </w:r>
    </w:p>
    <w:p>
      <w:pPr>
        <w:spacing w:after="0" w:line="23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The Board of Directors may designate any Subsidiary of the Borrower (including any newly acquired or newly formed Subsidiary of the Borrower) to be an Unrestricted Subsidiary unless such Subsidiary or any of its Subsidiaries owns any Capital Stock or Indebtedness of, or owns or holds any Lien on any property of, the Borrower or any other Subsidiary of the Borrower that is not a Subsidiary of the Subsidiary to be so designated;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either:</w:t>
      </w:r>
    </w:p>
    <w:p>
      <w:pPr>
        <w:spacing w:after="0" w:line="179" w:lineRule="exact"/>
        <w:rPr>
          <w:sz w:val="20"/>
          <w:szCs w:val="20"/>
          <w:color w:val="auto"/>
        </w:rPr>
      </w:pPr>
    </w:p>
    <w:p>
      <w:pPr>
        <w:ind w:left="2460" w:hanging="346"/>
        <w:spacing w:after="0"/>
        <w:tabs>
          <w:tab w:leader="none" w:pos="2460"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Subsidiary to be so designated has total Consolidated assets of $1,000 or less; or</w:t>
      </w:r>
    </w:p>
    <w:p>
      <w:pPr>
        <w:spacing w:after="0" w:line="233" w:lineRule="exact"/>
        <w:rPr>
          <w:rFonts w:ascii="Times New Roman" w:cs="Times New Roman" w:eastAsia="Times New Roman" w:hAnsi="Times New Roman"/>
          <w:sz w:val="22"/>
          <w:szCs w:val="22"/>
          <w:color w:val="auto"/>
        </w:rPr>
      </w:pPr>
    </w:p>
    <w:p>
      <w:pPr>
        <w:ind w:left="1700" w:right="20" w:firstLine="414"/>
        <w:spacing w:after="0" w:line="271" w:lineRule="auto"/>
        <w:tabs>
          <w:tab w:leader="none" w:pos="2447"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Subsidiary has total Consolidated assets greater than $1,000, then such designation would be permitted under Section 6.02.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73" w:name="page274"/>
    <w:bookmarkEnd w:id="273"/>
    <w:p>
      <w:pPr>
        <w:spacing w:after="0" w:line="271" w:lineRule="auto"/>
        <w:rPr>
          <w:sz w:val="20"/>
          <w:szCs w:val="20"/>
          <w:color w:val="auto"/>
        </w:rPr>
      </w:pPr>
      <w:r>
        <w:rPr>
          <w:rFonts w:ascii="Times New Roman" w:cs="Times New Roman" w:eastAsia="Times New Roman" w:hAnsi="Times New Roman"/>
          <w:sz w:val="22"/>
          <w:szCs w:val="22"/>
          <w:color w:val="auto"/>
        </w:rPr>
        <w:t xml:space="preserve">The Board of Directors may designate any Unrestricted Subsidiary to be a Restricted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immediately after giving effect to such designation:</w:t>
      </w:r>
    </w:p>
    <w:p>
      <w:pPr>
        <w:spacing w:after="0" w:line="158" w:lineRule="exact"/>
        <w:rPr>
          <w:sz w:val="20"/>
          <w:szCs w:val="20"/>
          <w:color w:val="auto"/>
        </w:rPr>
      </w:pPr>
    </w:p>
    <w:p>
      <w:pPr>
        <w:jc w:val="both"/>
        <w:ind w:firstLine="1304"/>
        <w:spacing w:after="0" w:line="263" w:lineRule="auto"/>
        <w:tabs>
          <w:tab w:leader="none" w:pos="1620"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 the Borrower could Incur $1.00 of additional Indebtedness under Section 6.01(a) or (2) the Consolidated Coverage Ratio for the Borrower and its Restricted Subsidiaries would be greater after giving effect to such designation than before such designation and</w:t>
      </w:r>
    </w:p>
    <w:p>
      <w:pPr>
        <w:spacing w:after="0" w:line="167" w:lineRule="exact"/>
        <w:rPr>
          <w:rFonts w:ascii="Times New Roman" w:cs="Times New Roman" w:eastAsia="Times New Roman" w:hAnsi="Times New Roman"/>
          <w:sz w:val="22"/>
          <w:szCs w:val="22"/>
          <w:color w:val="auto"/>
        </w:rPr>
      </w:pPr>
    </w:p>
    <w:p>
      <w:pPr>
        <w:ind w:left="1600" w:hanging="296"/>
        <w:spacing w:after="0"/>
        <w:tabs>
          <w:tab w:leader="none" w:pos="1600"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shall have occurred and be continuing.</w:t>
      </w: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Any such designation of a Subsidiary as a Restricted Subsidiary or Unrestricted Subsidiary by the Board of Directors shall be evidenced to the Administrative Agent by promptly furnishing to the Administrative Agent a copy of the resolution of the Board of Directors giving effect to such designation and a certificate of a Financial Officer certifying that such designation complied with the foregoing provisions.</w:t>
      </w:r>
    </w:p>
    <w:p>
      <w:pPr>
        <w:spacing w:after="0" w:line="176"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U.S. Bank Indebtedness</w:t>
      </w:r>
      <w:r>
        <w:rPr>
          <w:rFonts w:ascii="Times New Roman" w:cs="Times New Roman" w:eastAsia="Times New Roman" w:hAnsi="Times New Roman"/>
          <w:sz w:val="21"/>
          <w:szCs w:val="21"/>
          <w:color w:val="auto"/>
        </w:rPr>
        <w:t>” means any and all amounts payable under or in respect of the U.S. Credit Agreements and any Refinancing Indebtedness with respect thereto or with respect to such Refinancing Indebtedness, as amended from time to time, including principal, premium (if any), interest (including interest accruing on or after the filing of any petition in bankruptcy or for reorganization relating to the Borrower whether or not a claim for post-filing interest is allowed in such proceedings), fees, charges, expenses, reimbursement obligations and all other amounts payable thereunder or in respect thereof.</w:t>
      </w:r>
    </w:p>
    <w:p>
      <w:pPr>
        <w:spacing w:after="0" w:line="1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Credit Agreements</w:t>
      </w:r>
      <w:r>
        <w:rPr>
          <w:rFonts w:ascii="Times New Roman" w:cs="Times New Roman" w:eastAsia="Times New Roman" w:hAnsi="Times New Roman"/>
          <w:sz w:val="22"/>
          <w:szCs w:val="22"/>
          <w:color w:val="auto"/>
        </w:rPr>
        <w:t>” means:</w:t>
      </w:r>
    </w:p>
    <w:p>
      <w:pPr>
        <w:spacing w:after="0" w:line="220" w:lineRule="exact"/>
        <w:rPr>
          <w:sz w:val="20"/>
          <w:szCs w:val="20"/>
          <w:color w:val="auto"/>
        </w:rPr>
      </w:pPr>
    </w:p>
    <w:p>
      <w:pPr>
        <w:ind w:left="1560" w:hanging="256"/>
        <w:spacing w:after="0"/>
        <w:tabs>
          <w:tab w:leader="none" w:pos="1560"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First Lien Agreement, and</w:t>
      </w:r>
    </w:p>
    <w:p>
      <w:pPr>
        <w:spacing w:after="0" w:line="219" w:lineRule="exact"/>
        <w:rPr>
          <w:rFonts w:ascii="Times New Roman" w:cs="Times New Roman" w:eastAsia="Times New Roman" w:hAnsi="Times New Roman"/>
          <w:sz w:val="22"/>
          <w:szCs w:val="22"/>
          <w:color w:val="auto"/>
        </w:rPr>
      </w:pPr>
    </w:p>
    <w:p>
      <w:pPr>
        <w:jc w:val="both"/>
        <w:ind w:firstLine="1304"/>
        <w:spacing w:after="0" w:line="253" w:lineRule="auto"/>
        <w:tabs>
          <w:tab w:leader="none" w:pos="1654"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or not the agreement referred to in the immediately preceding clause (i) remains outstanding, if designated by the Borrower to be included in the definition of “U.S. Credit Agreements”, one or more (A) debt facilities providing for revolving credit loans, term loans or letters of credit (including bank guarantees or bankers’ acceptances) or (B) debt securities, indentures or other forms of capital markets debt financing (including convertible or exchangeable debt instruments), in each case of this clause (ii), with the same or different borrowers or issuers,</w:t>
      </w:r>
    </w:p>
    <w:p>
      <w:pPr>
        <w:spacing w:after="0" w:line="179"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in each case of clauses (i) and (ii), each as amended, restated, supplemented, waived, replaced (whether or not upon termination, and whether with the original lenders or otherwise), refinanced, restructured or otherwise modified from time to time.</w:t>
      </w:r>
    </w:p>
    <w:p>
      <w:pPr>
        <w:spacing w:after="0" w:line="16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Dollar Equivalent</w:t>
      </w:r>
      <w:r>
        <w:rPr>
          <w:rFonts w:ascii="Times New Roman" w:cs="Times New Roman" w:eastAsia="Times New Roman" w:hAnsi="Times New Roman"/>
          <w:sz w:val="22"/>
          <w:szCs w:val="22"/>
          <w:color w:val="auto"/>
        </w:rPr>
        <w:t>” means with respect to any monetary amount in a currency other than dollars, at any time for determination thereof, the amount of dollars obtained by converting such foreign currency involved in such computation into dollars at the spot rate for the purchase of dollars with the applicable foreign currency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74" w:name="page275"/>
    <w:bookmarkEnd w:id="274"/>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published in The Wall Street Journal in the “Exchange Rates” column under the heading “Currency Trading” on the date two Business Days prior to such determination.</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Government Securities Business Day</w:t>
      </w:r>
      <w:r>
        <w:rPr>
          <w:rFonts w:ascii="Times New Roman" w:cs="Times New Roman" w:eastAsia="Times New Roman" w:hAnsi="Times New Roman"/>
          <w:sz w:val="22"/>
          <w:szCs w:val="22"/>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Special Resolution Regime</w:t>
      </w:r>
      <w:r>
        <w:rPr>
          <w:rFonts w:ascii="Times New Roman" w:cs="Times New Roman" w:eastAsia="Times New Roman" w:hAnsi="Times New Roman"/>
          <w:sz w:val="22"/>
          <w:szCs w:val="22"/>
          <w:color w:val="auto"/>
        </w:rPr>
        <w:t>” has the meaning set forth in Section 9.22.</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USA PATRIOT Act</w:t>
      </w:r>
      <w:r>
        <w:rPr>
          <w:rFonts w:ascii="Times New Roman" w:cs="Times New Roman" w:eastAsia="Times New Roman" w:hAnsi="Times New Roman"/>
          <w:sz w:val="22"/>
          <w:szCs w:val="22"/>
          <w:color w:val="auto"/>
        </w:rPr>
        <w:t>” means the Uniting and Strengthening America by Providing Appropriate Tools Required to Intercept and Obstruct Terrorism Act of 2001 (Title III of Pub. L. 107-56 (signed into law October 26, 2001)), as amended from time to time.</w:t>
      </w:r>
    </w:p>
    <w:p>
      <w:pPr>
        <w:spacing w:after="0" w:line="16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Wholly Owned Subsidiary</w:t>
      </w:r>
      <w:r>
        <w:rPr>
          <w:rFonts w:ascii="Times New Roman" w:cs="Times New Roman" w:eastAsia="Times New Roman" w:hAnsi="Times New Roman"/>
          <w:sz w:val="22"/>
          <w:szCs w:val="22"/>
          <w:color w:val="auto"/>
        </w:rPr>
        <w:t>” of any Person shall mean a subsidiary of such Person of which securities (except for directors’ qualifying shares) or other ownership interests representing 100% of the Capital Stock are, at the time any determination is being made, owned, controlled or held by such Person or one or more wholly owned Subsidiaries of such Person or by such Person and one or more wholly owned Subsidiaries of such Person.</w:t>
      </w:r>
    </w:p>
    <w:p>
      <w:pPr>
        <w:spacing w:after="0" w:line="179"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Withdrawal Liability</w:t>
      </w:r>
      <w:r>
        <w:rPr>
          <w:rFonts w:ascii="Times New Roman" w:cs="Times New Roman" w:eastAsia="Times New Roman" w:hAnsi="Times New Roman"/>
          <w:sz w:val="22"/>
          <w:szCs w:val="22"/>
          <w:color w:val="auto"/>
        </w:rPr>
        <w:t>” means liability to a Multiemployer Plan as a result of a complete or partial withdrawal from such Multiemployer Plan, as such terms are defined in Part I of Subtitle E of Title IV of ERISA.</w:t>
      </w:r>
    </w:p>
    <w:p>
      <w:pPr>
        <w:spacing w:after="0" w:line="144"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Work in Process</w:t>
      </w:r>
      <w:r>
        <w:rPr>
          <w:rFonts w:ascii="Times New Roman" w:cs="Times New Roman" w:eastAsia="Times New Roman" w:hAnsi="Times New Roman"/>
          <w:sz w:val="22"/>
          <w:szCs w:val="22"/>
          <w:color w:val="auto"/>
        </w:rPr>
        <w:t>” means Inventory used or consumed in the manufacturing or processing of goods to be sold by the Borrower or another Grantor in the ordinary course of business consisting of parts and subassemblies in the process of becoming completed assembly components that are no longer included in Raw Materials but are not yet included in Finished Goods.</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Write-Down and Conversion Powers</w:t>
      </w:r>
      <w:r>
        <w:rPr>
          <w:rFonts w:ascii="Times New Roman" w:cs="Times New Roman" w:eastAsia="Times New Roman" w:hAnsi="Times New Roman"/>
          <w:sz w:val="22"/>
          <w:szCs w:val="22"/>
          <w:color w:val="auto"/>
        </w:rPr>
        <w:t>” has the meaning set forth in Section 9.21.</w:t>
      </w:r>
    </w:p>
    <w:p>
      <w:pPr>
        <w:spacing w:after="0" w:line="22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1.02. </w:t>
      </w:r>
      <w:r>
        <w:rPr>
          <w:rFonts w:ascii="Times New Roman" w:cs="Times New Roman" w:eastAsia="Times New Roman" w:hAnsi="Times New Roman"/>
          <w:sz w:val="22"/>
          <w:szCs w:val="22"/>
          <w:u w:val="single" w:color="auto"/>
          <w:color w:val="auto"/>
        </w:rPr>
        <w:t>Classification of Loans and Borrowings.</w:t>
      </w:r>
      <w:r>
        <w:rPr>
          <w:rFonts w:ascii="Times New Roman" w:cs="Times New Roman" w:eastAsia="Times New Roman" w:hAnsi="Times New Roman"/>
          <w:sz w:val="22"/>
          <w:szCs w:val="22"/>
          <w:color w:val="auto"/>
        </w:rPr>
        <w:t xml:space="preserve"> For purposes of this Agreement, Loans may be classified and referred to by Class (</w:t>
      </w:r>
      <w:r>
        <w:rPr>
          <w:rFonts w:ascii="Times New Roman" w:cs="Times New Roman" w:eastAsia="Times New Roman" w:hAnsi="Times New Roman"/>
          <w:sz w:val="22"/>
          <w:szCs w:val="22"/>
          <w:u w:val="single" w:color="auto"/>
          <w:color w:val="auto"/>
        </w:rPr>
        <w:t>e.g.</w:t>
      </w:r>
      <w:r>
        <w:rPr>
          <w:rFonts w:ascii="Times New Roman" w:cs="Times New Roman" w:eastAsia="Times New Roman" w:hAnsi="Times New Roman"/>
          <w:sz w:val="22"/>
          <w:szCs w:val="22"/>
          <w:color w:val="auto"/>
        </w:rPr>
        <w:t>, a “Revolving Loan”) or by Type (</w:t>
      </w:r>
      <w:r>
        <w:rPr>
          <w:rFonts w:ascii="Times New Roman" w:cs="Times New Roman" w:eastAsia="Times New Roman" w:hAnsi="Times New Roman"/>
          <w:sz w:val="22"/>
          <w:szCs w:val="22"/>
          <w:u w:val="single" w:color="auto"/>
          <w:color w:val="auto"/>
        </w:rPr>
        <w:t>e.g.</w:t>
      </w:r>
      <w:r>
        <w:rPr>
          <w:rFonts w:ascii="Times New Roman" w:cs="Times New Roman" w:eastAsia="Times New Roman" w:hAnsi="Times New Roman"/>
          <w:sz w:val="22"/>
          <w:szCs w:val="22"/>
          <w:color w:val="auto"/>
        </w:rPr>
        <w:t>, a “Term Benchmark Loan”) or by Class and Type (</w:t>
      </w:r>
      <w:r>
        <w:rPr>
          <w:rFonts w:ascii="Times New Roman" w:cs="Times New Roman" w:eastAsia="Times New Roman" w:hAnsi="Times New Roman"/>
          <w:sz w:val="22"/>
          <w:szCs w:val="22"/>
          <w:u w:val="single" w:color="auto"/>
          <w:color w:val="auto"/>
        </w:rPr>
        <w:t>e.g.</w:t>
      </w:r>
      <w:r>
        <w:rPr>
          <w:rFonts w:ascii="Times New Roman" w:cs="Times New Roman" w:eastAsia="Times New Roman" w:hAnsi="Times New Roman"/>
          <w:sz w:val="22"/>
          <w:szCs w:val="22"/>
          <w:color w:val="auto"/>
        </w:rPr>
        <w:t>, a “Term Benchmark Revolving Loan”). Borrowings also may be classified and referred to by Class (</w:t>
      </w:r>
      <w:r>
        <w:rPr>
          <w:rFonts w:ascii="Times New Roman" w:cs="Times New Roman" w:eastAsia="Times New Roman" w:hAnsi="Times New Roman"/>
          <w:sz w:val="22"/>
          <w:szCs w:val="22"/>
          <w:u w:val="single" w:color="auto"/>
          <w:color w:val="auto"/>
        </w:rPr>
        <w:t>e.g.</w:t>
      </w:r>
      <w:r>
        <w:rPr>
          <w:rFonts w:ascii="Times New Roman" w:cs="Times New Roman" w:eastAsia="Times New Roman" w:hAnsi="Times New Roman"/>
          <w:sz w:val="22"/>
          <w:szCs w:val="22"/>
          <w:color w:val="auto"/>
        </w:rPr>
        <w:t>, a “Revolving Borrowing”) or by Type (</w:t>
      </w:r>
      <w:r>
        <w:rPr>
          <w:rFonts w:ascii="Times New Roman" w:cs="Times New Roman" w:eastAsia="Times New Roman" w:hAnsi="Times New Roman"/>
          <w:sz w:val="22"/>
          <w:szCs w:val="22"/>
          <w:u w:val="single" w:color="auto"/>
          <w:color w:val="auto"/>
        </w:rPr>
        <w:t>e.g.</w:t>
      </w:r>
      <w:r>
        <w:rPr>
          <w:rFonts w:ascii="Times New Roman" w:cs="Times New Roman" w:eastAsia="Times New Roman" w:hAnsi="Times New Roman"/>
          <w:sz w:val="22"/>
          <w:szCs w:val="22"/>
          <w:color w:val="auto"/>
        </w:rPr>
        <w:t>, a “Term Benchmark Borrowing”) or by Class and Type (</w:t>
      </w:r>
      <w:r>
        <w:rPr>
          <w:rFonts w:ascii="Times New Roman" w:cs="Times New Roman" w:eastAsia="Times New Roman" w:hAnsi="Times New Roman"/>
          <w:sz w:val="22"/>
          <w:szCs w:val="22"/>
          <w:u w:val="single" w:color="auto"/>
          <w:color w:val="auto"/>
        </w:rPr>
        <w:t>e.g.</w:t>
      </w:r>
      <w:r>
        <w:rPr>
          <w:rFonts w:ascii="Times New Roman" w:cs="Times New Roman" w:eastAsia="Times New Roman" w:hAnsi="Times New Roman"/>
          <w:sz w:val="22"/>
          <w:szCs w:val="22"/>
          <w:color w:val="auto"/>
        </w:rPr>
        <w:t>, a “Term Benchmark Revolving Borrowing”).</w:t>
      </w:r>
    </w:p>
    <w:p>
      <w:pPr>
        <w:spacing w:after="0" w:line="179"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1.03. </w:t>
      </w:r>
      <w:r>
        <w:rPr>
          <w:rFonts w:ascii="Times New Roman" w:cs="Times New Roman" w:eastAsia="Times New Roman" w:hAnsi="Times New Roman"/>
          <w:sz w:val="22"/>
          <w:szCs w:val="22"/>
          <w:u w:val="single" w:color="auto"/>
          <w:color w:val="auto"/>
        </w:rPr>
        <w:t>Foreign Currency Translation.</w:t>
      </w:r>
      <w:r>
        <w:rPr>
          <w:rFonts w:ascii="Times New Roman" w:cs="Times New Roman" w:eastAsia="Times New Roman" w:hAnsi="Times New Roman"/>
          <w:sz w:val="22"/>
          <w:szCs w:val="22"/>
          <w:color w:val="auto"/>
        </w:rPr>
        <w:t xml:space="preserve"> The Administrative Agent shall determine the Dollar Equivalent of any Letter of Credit denominated in Canadian Dollars, Euros or Pounds Sterling (i) as of the date of the issuance thereof,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75" w:name="page276"/>
    <w:bookmarkEnd w:id="275"/>
    <w:p>
      <w:pPr>
        <w:jc w:val="both"/>
        <w:spacing w:after="0" w:line="259" w:lineRule="auto"/>
        <w:rPr>
          <w:sz w:val="20"/>
          <w:szCs w:val="20"/>
          <w:color w:val="auto"/>
        </w:rPr>
      </w:pPr>
      <w:r>
        <w:rPr>
          <w:rFonts w:ascii="Times New Roman" w:cs="Times New Roman" w:eastAsia="Times New Roman" w:hAnsi="Times New Roman"/>
          <w:sz w:val="21"/>
          <w:szCs w:val="21"/>
          <w:color w:val="auto"/>
        </w:rPr>
        <w:t xml:space="preserve">as of each subsequent date on which such Letter of Credit shall be renewed or extended or the stated amount of such Letter of Credit shall be increased, (iii) as of the last Business Day of each calendar month and (iv) as of each date on which any Issuing Bank shall have requested such determination due to fluctuations in applicable currency exchange rates (which shall not be requested by an Issuing Bank unreasonably), in each case using the Exchange Rate for the applicable currency in relation to dollars in effect on the date of determination, and each such amount shall be the Dollar Equivalent of such Letter of Credit until the next required calculation thereof. The Dollar Equivalent of any LC Disbursement made by any Issuing Bank in Canadian Dollars, Euros or Pounds Sterling and not reimbursed by the Borrower shall be determined as set forth in paragraphs </w:t>
      </w:r>
      <w:r>
        <w:rPr>
          <w:rFonts w:ascii="Times New Roman" w:cs="Times New Roman" w:eastAsia="Times New Roman" w:hAnsi="Times New Roman"/>
          <w:sz w:val="21"/>
          <w:szCs w:val="21"/>
          <w:b w:val="1"/>
          <w:bCs w:val="1"/>
          <w:color w:val="auto"/>
        </w:rPr>
        <w:t>(e)</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b w:val="1"/>
          <w:bCs w:val="1"/>
          <w:color w:val="auto"/>
        </w:rPr>
        <w:t>(l)</w:t>
      </w:r>
      <w:r>
        <w:rPr>
          <w:rFonts w:ascii="Times New Roman" w:cs="Times New Roman" w:eastAsia="Times New Roman" w:hAnsi="Times New Roman"/>
          <w:sz w:val="21"/>
          <w:szCs w:val="21"/>
          <w:color w:val="auto"/>
        </w:rPr>
        <w:t xml:space="preserve"> of Section 2.03, as applicable. In addition, the Dollar Equivalent of the LC Exposures shall be determined as set forth in paragraph</w:t>
      </w:r>
    </w:p>
    <w:p>
      <w:pPr>
        <w:spacing w:after="0" w:line="7" w:lineRule="exact"/>
        <w:rPr>
          <w:sz w:val="20"/>
          <w:szCs w:val="20"/>
          <w:color w:val="auto"/>
        </w:rPr>
      </w:pPr>
    </w:p>
    <w:p>
      <w:pPr>
        <w:jc w:val="both"/>
        <w:ind w:firstLine="8"/>
        <w:spacing w:after="0" w:line="251" w:lineRule="auto"/>
        <w:tabs>
          <w:tab w:leader="none" w:pos="283" w:val="left"/>
        </w:tabs>
        <w:numPr>
          <w:ilvl w:val="0"/>
          <w:numId w:val="2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of Section 2.03, at the time and in the circumstances specified therein. The Administrative Agent shall notify the Borrower, the applicable Lenders and the applicable Issuing Bank of each calculation of the Dollar Equivalent of each Letter of Credit and LC Disbursement.</w:t>
      </w:r>
    </w:p>
    <w:p>
      <w:pPr>
        <w:spacing w:after="0" w:line="17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 xml:space="preserve">SECTION 1.04. </w:t>
      </w:r>
      <w:r>
        <w:rPr>
          <w:rFonts w:ascii="Times New Roman" w:cs="Times New Roman" w:eastAsia="Times New Roman" w:hAnsi="Times New Roman"/>
          <w:sz w:val="21"/>
          <w:szCs w:val="21"/>
          <w:u w:val="single" w:color="auto"/>
          <w:color w:val="auto"/>
        </w:rPr>
        <w:t>Terms Generally.</w:t>
      </w:r>
      <w:r>
        <w:rPr>
          <w:rFonts w:ascii="Times New Roman" w:cs="Times New Roman" w:eastAsia="Times New Roman" w:hAnsi="Times New Roman"/>
          <w:sz w:val="21"/>
          <w:szCs w:val="21"/>
          <w:color w:val="auto"/>
        </w:rPr>
        <w:t xml:space="preserve">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but shall not be deemed to include the subsidiaries of such Person unless express reference is made to such subsidiaries,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(e) the words “asset” and “property” shall be construed to have the same meaning and effect and to refer to any and all tangible and intangible assets and properties, including cash, securities, accounts and contract rights and (f) references to “the date hereof” and “the date of this Agreement” shall be deemed to refer to the Restatement Date.</w:t>
      </w:r>
    </w:p>
    <w:p>
      <w:pPr>
        <w:spacing w:after="0" w:line="17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1.05. </w:t>
      </w:r>
      <w:r>
        <w:rPr>
          <w:rFonts w:ascii="Times New Roman" w:cs="Times New Roman" w:eastAsia="Times New Roman" w:hAnsi="Times New Roman"/>
          <w:sz w:val="22"/>
          <w:szCs w:val="22"/>
          <w:u w:val="single" w:color="auto"/>
          <w:color w:val="auto"/>
        </w:rPr>
        <w:t>Accounting Terms; GAAP.</w:t>
      </w:r>
      <w:r>
        <w:rPr>
          <w:rFonts w:ascii="Times New Roman" w:cs="Times New Roman" w:eastAsia="Times New Roman" w:hAnsi="Times New Roman"/>
          <w:sz w:val="22"/>
          <w:szCs w:val="22"/>
          <w:color w:val="auto"/>
        </w:rPr>
        <w:t xml:space="preserve"> Except as otherwise expressly provided herein, all terms of an accounting or financial nature shall be construed in accordance with GAAP, as in effect from time to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Majority Lenders request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76" w:name="page277"/>
    <w:bookmarkEnd w:id="276"/>
    <w:p>
      <w:pPr>
        <w:jc w:val="both"/>
        <w:ind w:right="20"/>
        <w:spacing w:after="0" w:line="256" w:lineRule="auto"/>
        <w:rPr>
          <w:sz w:val="20"/>
          <w:szCs w:val="20"/>
          <w:color w:val="auto"/>
        </w:rPr>
      </w:pPr>
      <w:r>
        <w:rPr>
          <w:rFonts w:ascii="Times New Roman" w:cs="Times New Roman" w:eastAsia="Times New Roman" w:hAnsi="Times New Roman"/>
          <w:sz w:val="22"/>
          <w:szCs w:val="22"/>
          <w:color w:val="auto"/>
        </w:rPr>
        <w:t>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 xml:space="preserve">SECTION 1.06. </w:t>
      </w:r>
      <w:r>
        <w:rPr>
          <w:rFonts w:ascii="Times New Roman" w:cs="Times New Roman" w:eastAsia="Times New Roman" w:hAnsi="Times New Roman"/>
          <w:sz w:val="21"/>
          <w:szCs w:val="21"/>
          <w:u w:val="single" w:color="auto"/>
          <w:color w:val="auto"/>
        </w:rPr>
        <w:t>Excluded Swap Obligations.</w:t>
      </w:r>
      <w:r>
        <w:rPr>
          <w:rFonts w:ascii="Times New Roman" w:cs="Times New Roman" w:eastAsia="Times New Roman" w:hAnsi="Times New Roman"/>
          <w:sz w:val="21"/>
          <w:szCs w:val="21"/>
          <w:color w:val="auto"/>
        </w:rPr>
        <w:t xml:space="preserve"> Notwithstanding any provision of this Agreement or any other Credit Document, no Guarantee by any Credit Party under any Credit Document shall include a Guarantee of any Obligation that, as to such Credit Party, is an Excluded Swap Obligation and no Collateral provided by any Credit Party shall secure any Obligation that, as to such Credit Party, is an Excluded Swap Obligation. In the event that any payment is made by, or any collection is realized from, any Credit Party as to which any Obligations are Excluded Swap Obligations, or from any Collateral provided by such Credit Party, the proceeds thereof shall be applied to pay the Obligations of such Credit Party as otherwise provided herein and in the other Credit Documents without giving effect to such Excluded Swap Obligations and each reference in this Agreement or any other Credit Document to the ratable application of such amounts as among the Obligations or any specified portion of the Obligations that would otherwise include such Excluded Swap Obligations shall be deemed so to provide.</w:t>
      </w:r>
    </w:p>
    <w:p>
      <w:pPr>
        <w:spacing w:after="0" w:line="174"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1"/>
          <w:szCs w:val="21"/>
          <w:color w:val="auto"/>
        </w:rPr>
        <w:t xml:space="preserve">SECTION 1.07. </w:t>
      </w:r>
      <w:r>
        <w:rPr>
          <w:rFonts w:ascii="Times New Roman" w:cs="Times New Roman" w:eastAsia="Times New Roman" w:hAnsi="Times New Roman"/>
          <w:sz w:val="21"/>
          <w:szCs w:val="21"/>
          <w:u w:val="single" w:color="auto"/>
          <w:color w:val="auto"/>
        </w:rPr>
        <w:t>Interest Rates; Benchmark Notification.</w:t>
      </w:r>
      <w:r>
        <w:rPr>
          <w:rFonts w:ascii="Times New Roman" w:cs="Times New Roman" w:eastAsia="Times New Roman" w:hAnsi="Times New Roman"/>
          <w:sz w:val="21"/>
          <w:szCs w:val="21"/>
          <w:color w:val="auto"/>
        </w:rPr>
        <w:t xml:space="preserve"> The interest rate on a Loan may be derived from an interest rate benchmark that may be discontinued or is, or may in the future become, the subject of regulatory reform. Upon the occurrence of a Benchmark Transition Event, Section 2.12(b)(1) provides a mechanism for determining an alternative rate of interest. The Administrative Agent will promptly notify the Borrower, pursuant to Section 2.12(b)(3), of any change to any reference rate upon which the interest rate on any Loan is based.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w:t>
      </w:r>
    </w:p>
    <w:p>
      <w:pPr>
        <w:spacing w:after="0" w:line="172"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1.08. </w:t>
      </w:r>
      <w:r>
        <w:rPr>
          <w:rFonts w:ascii="Times New Roman" w:cs="Times New Roman" w:eastAsia="Times New Roman" w:hAnsi="Times New Roman"/>
          <w:sz w:val="22"/>
          <w:szCs w:val="22"/>
          <w:u w:val="single" w:color="auto"/>
          <w:color w:val="auto"/>
        </w:rPr>
        <w:t>Divisions</w:t>
      </w:r>
      <w:r>
        <w:rPr>
          <w:rFonts w:ascii="Times New Roman" w:cs="Times New Roman" w:eastAsia="Times New Roman" w:hAnsi="Times New Roman"/>
          <w:sz w:val="22"/>
          <w:szCs w:val="22"/>
          <w:color w:val="auto"/>
        </w:rPr>
        <w:t>. For all purposes under the Credit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Capital Stock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77" w:name="page278"/>
    <w:bookmarkEnd w:id="277"/>
    <w:p>
      <w:pPr>
        <w:jc w:val="center"/>
        <w:spacing w:after="0"/>
        <w:rPr>
          <w:sz w:val="20"/>
          <w:szCs w:val="20"/>
          <w:color w:val="auto"/>
        </w:rPr>
      </w:pPr>
      <w:r>
        <w:rPr>
          <w:rFonts w:ascii="Times New Roman" w:cs="Times New Roman" w:eastAsia="Times New Roman" w:hAnsi="Times New Roman"/>
          <w:sz w:val="22"/>
          <w:szCs w:val="22"/>
          <w:color w:val="auto"/>
        </w:rPr>
        <w:t>ARTICLE II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The Credits</w:t>
      </w:r>
    </w:p>
    <w:p>
      <w:pPr>
        <w:spacing w:after="0" w:line="22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2.01. </w:t>
      </w:r>
      <w:r>
        <w:rPr>
          <w:rFonts w:ascii="Times New Roman" w:cs="Times New Roman" w:eastAsia="Times New Roman" w:hAnsi="Times New Roman"/>
          <w:sz w:val="22"/>
          <w:szCs w:val="22"/>
          <w:u w:val="single" w:color="auto"/>
          <w:color w:val="auto"/>
        </w:rPr>
        <w:t>Loans and Borrowings.</w:t>
      </w:r>
      <w:r>
        <w:rPr>
          <w:rFonts w:ascii="Times New Roman" w:cs="Times New Roman" w:eastAsia="Times New Roman" w:hAnsi="Times New Roman"/>
          <w:sz w:val="22"/>
          <w:szCs w:val="22"/>
          <w:color w:val="auto"/>
        </w:rPr>
        <w:t xml:space="preserve"> (a) Subject to the terms and conditions set forth herein, each Lender agrees to make Revolving Loans to the Borrower from time to time during the Availability Period in dollars in an aggregate principal amount that will not result in (x) such Lender’s Credit Exposure exceeding such Lender’s Commitment or (y) the aggregate Credit Exposures exceeding the Borrowing Base Availability then in effect. Each Revolving Loan shall be part of a Borrowing consisting of Loans of the same Type held by the Lenders ratably in accordance with their respective Applicable Percentages. The failure of any Lender to make any Loan required to be made by it shall not relieve any other Lender of its obligations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Commitments of the Lenders are several and no Lender shall be responsible for any other Lender’s failure to make Loans as required. Within the foregoing limits and subject to the terms and conditions set forth herein, the Borrower may borrow, prepay and reborrow Revolving Loans.</w:t>
      </w:r>
    </w:p>
    <w:p>
      <w:pPr>
        <w:spacing w:after="0" w:line="180" w:lineRule="exact"/>
        <w:rPr>
          <w:sz w:val="20"/>
          <w:szCs w:val="20"/>
          <w:color w:val="auto"/>
        </w:rPr>
      </w:pPr>
    </w:p>
    <w:p>
      <w:pPr>
        <w:jc w:val="both"/>
        <w:ind w:firstLine="1304"/>
        <w:spacing w:after="0" w:line="253" w:lineRule="auto"/>
        <w:tabs>
          <w:tab w:leader="none" w:pos="1642"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Section 2.12, each Revolving Borrowing shall be comprised entirely of ABR Loans or Term Benchmark Loans or, if applicable pursuant to Section 2.12, RFR Loans, in each case, as the Borrower may request in accordance herewith. Each Lender at its option may make, convert or continue any Term Benchmark Loan by causing any domestic or foreign branch or Affiliate of such Lender to make, convert or continue such Loan;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exercise of such option shall not affect the obligation of the Borrower to repay such Loan in accordance with the terms of this Agreement.</w:t>
      </w:r>
    </w:p>
    <w:p>
      <w:pPr>
        <w:spacing w:after="0" w:line="178" w:lineRule="exact"/>
        <w:rPr>
          <w:rFonts w:ascii="Times New Roman" w:cs="Times New Roman" w:eastAsia="Times New Roman" w:hAnsi="Times New Roman"/>
          <w:sz w:val="22"/>
          <w:szCs w:val="22"/>
          <w:color w:val="auto"/>
        </w:rPr>
      </w:pPr>
    </w:p>
    <w:p>
      <w:pPr>
        <w:jc w:val="both"/>
        <w:ind w:firstLine="1304"/>
        <w:spacing w:after="0" w:line="249" w:lineRule="auto"/>
        <w:tabs>
          <w:tab w:leader="none" w:pos="1590"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the commencement of each Interest Period for any Term Benchmark Revolving Borrowing, such Borrowing shall be in an aggregate amount that is an integral multiple of $1,000,000 and not less than $5,000,000. At the time that each ABR Revolving Borrowing or, if applicable pursuant to Section 2.12, each RFR Revolving Borrowing is made, such Borrowing shall be in an aggregate amount that is an integral multiple of $1,000,000 and not less than $5,000,000;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 ABR Revolving Borrowing or RFR Revolving Borrowing may be in an aggregate amount that is equal to the entire unused balance of the Total Commitment, or that is required to finance the reimbursement of an LC Disbursement as contemplated by Section 2.03(e). Revolving Borrowings of more than one Type may be outstanding at the same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there shall not at any time be more than a total of 30 Term Benchmark Borrowings outstanding.</w:t>
      </w:r>
    </w:p>
    <w:p>
      <w:pPr>
        <w:spacing w:after="0" w:line="195" w:lineRule="exact"/>
        <w:rPr>
          <w:rFonts w:ascii="Times New Roman" w:cs="Times New Roman" w:eastAsia="Times New Roman" w:hAnsi="Times New Roman"/>
          <w:sz w:val="22"/>
          <w:szCs w:val="22"/>
          <w:color w:val="auto"/>
        </w:rPr>
      </w:pPr>
    </w:p>
    <w:p>
      <w:pPr>
        <w:jc w:val="both"/>
        <w:ind w:firstLine="1304"/>
        <w:spacing w:after="0" w:line="257" w:lineRule="auto"/>
        <w:tabs>
          <w:tab w:leader="none" w:pos="1615"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Agreement, the Borrower shall not be entitled to request, or to elect to convert or continue, any Borrowing if the Interest Period requested with respect thereto would end after the Commitment 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78" w:name="page279"/>
    <w:bookmarkEnd w:id="278"/>
    <w:p>
      <w:pPr>
        <w:jc w:val="both"/>
        <w:ind w:firstLine="1304"/>
        <w:spacing w:after="0" w:line="253" w:lineRule="auto"/>
        <w:tabs>
          <w:tab w:leader="none" w:pos="1603"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Restatement Date, subject to the terms and conditions set forth herein, and immediately following the effectiveness of the amendment and restatement of the Existing Credit Agreement in the form of this Agreement, each Lender agrees to make Revolving Loans to the Borrower in an amount for each Restatement Date Borrowing equal to such Lender’s Applicable Percentage of such Restatement Date Borrowing. The parties hereto hereby agree that no amount shall be payable under Section 2.14 in respect of any Revolving Loan solely as a result of the transactions contemplated by this paragraph (e).</w:t>
      </w:r>
    </w:p>
    <w:p>
      <w:pPr>
        <w:spacing w:after="0" w:line="179"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2.02. </w:t>
      </w:r>
      <w:r>
        <w:rPr>
          <w:rFonts w:ascii="Times New Roman" w:cs="Times New Roman" w:eastAsia="Times New Roman" w:hAnsi="Times New Roman"/>
          <w:sz w:val="22"/>
          <w:szCs w:val="22"/>
          <w:u w:val="single" w:color="auto"/>
          <w:color w:val="auto"/>
        </w:rPr>
        <w:t>Requests for Borrowing.</w:t>
      </w:r>
      <w:r>
        <w:rPr>
          <w:rFonts w:ascii="Times New Roman" w:cs="Times New Roman" w:eastAsia="Times New Roman" w:hAnsi="Times New Roman"/>
          <w:sz w:val="22"/>
          <w:szCs w:val="22"/>
          <w:color w:val="auto"/>
        </w:rPr>
        <w:t xml:space="preserve"> To request a Revolving Borrowing, other than a Restatement Date Borrowing, the Borrower shall notify the Administrative Agent of such request by telephone or email of scanned electronic format of a Borrowing Request (a) in the case of a Term Benchmark Borrowing, not later than 3:00 p.m., New York City time, three U.S. Government Securities Business Days before the date of the proposed Borrowing, (b) in the case of an ABR Borrowing, not later than 10:30 a.m., New York City time, on the day of the proposed Borrowing or (c) in the case of an RFR Borrowing (if applicable pursuant to Section 2.12), not later than 3:00 p.m., New York City time, three U.S. Government Securities Business Days before the date of the proposed Borrowing;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(x) if at any time an LC Disbursement denominated in dollars shall be made in an amount at least equal to the applicable minimum borrowing amount, a notice of an ABR Borrowing to finance the reimbursement of such LC Disbursement shall be deemed to have been timely given as contemplated by Section 2.03(e) unless the Borrower shall have given notice to the contrary to the Administrative Agent not later than 10:00 a.m., New York City time, on the Business Day next following the date on which the Borrower shall have been notified of such LC Disbursement and (y) any such notification with respect to a Restatement Date Borrowing that is a Term Benchmark Borrowing may be given not later than 12:00 p.m., New York City time, one Business Day before the Restatement Date. Each (i) such telephonic Borrowing Request shall be irrevocable and shall be confirmed promptly by hand delivery, telecopy or email of scanned electronic format to the Administrative Agent of a written Borrowing Request signed by the Borrower and (ii) other Borrowing Request shall be irrevocable and shall be signed by the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Borrowing Request is submitted through an Approved Borrower Portal, the foregoing signature requirement may be waived at the sole discretion of the Administrative Agent. Each Borrowing Request shall specify the following information in compliance with Section 2.01:</w:t>
      </w:r>
    </w:p>
    <w:p>
      <w:pPr>
        <w:spacing w:after="0" w:line="197" w:lineRule="exact"/>
        <w:rPr>
          <w:sz w:val="20"/>
          <w:szCs w:val="20"/>
          <w:color w:val="auto"/>
        </w:rPr>
      </w:pPr>
    </w:p>
    <w:p>
      <w:pPr>
        <w:ind w:left="2260" w:hanging="308"/>
        <w:spacing w:after="0"/>
        <w:tabs>
          <w:tab w:leader="none" w:pos="2260"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 of the requested Borrowing;</w:t>
      </w:r>
    </w:p>
    <w:p>
      <w:pPr>
        <w:spacing w:after="0" w:line="219" w:lineRule="exact"/>
        <w:rPr>
          <w:rFonts w:ascii="Times New Roman" w:cs="Times New Roman" w:eastAsia="Times New Roman" w:hAnsi="Times New Roman"/>
          <w:sz w:val="22"/>
          <w:szCs w:val="22"/>
          <w:color w:val="auto"/>
        </w:rPr>
      </w:pPr>
    </w:p>
    <w:p>
      <w:pPr>
        <w:ind w:left="2260" w:hanging="308"/>
        <w:spacing w:after="0"/>
        <w:tabs>
          <w:tab w:leader="none" w:pos="2260"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of such Borrowing, which shall be a Business Day;</w:t>
      </w:r>
    </w:p>
    <w:p>
      <w:pPr>
        <w:spacing w:after="0" w:line="219" w:lineRule="exact"/>
        <w:rPr>
          <w:rFonts w:ascii="Times New Roman" w:cs="Times New Roman" w:eastAsia="Times New Roman" w:hAnsi="Times New Roman"/>
          <w:sz w:val="22"/>
          <w:szCs w:val="22"/>
          <w:color w:val="auto"/>
        </w:rPr>
      </w:pPr>
    </w:p>
    <w:p>
      <w:pPr>
        <w:ind w:left="1300" w:firstLine="652"/>
        <w:spacing w:after="0" w:line="271" w:lineRule="auto"/>
        <w:tabs>
          <w:tab w:leader="none" w:pos="2267"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such Borrowing is to be an ABR Borrowing, a Term Benchmark Borrowing or, if applicable pursuant to Section 2.12, an RFR Borrowing;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79" w:name="page280"/>
    <w:bookmarkEnd w:id="279"/>
    <w:p>
      <w:pPr>
        <w:ind w:left="1300" w:firstLine="652"/>
        <w:spacing w:after="0" w:line="271" w:lineRule="auto"/>
        <w:tabs>
          <w:tab w:leader="none" w:pos="2254"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Term Benchmark Borrowing, the initial Interest Period to be applicable thereto, which shall be a period contemplated by the definition of the term “Interest Period”; and</w:t>
      </w:r>
    </w:p>
    <w:p>
      <w:pPr>
        <w:spacing w:after="0" w:line="157" w:lineRule="exact"/>
        <w:rPr>
          <w:rFonts w:ascii="Times New Roman" w:cs="Times New Roman" w:eastAsia="Times New Roman" w:hAnsi="Times New Roman"/>
          <w:sz w:val="22"/>
          <w:szCs w:val="22"/>
          <w:color w:val="auto"/>
        </w:rPr>
      </w:pPr>
    </w:p>
    <w:p>
      <w:pPr>
        <w:ind w:left="1300" w:firstLine="652"/>
        <w:spacing w:after="0" w:line="284" w:lineRule="auto"/>
        <w:tabs>
          <w:tab w:leader="none" w:pos="2281"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location and number of the Borrower’s account to which funds are to be disbursed, which shall comply with the requirements of Section 2.05.</w:t>
      </w:r>
    </w:p>
    <w:p>
      <w:pPr>
        <w:spacing w:after="0" w:line="14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If no election as to the Type of Borrowing is specified, then the requested Borrowing shall be an ABR Borrowing. If no Interest Period is specified with respect to any requested Term Benchmark Borrowing, then the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179"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2.03. </w:t>
      </w:r>
      <w:r>
        <w:rPr>
          <w:rFonts w:ascii="Times New Roman" w:cs="Times New Roman" w:eastAsia="Times New Roman" w:hAnsi="Times New Roman"/>
          <w:sz w:val="22"/>
          <w:szCs w:val="22"/>
          <w:u w:val="single" w:color="auto"/>
          <w:color w:val="auto"/>
        </w:rPr>
        <w:t>Letters of Credit.</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xml:space="preserve"> Subject to the terms and conditions set forth herein, the Borrower may request the issuance (or the amendment, renewal or extension) of Letters of Credit denominated in dollars, Canadian Dollars, Euros or Pounds Sterling for its own account, in a form reasonably acceptable to the Administrative Agent and the applicable Issuing Bank, at any time and from time to time during the Availability Period. In the event of any inconsistency between the terms and conditions of this Agreement and the terms and conditions of any form of letter of credit application or other agreement submitted by the Borrower to, or entered into by the Borrower with, any Issuing Bank relating to any Letter of Credit, the terms and conditions of this Agreement shall control. On the Restatement Date, each Issuing Bank that has issued an Existing Letter of Credit shall be deemed, without further action by any party hereto, to have granted in accordance with paragraph (d) below to each Lender, and each Lender shall be deemed to have purchased from such Issuing Bank, a participation in each such Letter of Credit. The Issuing Banks and Lenders that are also party to the Existing Credit Agreement agree that, concurrently with such grant, the participations in the Existing Letters of Credit granted to the lenders under the Existing Credit Agreement shall be automatically canceled without further action by any of the parties thereto. On and after the Restatement Date each Existing Letter of Credit shall constitute a Letter of Credit for all purposes hereof; and the Borrower hereby agrees that it shall be deemed to be the applicant with respect to such Existing Letters of Credit. Any Lender that issued an Existing Letter of Credit but shall not have entered into an Issuing Bank Agreement shall have the rights of an Issuing Bank as to such Letter of Credit for purposes of this Section 2.03.</w:t>
      </w:r>
    </w:p>
    <w:p>
      <w:pPr>
        <w:spacing w:after="0" w:line="195" w:lineRule="exact"/>
        <w:rPr>
          <w:sz w:val="20"/>
          <w:szCs w:val="20"/>
          <w:color w:val="auto"/>
        </w:rPr>
      </w:pPr>
    </w:p>
    <w:p>
      <w:pPr>
        <w:jc w:val="both"/>
        <w:ind w:firstLine="1304"/>
        <w:spacing w:after="0" w:line="252" w:lineRule="auto"/>
        <w:tabs>
          <w:tab w:leader="none" w:pos="1602"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Issuance, Amendment, Renewal, Extension; Certain Conditions.</w:t>
      </w:r>
      <w:r>
        <w:rPr>
          <w:rFonts w:ascii="Times New Roman" w:cs="Times New Roman" w:eastAsia="Times New Roman" w:hAnsi="Times New Roman"/>
          <w:sz w:val="22"/>
          <w:szCs w:val="22"/>
          <w:color w:val="auto"/>
        </w:rPr>
        <w:t xml:space="preserve"> To request the issuance of a Letter of Credit (or the amendment, renewal or extension of an outstanding Letter of Credit), the Borrower shall hand deliver or telecopy (or transmit by electronic communication, including an Approved Borrower Portal, if arrangements for doing so have been approved by the applicable Issuing Bank) to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80" w:name="page281"/>
    <w:bookmarkEnd w:id="280"/>
    <w:p>
      <w:pPr>
        <w:jc w:val="both"/>
        <w:spacing w:after="0" w:line="259" w:lineRule="auto"/>
        <w:rPr>
          <w:sz w:val="20"/>
          <w:szCs w:val="20"/>
          <w:color w:val="auto"/>
        </w:rPr>
      </w:pPr>
      <w:r>
        <w:rPr>
          <w:rFonts w:ascii="Times New Roman" w:cs="Times New Roman" w:eastAsia="Times New Roman" w:hAnsi="Times New Roman"/>
          <w:sz w:val="21"/>
          <w:szCs w:val="21"/>
          <w:color w:val="auto"/>
        </w:rPr>
        <w:t xml:space="preserve">Issuing Bank and the Administrative Agent (reasonably in advance of the requested date of issuance, amendment, renewal or extension) a written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paragraph </w:t>
      </w:r>
      <w:r>
        <w:rPr>
          <w:rFonts w:ascii="Times New Roman" w:cs="Times New Roman" w:eastAsia="Times New Roman" w:hAnsi="Times New Roman"/>
          <w:sz w:val="21"/>
          <w:szCs w:val="21"/>
          <w:b w:val="1"/>
          <w:bCs w:val="1"/>
          <w:color w:val="auto"/>
        </w:rPr>
        <w:t>(c)</w:t>
      </w:r>
      <w:r>
        <w:rPr>
          <w:rFonts w:ascii="Times New Roman" w:cs="Times New Roman" w:eastAsia="Times New Roman" w:hAnsi="Times New Roman"/>
          <w:sz w:val="21"/>
          <w:szCs w:val="21"/>
          <w:color w:val="auto"/>
        </w:rPr>
        <w:t xml:space="preserve"> of this Section), the amount and currency of such Letter of Credit, the name and address of the beneficiary thereof and such other information as shall be necessary to prepare, amend, renew or extend such Letter of Credit. If requested by any Issuing Bank, the Borrower also shall submit a letter of credit application on such Issuing Bank’s standard form in connection with any request for a Letter of Credit;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provisions in any such letter of credit application that create Liens securing the obligations of the Borrower thereunder or that are inconsistent with the provisions of this Agreement shall be of no force or effect. A Letter of Credit shall be issued, amended, renewed or extended only if (and upon issuance, amendment, renewal or extension of each Letter of Credit the Borrower shall be deemed to represent and warrant that), after giving effect to such issuance, amendment, renewal or extension, (i) the aggregate amount of the Credit Exposures shall not exceed the Total Commitment, (ii) the aggregate amount of the LC Exposures shall not exceed $800,000,000, (iii) the aggregate Credit Exposures shall not exceed the Borrowing Base Availability then in effect, (iv) the Credit Exposure of any Lender shall not exceed its Commitment and (v) the portion of the LC Exposure attributable to Letters of Credit issued by any Issuing Bank shall not exceed the LC Commitment of such Issuing Bank or such greater amount as the Borrower and such Issuing Bank shall have agreed upon. Each Issuing Bank shall be entitled to rely on such representation and warranty. The Administrative Agent agrees, at the request of any Issuing Bank, to provide information to such Issuing Bank as to the aggregate amount of the Credit Exposures, the LC Exposures, the Total Commitment and the Borrowing Base Availability.</w:t>
      </w:r>
    </w:p>
    <w:p>
      <w:pPr>
        <w:spacing w:after="0" w:line="183" w:lineRule="exact"/>
        <w:rPr>
          <w:sz w:val="20"/>
          <w:szCs w:val="20"/>
          <w:color w:val="auto"/>
        </w:rPr>
      </w:pPr>
    </w:p>
    <w:p>
      <w:pPr>
        <w:jc w:val="both"/>
        <w:ind w:firstLine="1304"/>
        <w:spacing w:after="0" w:line="261" w:lineRule="auto"/>
        <w:tabs>
          <w:tab w:leader="none" w:pos="1590" w:val="left"/>
        </w:tabs>
        <w:numPr>
          <w:ilvl w:val="0"/>
          <w:numId w:val="2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Expiration Date.</w:t>
      </w:r>
      <w:r>
        <w:rPr>
          <w:rFonts w:ascii="Times New Roman" w:cs="Times New Roman" w:eastAsia="Times New Roman" w:hAnsi="Times New Roman"/>
          <w:sz w:val="21"/>
          <w:szCs w:val="21"/>
          <w:color w:val="auto"/>
        </w:rPr>
        <w:t xml:space="preserve"> Each Letter of Credit shall have an expiration date at or prior to the close of business on the earlier of (i) the date one year after the date of the issuance of such Letter of Credit (or, in the case of any renewal or extension thereof, one year after such renewal or extension) and (ii) the date that is five Business Days prior to the Commitment Termination Date, unless such Letter of Credit is cash collateralized or backstopped pursuant to arrangements reasonably satisfactory to the relevant Issuing Bank, in which case this subsection (ii) shall not be applicable. Any Letter of Credit may provide by its terms that it may be extended for additional successive one-year periods on terms reasonably acceptable to the applicable Issuing Bank (but subject to the proviso in the next sentence). Any Letter of Credit providing for automatic extension shall be extended upon the then-current expiration date without any further action by any Person unless the applicable Issuing Bank shall have given notice to the applicable beneficiary (with a copy to the Borrower) of the election by such Issuing Bank not to extend such Letter of Credit, such notice to be given not fewer than 60 days prior to the then-current expiration date of such Letter of Credit;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Letter of Credit may be extended automatically or otherwise beyond the date that is five Business Days prior to the Commitment Termination Date unless such Letter of Credit is cash collateralized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22"/>
          <w:szCs w:val="22"/>
          <w:color w:val="auto"/>
        </w:rPr>
        <w:t>backstopped pursuant to arrangements reasonably satisfactory to the relevant Issuing Bank.</w:t>
      </w:r>
    </w:p>
    <w:p>
      <w:pPr>
        <w:spacing w:after="0" w:line="220" w:lineRule="exact"/>
        <w:rPr>
          <w:sz w:val="20"/>
          <w:szCs w:val="20"/>
          <w:color w:val="auto"/>
        </w:rPr>
      </w:pPr>
    </w:p>
    <w:p>
      <w:pPr>
        <w:jc w:val="both"/>
        <w:ind w:firstLine="1304"/>
        <w:spacing w:after="0" w:line="247" w:lineRule="auto"/>
        <w:tabs>
          <w:tab w:leader="none" w:pos="1602"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Participations.</w:t>
      </w:r>
      <w:r>
        <w:rPr>
          <w:rFonts w:ascii="Times New Roman" w:cs="Times New Roman" w:eastAsia="Times New Roman" w:hAnsi="Times New Roman"/>
          <w:sz w:val="22"/>
          <w:szCs w:val="22"/>
          <w:color w:val="auto"/>
        </w:rPr>
        <w:t xml:space="preserve"> Effective with respect to the Existing Letters of Credit upon the occurrence of the Restatement Date, and effective with respect to each other Letter of Credit (and each amendment to a Letter of Credit increasing the amount thereof) upon the issuance (or increase) thereof, and without any further action on the part of the applicable Issuing Bank or the Lenders, each Issuing Bank hereby grants to each Lender, and each Lender hereby acquires from such Issuing Bank, a participation in each Letter of Credit equal to such Lender’s Applicable Percentage of the aggregate amount available to be drawn under such Letter of Credit. In consideration and in furtherance of the foregoing, each Lender hereby absolutely and unconditionally agrees to pay to the Administrative Agent, for the account of the applicable Issuing Bank, such Lender’s Applicable Percentage of each LC Disbursement made by such Issuing Bank and not reimbursed by the Borrower on the date due as provided in paragraph </w:t>
      </w: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22"/>
          <w:szCs w:val="22"/>
          <w:color w:val="auto"/>
        </w:rPr>
        <w:t xml:space="preserve"> of this Section, or such Lender’s Applicable Percentage of any reimbursement payment in respect of an LC Disbursement required to be refunded to the Borrower for any reason (or if such LC Disbursement or reimbursement payment was made in Canadian Dollars, Euros or Pounds Sterling, the Dollar Equivalent thereof using the LC Exchange Rate in effect on the applicable LC Participation Calculation Date).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the occurrence and continuance of a Default, any reduction of its Commitment or the Total Commitment or any </w:t>
      </w:r>
      <w:r>
        <w:rPr>
          <w:rFonts w:ascii="Times New Roman" w:cs="Times New Roman" w:eastAsia="Times New Roman" w:hAnsi="Times New Roman"/>
          <w:sz w:val="22"/>
          <w:szCs w:val="22"/>
          <w:i w:val="1"/>
          <w:iCs w:val="1"/>
          <w:color w:val="auto"/>
        </w:rPr>
        <w:t>force majeure</w:t>
      </w:r>
      <w:r>
        <w:rPr>
          <w:rFonts w:ascii="Times New Roman" w:cs="Times New Roman" w:eastAsia="Times New Roman" w:hAnsi="Times New Roman"/>
          <w:sz w:val="22"/>
          <w:szCs w:val="22"/>
          <w:color w:val="auto"/>
        </w:rPr>
        <w:t xml:space="preserve"> or other event that under any rule of law or uniform practices to which any Letter of Credit is subject (including Section 3.14 of ISP 98 or any successor publication of the International Chamber of Commerce) permits a drawing to be made under any Letter of Credit after the expiration thereof or of the Commitments.</w:t>
      </w:r>
    </w:p>
    <w:p>
      <w:pPr>
        <w:spacing w:after="0" w:line="200" w:lineRule="exact"/>
        <w:rPr>
          <w:rFonts w:ascii="Times New Roman" w:cs="Times New Roman" w:eastAsia="Times New Roman" w:hAnsi="Times New Roman"/>
          <w:sz w:val="22"/>
          <w:szCs w:val="22"/>
          <w:color w:val="auto"/>
        </w:rPr>
      </w:pPr>
    </w:p>
    <w:p>
      <w:pPr>
        <w:jc w:val="both"/>
        <w:ind w:firstLine="1304"/>
        <w:spacing w:after="0" w:line="260" w:lineRule="auto"/>
        <w:tabs>
          <w:tab w:leader="none" w:pos="1617" w:val="left"/>
        </w:tabs>
        <w:numPr>
          <w:ilvl w:val="0"/>
          <w:numId w:val="2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Reimbursement.</w:t>
      </w:r>
      <w:r>
        <w:rPr>
          <w:rFonts w:ascii="Times New Roman" w:cs="Times New Roman" w:eastAsia="Times New Roman" w:hAnsi="Times New Roman"/>
          <w:sz w:val="21"/>
          <w:szCs w:val="21"/>
          <w:color w:val="auto"/>
        </w:rPr>
        <w:t xml:space="preserve"> If any Issuing Bank shall make any LC Disbursement in respect of a Letter of Credit, the Borrower shall reimburse such LC Disbursement by paying to the Administrative Agent an amount equal to such LC Disbursement, in the currency in which such LC Disbursement is made (or at the election of the applicable Issuing Bank, the Dollar Equivalent calculated using the applicable LC Exchange Rate on such date of such LC Disbursement), not later than 1:30 p.m., New York City time, on the second Business Day following the date on which the Borrower shall have received notice of such LC Disbursement (or, in the case of an LC Disbursement denominated in a currency other than dollars, on the third Business Day following such date if the Borrower shall not have received notice of such LC Disbursement until after 10:00 a.m., New York City time, on such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such LC Disbursement is denominated in dollars and is at least equal to the applicable minimum borrowing amount, unless the Borrower shall have notified the Administrative Agent to the contrary not later than 10:00 a.m., New York City time, on the Business Day next following the date on which the Borrower shall have been notified of such LC Disbursement, the Borrower will be deemed to have requested in accordance with Section 2.02 that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82" w:name="page283"/>
    <w:bookmarkEnd w:id="282"/>
    <w:p>
      <w:pPr>
        <w:jc w:val="both"/>
        <w:spacing w:after="0" w:line="259" w:lineRule="auto"/>
        <w:rPr>
          <w:sz w:val="20"/>
          <w:szCs w:val="20"/>
          <w:color w:val="auto"/>
        </w:rPr>
      </w:pPr>
      <w:r>
        <w:rPr>
          <w:rFonts w:ascii="Times New Roman" w:cs="Times New Roman" w:eastAsia="Times New Roman" w:hAnsi="Times New Roman"/>
          <w:sz w:val="21"/>
          <w:szCs w:val="21"/>
          <w:color w:val="auto"/>
        </w:rPr>
        <w:t xml:space="preserve">payment be financed with an ABR Revolving Borrowing on such Business Day in an equivalent amount and, to the extent the Borrower satisfies the condition precedent to such ABR Revolving Borrowing set forth in Section 4.02(b), the Borrower’s obligation to make such payment shall be discharged with the proceeds of the requested ABR Revolving Borrowing. If the Borrower fails to make such payment when due and the Borrower is not entitled to make a Borrowing in the amount of such payment, (A) if such payment relates to a Letter of Credit denominated in Canadian Dollars, Euros or Pounds Sterling, automatically and with no further action required, the obligation of the Borrower to reimburse the applicable LC Disbursement shall be permanently converted into an obligation to reimburse the Dollar Equivalent, calculated using the applicable LC Exchange Rate on the applicable LC Participation Calculation Date, of such LC Disbursement and (B) in the case of each LC Disbursement, the Administrative Agent shall notify each Lender of such LC Disbursement, the Dollar Equivalent of the payment then due from the Borrower in respect thereof and such Lender’s Applicable Percentage thereof, and each Lender shall pay to the Administrative Agent, on the date such notice is received, its Applicable Percentage of the payment then due from the Borrower, in the same manner as provided in Section 2.05 with respect to Loans made by such Lender (and Section 2.05 shall apply, </w:t>
      </w:r>
      <w:r>
        <w:rPr>
          <w:rFonts w:ascii="Times New Roman" w:cs="Times New Roman" w:eastAsia="Times New Roman" w:hAnsi="Times New Roman"/>
          <w:sz w:val="21"/>
          <w:szCs w:val="21"/>
          <w:u w:val="single" w:color="auto"/>
          <w:color w:val="auto"/>
        </w:rPr>
        <w:t>mutatis mutandis</w:t>
      </w:r>
      <w:r>
        <w:rPr>
          <w:rFonts w:ascii="Times New Roman" w:cs="Times New Roman" w:eastAsia="Times New Roman" w:hAnsi="Times New Roman"/>
          <w:sz w:val="21"/>
          <w:szCs w:val="21"/>
          <w:color w:val="auto"/>
        </w:rPr>
        <w:t>, to the payment obligations of the Lenders), and the Administrative Agent shall promptly pay to the applicable Issuing Bank the amounts so received by it from the Lenders. Promptly following receipt by the Administrative Agent of any payment from the Borrower pursuant to this paragraph, the Administrative Agent shall distribute such payment to the applicable Issuing Bank or, to the extent that Lenders have made payments pursuant to this paragraph to reimburse such Issuing Bank, then to such Lenders and such Issuing Bank as their interests may appear. No payment made by a Lender pursuant to this paragraph to reimburse any Issuing Bank for any LC Disbursement (other than the funding of ABR Loans as contemplated above) shall constitute a Loan or relieve the Borrower of its obligation to reimburse such LC Disbursement. If the reimbursement by the Borrower of, or obligation to reimburse, any amounts in Canadian Dollars, Euros or Pounds Sterling would subject the Administrative Agent, the applicable Issuing Bank or any Lender to any stamp duty, ad valorem charge or similar tax that would not be payable if such reimbursement were made or required to be made in dollars, the Borrower shall, at its option, either (x) pay the amount of any such tax requested by the Administrative Agent, the applicable Issuing Bank or Lender or (y) reimburse in dollars each LC Disbursement made in Canadian Dollars, Euros or Pounds Sterling, in an amount equal to the Dollar Equivalent, calculated using the applicable LC Exchange Rate on the date such LC Disbursement is reimbursed (or on the applicable LC Participation Calculation Date, if such date shall have occurred), of such LC Disbursement.</w:t>
      </w:r>
    </w:p>
    <w:p>
      <w:pPr>
        <w:spacing w:after="0" w:line="200" w:lineRule="exact"/>
        <w:rPr>
          <w:sz w:val="20"/>
          <w:szCs w:val="20"/>
          <w:color w:val="auto"/>
        </w:rPr>
      </w:pPr>
    </w:p>
    <w:p>
      <w:pPr>
        <w:spacing w:after="0" w:line="234" w:lineRule="exact"/>
        <w:rPr>
          <w:sz w:val="20"/>
          <w:szCs w:val="20"/>
          <w:color w:val="auto"/>
        </w:rPr>
      </w:pPr>
    </w:p>
    <w:p>
      <w:pPr>
        <w:jc w:val="both"/>
        <w:ind w:firstLine="1304"/>
        <w:spacing w:after="0" w:line="269" w:lineRule="auto"/>
        <w:tabs>
          <w:tab w:leader="none" w:pos="1566" w:val="left"/>
        </w:tabs>
        <w:numPr>
          <w:ilvl w:val="0"/>
          <w:numId w:val="2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Obligations Absolute.</w:t>
      </w:r>
      <w:r>
        <w:rPr>
          <w:rFonts w:ascii="Times New Roman" w:cs="Times New Roman" w:eastAsia="Times New Roman" w:hAnsi="Times New Roman"/>
          <w:sz w:val="21"/>
          <w:szCs w:val="21"/>
          <w:color w:val="auto"/>
        </w:rPr>
        <w:t xml:space="preserve"> The Borrower’s obligation to reimburse LC Disbursements as provided in paragraph </w:t>
      </w:r>
      <w:r>
        <w:rPr>
          <w:rFonts w:ascii="Times New Roman" w:cs="Times New Roman" w:eastAsia="Times New Roman" w:hAnsi="Times New Roman"/>
          <w:sz w:val="21"/>
          <w:szCs w:val="21"/>
          <w:b w:val="1"/>
          <w:bCs w:val="1"/>
          <w:color w:val="auto"/>
        </w:rPr>
        <w:t>(e)</w:t>
      </w:r>
      <w:r>
        <w:rPr>
          <w:rFonts w:ascii="Times New Roman" w:cs="Times New Roman" w:eastAsia="Times New Roman" w:hAnsi="Times New Roman"/>
          <w:sz w:val="21"/>
          <w:szCs w:val="21"/>
          <w:color w:val="auto"/>
        </w:rPr>
        <w:t xml:space="preserve"> of this Section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(ii) any draft or other document presented under a Letter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-666750</wp:posOffset>
            </wp:positionV>
            <wp:extent cx="4928870" cy="1460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7">
                      <a:extLst>
                        <a:ext uri="{28A0092B-C50C-407E-A947-70E740481C1C}"/>
                      </a:extLst>
                    </a:blip>
                    <a:srcRect/>
                    <a:stretch>
                      <a:fillRect/>
                    </a:stretch>
                  </pic:blipFill>
                  <pic:spPr bwMode="auto">
                    <a:xfrm>
                      <a:off x="0" y="0"/>
                      <a:ext cx="492887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83" w:name="page284"/>
    <w:bookmarkEnd w:id="283"/>
    <w:p>
      <w:pPr>
        <w:jc w:val="both"/>
        <w:spacing w:after="0" w:line="259" w:lineRule="auto"/>
        <w:rPr>
          <w:sz w:val="20"/>
          <w:szCs w:val="20"/>
          <w:color w:val="auto"/>
        </w:rPr>
      </w:pPr>
      <w:r>
        <w:rPr>
          <w:rFonts w:ascii="Times New Roman" w:cs="Times New Roman" w:eastAsia="Times New Roman" w:hAnsi="Times New Roman"/>
          <w:sz w:val="21"/>
          <w:szCs w:val="21"/>
          <w:color w:val="auto"/>
        </w:rPr>
        <w:t xml:space="preserve">Credit proving to be forged, fraudulent or invalid in any respect or any statement therein being untrue or inaccurate in any respect, (iii) payment by any Issuing Bank under a Letter of Credit against presentation of a draft or other document that does not comply with the terms of such Letter of Credit, (iv) any claim or defense against the beneficiary of any Letter of Credit, any transferee of any Letter of Credit, the Administrative Agent, any Lender or any other Person, whether in connection with this Agreement, any Letter of Credit, the transactions contemplated hereby or any unrelated transactions (including the underlying transaction between the Borrower or any Subsidiary and the beneficiary of any Letter of Credit), (v) the occurrence of any Default, (vi) any </w:t>
      </w:r>
      <w:r>
        <w:rPr>
          <w:rFonts w:ascii="Times New Roman" w:cs="Times New Roman" w:eastAsia="Times New Roman" w:hAnsi="Times New Roman"/>
          <w:sz w:val="21"/>
          <w:szCs w:val="21"/>
          <w:i w:val="1"/>
          <w:iCs w:val="1"/>
          <w:color w:val="auto"/>
        </w:rPr>
        <w:t>force majeure</w:t>
      </w:r>
      <w:r>
        <w:rPr>
          <w:rFonts w:ascii="Times New Roman" w:cs="Times New Roman" w:eastAsia="Times New Roman" w:hAnsi="Times New Roman"/>
          <w:sz w:val="21"/>
          <w:szCs w:val="21"/>
          <w:color w:val="auto"/>
        </w:rPr>
        <w:t xml:space="preserve"> or other event that under any rule of law or uniform practices to which any Letter of Credit is subject (including Section 3.14 of ISP 98 or any successor publication of the International Chamber of Commerce) permits a drawing to be made under such Letter of Credit after the stated expiration date thereof or of the Commitments or (vii)any other event or circumstance whatsoever, whether or not similar to any of the foregoing, that might, but for the provisions of this Section, constitute a legal or equitable discharge of or defense against, or provide a right of setoff against, the Borrower’s obligations hereunder. None of the Administrative Agent, the Lenders or the Issuing Banks, 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Issuing Banks;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foregoing shall not be construed to excuse any Issuing Bank from liability to the Borrower to the extent of any damages suffered by the Borrower or any Lender that are caused by such Issuing Bank’ s gross negligence or willful misconduct as determined in a final, non-appealable judgment by a court of competent jurisdiction. In furtherance of the foregoing and without limiting the generality thereof, the parties agree that, with respect to documents presented which appear on their face to be in substantial compliance with the terms of a Letter of Credit, the applicable Issuing Bank may, acting in good faith, either accept and make payment upon such documents without responsibility for further investigation or refuse to accept and make payment upon such documents if such documents are not in strict compliance with the terms of such Letter of Credit.</w:t>
      </w:r>
    </w:p>
    <w:p>
      <w:pPr>
        <w:spacing w:after="0" w:line="200" w:lineRule="exact"/>
        <w:rPr>
          <w:sz w:val="20"/>
          <w:szCs w:val="20"/>
          <w:color w:val="auto"/>
        </w:rPr>
      </w:pPr>
    </w:p>
    <w:p>
      <w:pPr>
        <w:spacing w:after="0" w:line="246" w:lineRule="exact"/>
        <w:rPr>
          <w:sz w:val="20"/>
          <w:szCs w:val="20"/>
          <w:color w:val="auto"/>
        </w:rPr>
      </w:pPr>
    </w:p>
    <w:p>
      <w:pPr>
        <w:jc w:val="both"/>
        <w:ind w:firstLine="1304"/>
        <w:spacing w:after="0" w:line="250" w:lineRule="auto"/>
        <w:tabs>
          <w:tab w:leader="none" w:pos="1642"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Disbursement Procedures.</w:t>
      </w:r>
      <w:r>
        <w:rPr>
          <w:rFonts w:ascii="Times New Roman" w:cs="Times New Roman" w:eastAsia="Times New Roman" w:hAnsi="Times New Roman"/>
          <w:sz w:val="22"/>
          <w:szCs w:val="22"/>
          <w:color w:val="auto"/>
        </w:rPr>
        <w:t xml:space="preserve"> Each Issuing Bank shall, following its receipt thereof, examine all documents purporting to represent a demand for payment under a Letter of Credit within the time period provided by the terms and conditions under such Letter of Credit. After such examination, each Issuing Bank shall promptly notify the Administrative Agent and the Borrower by telephone (confirmed by telecopy or email) of such demand for payment and whether such Issuing Bank has made or will make an LC Disbursement thereunder;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failure to give or delay in giving such notice shall not (i) relieve the Borrower of its obligation to reimburse such Issuing Bank and the Lenders with respect to any such LC Disbursement or (ii) relieve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22"/>
          <w:szCs w:val="22"/>
          <w:color w:val="auto"/>
        </w:rPr>
        <w:t>Lender’s obligation to acquire participations as required pursuant to paragraph (d) of this Section 2.03.</w:t>
      </w:r>
    </w:p>
    <w:p>
      <w:pPr>
        <w:spacing w:after="0" w:line="220" w:lineRule="exact"/>
        <w:rPr>
          <w:sz w:val="20"/>
          <w:szCs w:val="20"/>
          <w:color w:val="auto"/>
        </w:rPr>
      </w:pPr>
    </w:p>
    <w:p>
      <w:pPr>
        <w:jc w:val="both"/>
        <w:ind w:firstLine="1304"/>
        <w:spacing w:after="0" w:line="260" w:lineRule="auto"/>
        <w:tabs>
          <w:tab w:leader="none" w:pos="1642" w:val="left"/>
        </w:tabs>
        <w:numPr>
          <w:ilvl w:val="1"/>
          <w:numId w:val="2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Interim Interest.</w:t>
      </w:r>
      <w:r>
        <w:rPr>
          <w:rFonts w:ascii="Times New Roman" w:cs="Times New Roman" w:eastAsia="Times New Roman" w:hAnsi="Times New Roman"/>
          <w:sz w:val="21"/>
          <w:szCs w:val="21"/>
          <w:color w:val="auto"/>
        </w:rPr>
        <w:t xml:space="preserve"> If any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(i) in the case of any LC Disbursement denominated in dollars, and at all times following the conversion to dollars of an LC Disbursement made in Canadian Dollars, Euros or Pounds Sterling pursuant to paragraph (e) or (l) of this Section, at the rate per annum then applicable to ABR Revolving Loans, and (ii) in the case of any LC Disbursement denominated in Canadian Dollars, Euros or Pounds Sterling, at all times prior to its conversion to dollars pursuant to paragraph</w:t>
      </w:r>
    </w:p>
    <w:p>
      <w:pPr>
        <w:spacing w:after="0" w:line="3" w:lineRule="exact"/>
        <w:rPr>
          <w:rFonts w:ascii="Times New Roman" w:cs="Times New Roman" w:eastAsia="Times New Roman" w:hAnsi="Times New Roman"/>
          <w:sz w:val="21"/>
          <w:szCs w:val="21"/>
          <w:color w:val="auto"/>
        </w:rPr>
      </w:pPr>
    </w:p>
    <w:p>
      <w:pPr>
        <w:jc w:val="both"/>
        <w:ind w:firstLine="8"/>
        <w:spacing w:after="0" w:line="258" w:lineRule="auto"/>
        <w:tabs>
          <w:tab w:leader="none" w:pos="311" w:val="left"/>
        </w:tabs>
        <w:numPr>
          <w:ilvl w:val="0"/>
          <w:numId w:val="2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or (l) of this Section, a rate per annum reasonably determined by the applicable Issuing Bank (which determination will be conclusive absent manifest error) to represent its cost of funds plus the Applicable Rate used to determine interest applicable to Term Benchmark Loans;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 Borrower fails to reimburse such LC Disbursement when due pursuant to paragraph</w:t>
      </w:r>
    </w:p>
    <w:p>
      <w:pPr>
        <w:spacing w:after="0" w:line="2" w:lineRule="exact"/>
        <w:rPr>
          <w:rFonts w:ascii="Times New Roman" w:cs="Times New Roman" w:eastAsia="Times New Roman" w:hAnsi="Times New Roman"/>
          <w:sz w:val="21"/>
          <w:szCs w:val="21"/>
          <w:color w:val="auto"/>
        </w:rPr>
      </w:pPr>
    </w:p>
    <w:p>
      <w:pPr>
        <w:jc w:val="both"/>
        <w:ind w:firstLine="8"/>
        <w:spacing w:after="0" w:line="245" w:lineRule="auto"/>
        <w:tabs>
          <w:tab w:leader="none" w:pos="309"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this Section, then Section 2.11(d) shall apply. Interest accrued pursuant to this paragraph shall be for the account of such Issuing Bank, except that interest accrued on and after the date of payment pursuant to paragraph (e) of this Section to reimburse such Issuing Bank shall be for the account of the Lenders to the extent of such payment.</w:t>
      </w:r>
    </w:p>
    <w:p>
      <w:pPr>
        <w:spacing w:after="0" w:line="200" w:lineRule="exact"/>
        <w:rPr>
          <w:rFonts w:ascii="Times New Roman" w:cs="Times New Roman" w:eastAsia="Times New Roman" w:hAnsi="Times New Roman"/>
          <w:sz w:val="22"/>
          <w:szCs w:val="22"/>
          <w:color w:val="auto"/>
        </w:rPr>
      </w:pPr>
    </w:p>
    <w:p>
      <w:pPr>
        <w:jc w:val="both"/>
        <w:ind w:firstLine="1304"/>
        <w:spacing w:after="0" w:line="248" w:lineRule="auto"/>
        <w:tabs>
          <w:tab w:leader="none" w:pos="1567" w:val="left"/>
        </w:tabs>
        <w:numPr>
          <w:ilvl w:val="1"/>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Replacement of Issuing Banks.</w:t>
      </w:r>
      <w:r>
        <w:rPr>
          <w:rFonts w:ascii="Times New Roman" w:cs="Times New Roman" w:eastAsia="Times New Roman" w:hAnsi="Times New Roman"/>
          <w:sz w:val="22"/>
          <w:szCs w:val="22"/>
          <w:color w:val="auto"/>
        </w:rPr>
        <w:t xml:space="preserve"> Each Issuing Bank may be replaced at any time by written agreement among the Borrower, the Administrative Agent, the replaced Issuing Bank and the successor Issuing Bank. The Administrative Agent shall notify the Lenders of any such replacement of such Issuing Bank. At the time any such replacement shall become effective, the Borrower shall pay all unpaid fees accrued for the account of the replaced Issuing Bank pursuant to Section 2.10(b). From and after the effective date of any such replacement, (i) the successor Issuing Bank shall have all the rights and obligations of such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replacement of any Issuing Bank hereunder, the replaced Issuing Bank shall remain a party hereto and shall continue to have all the rights and obligations of an Issuing Bank under this Agreement with respect to Letters of Credit issued by it prior to such replacement, but shall not be required to issue additional Letters of Credit.</w:t>
      </w:r>
    </w:p>
    <w:p>
      <w:pPr>
        <w:spacing w:after="0" w:line="188" w:lineRule="exact"/>
        <w:rPr>
          <w:rFonts w:ascii="Times New Roman" w:cs="Times New Roman" w:eastAsia="Times New Roman" w:hAnsi="Times New Roman"/>
          <w:sz w:val="22"/>
          <w:szCs w:val="22"/>
          <w:color w:val="auto"/>
        </w:rPr>
      </w:pPr>
    </w:p>
    <w:p>
      <w:pPr>
        <w:jc w:val="both"/>
        <w:ind w:firstLine="1304"/>
        <w:spacing w:after="0" w:line="250" w:lineRule="auto"/>
        <w:tabs>
          <w:tab w:leader="none" w:pos="1581" w:val="left"/>
        </w:tabs>
        <w:numPr>
          <w:ilvl w:val="1"/>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Collateralization.</w:t>
      </w:r>
      <w:r>
        <w:rPr>
          <w:rFonts w:ascii="Times New Roman" w:cs="Times New Roman" w:eastAsia="Times New Roman" w:hAnsi="Times New Roman"/>
          <w:sz w:val="22"/>
          <w:szCs w:val="22"/>
          <w:color w:val="auto"/>
        </w:rPr>
        <w:t xml:space="preserve"> If any Event of Default shall occur and be continuing, on the earlier of (i) the third Business Day after the Borrower shall receive notice from the Administrative Agent or the Majority Lenders demanding the deposit of cash collateral pursuant to this paragraph and (ii) the date on which the maturity of the Loans shall be accelerated or all the Commitments terminated, the Borrower shall deposit in an account or accounts with the Administrative Agent, in the name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85" w:name="page286"/>
    <w:bookmarkEnd w:id="285"/>
    <w:p>
      <w:pPr>
        <w:jc w:val="both"/>
        <w:spacing w:after="0" w:line="259" w:lineRule="auto"/>
        <w:rPr>
          <w:sz w:val="20"/>
          <w:szCs w:val="20"/>
          <w:color w:val="auto"/>
        </w:rPr>
      </w:pPr>
      <w:r>
        <w:rPr>
          <w:rFonts w:ascii="Times New Roman" w:cs="Times New Roman" w:eastAsia="Times New Roman" w:hAnsi="Times New Roman"/>
          <w:sz w:val="21"/>
          <w:szCs w:val="21"/>
          <w:color w:val="auto"/>
        </w:rPr>
        <w:t xml:space="preserve">Administrative Agent and for the benefit of the Lenders, an amount in cash equal to the sum of (i) the aggregate undrawn amount of all outstanding Letters of Credit and (ii) the aggregate amount of all unreimbursed LC Disbursements and all interest accrued and unpaid thereon. Amounts payable under the preceding sentence in respect of any Letter of Credit or LC Disbursement shall be payable in the currency of such Letter of Credit or LC Disbursement, except that LC Disbursements in Canadian Dollars, Euros or Pounds Sterling in respect of which the Borrower’s reimbursement obligations have been converted to obligations in dollars as provided in paragraph </w:t>
      </w:r>
      <w:r>
        <w:rPr>
          <w:rFonts w:ascii="Times New Roman" w:cs="Times New Roman" w:eastAsia="Times New Roman" w:hAnsi="Times New Roman"/>
          <w:sz w:val="21"/>
          <w:szCs w:val="21"/>
          <w:b w:val="1"/>
          <w:bCs w:val="1"/>
          <w:color w:val="auto"/>
        </w:rPr>
        <w:t>(e)</w:t>
      </w:r>
      <w:r>
        <w:rPr>
          <w:rFonts w:ascii="Times New Roman" w:cs="Times New Roman" w:eastAsia="Times New Roman" w:hAnsi="Times New Roman"/>
          <w:sz w:val="21"/>
          <w:szCs w:val="21"/>
          <w:color w:val="auto"/>
        </w:rPr>
        <w:t xml:space="preserve"> above, and interest accrued thereon, shall be payable in dollars. The obligation to deposit such cash collateral shall become effective immediately, and such deposit shall become immediately due and payable, without demand or other notice of any kind, upon the occurrence of any Event of Default with respect to the Borrower described in clause</w:t>
      </w:r>
    </w:p>
    <w:p>
      <w:pPr>
        <w:spacing w:after="0" w:line="7" w:lineRule="exact"/>
        <w:rPr>
          <w:sz w:val="20"/>
          <w:szCs w:val="20"/>
          <w:color w:val="auto"/>
        </w:rPr>
      </w:pPr>
    </w:p>
    <w:p>
      <w:pPr>
        <w:jc w:val="both"/>
        <w:ind w:firstLine="8"/>
        <w:spacing w:after="0" w:line="246" w:lineRule="auto"/>
        <w:tabs>
          <w:tab w:leader="none" w:pos="318" w:val="left"/>
        </w:tabs>
        <w:numPr>
          <w:ilvl w:val="0"/>
          <w:numId w:val="2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or </w:t>
      </w: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22"/>
          <w:szCs w:val="22"/>
          <w:color w:val="auto"/>
        </w:rPr>
        <w:t xml:space="preserve"> of Section 7.01. Such deposit shall be held by the Administrative Agent as collateral for the payment and performance of the obligations of the Borrower under this Agreement. The Administrative Agent shall have exclusive dominion and control, including the exclusive right of withdrawal, over such account or accounts. Other than any interest earned on the investment of such deposits, which investment shall be in Temporary Cash Investments and shall be made in the discretion of the Administrative Agent (or, at any time when no Default or Event of Default has occurred and is continuing, shall be made at the direction of the Borrower) and at the Borrower’s risk and expense, such deposits shall not bear interest. Interest or profits, if any, on such investments shall accumulate in such account or accounts. Moneys in such account or accounts shall be applied by the Administrative Agent to reimburse each Issuing Bank for LC Disbursements for which it has not been reimbursed and, to the extent not so applied, shall be held for the satisfaction of the reimbursement obligations of the Borrower for the LC Exposure at such time or, if the maturity of the Loans has been accelerated (but subject to the consent of Lenders with LC Exposures representing more than 50% of the LC Exposures and the Issuing Banks with outstanding Letters of Credit), be applied to satisfy other obligations of the Borrower under this Agreement. If the Borrower is required to provide an amount of cash collateral under this paragraph, then (1) if the maturity of the Loans has not been accelerated and the LC Exposure shall be reduced to an amount below the amount so deposited, the Administrative Agent will return to the Borrower any excess of the amount so deposited over the LC Exposure and (2) such amount (to the extent not applied as provided above in this paragraph) shall be returned to the Borrower within three Business Days after all Events of Default have been cured or waived.</w:t>
      </w:r>
    </w:p>
    <w:p>
      <w:pPr>
        <w:spacing w:after="0" w:line="199" w:lineRule="exact"/>
        <w:rPr>
          <w:rFonts w:ascii="Times New Roman" w:cs="Times New Roman" w:eastAsia="Times New Roman" w:hAnsi="Times New Roman"/>
          <w:sz w:val="22"/>
          <w:szCs w:val="22"/>
          <w:b w:val="1"/>
          <w:bCs w:val="1"/>
          <w:color w:val="auto"/>
        </w:rPr>
      </w:pPr>
    </w:p>
    <w:p>
      <w:pPr>
        <w:jc w:val="both"/>
        <w:ind w:firstLine="1304"/>
        <w:spacing w:after="0" w:line="250" w:lineRule="auto"/>
        <w:tabs>
          <w:tab w:leader="none" w:pos="1602" w:val="left"/>
        </w:tabs>
        <w:numPr>
          <w:ilvl w:val="1"/>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Issuing Bank Reports.</w:t>
      </w:r>
      <w:r>
        <w:rPr>
          <w:rFonts w:ascii="Times New Roman" w:cs="Times New Roman" w:eastAsia="Times New Roman" w:hAnsi="Times New Roman"/>
          <w:sz w:val="22"/>
          <w:szCs w:val="22"/>
          <w:color w:val="auto"/>
        </w:rPr>
        <w:t xml:space="preserve"> Unless otherwise agreed by the Administrative Agent, each Issuing Bank shall report in writing to the Administrative Agent (i) on or prior to each Business Day on which such Issuing Bank issues, amends, renews or extends any Letter of Credit, the date of such issuance, amendment, renewal or extension, and the currency and aggregate face amount of the Letters of Credit issued, amended, renewed or extended by it and outstanding after giving effect to such issuance, amendment, renewal or extension (and whether the amount thereof shall have changed), it being understood that such Issuing Bank shall not effect any issuance, renewal, extension or amendment resulting in an increase in the amount of any Letter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86" w:name="page287"/>
    <w:bookmarkEnd w:id="286"/>
    <w:p>
      <w:pPr>
        <w:jc w:val="both"/>
        <w:spacing w:after="0" w:line="264" w:lineRule="auto"/>
        <w:rPr>
          <w:sz w:val="20"/>
          <w:szCs w:val="20"/>
          <w:color w:val="auto"/>
        </w:rPr>
      </w:pPr>
      <w:r>
        <w:rPr>
          <w:rFonts w:ascii="Times New Roman" w:cs="Times New Roman" w:eastAsia="Times New Roman" w:hAnsi="Times New Roman"/>
          <w:sz w:val="21"/>
          <w:szCs w:val="21"/>
          <w:color w:val="auto"/>
        </w:rPr>
        <w:t>without first obtaining written confirmation from the Administrative Agent that such increase is then permitted under this Agreement, (ii) on each Business Day on which such Issuing Bank makes any LC Disbursement, the date, currency and amount of such LC Disbursement, (iii) on any Business Day on which the Borrower fails to reimburse an LC Disbursement required to be reimbursed to such Issuing Bank on such day, the date of such failure and the currency and amount of such LC Disbursement and</w:t>
      </w:r>
    </w:p>
    <w:p>
      <w:pPr>
        <w:spacing w:after="0" w:line="1" w:lineRule="exact"/>
        <w:rPr>
          <w:sz w:val="20"/>
          <w:szCs w:val="20"/>
          <w:color w:val="auto"/>
        </w:rPr>
      </w:pPr>
    </w:p>
    <w:p>
      <w:pPr>
        <w:ind w:right="20" w:firstLine="8"/>
        <w:spacing w:after="0" w:line="248" w:lineRule="auto"/>
        <w:tabs>
          <w:tab w:leader="none" w:pos="376"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any other Business Day, such other information as the Administrative Agent shall reasonably request as to the Letters of Credit issued by such Issuing Bank.</w:t>
      </w:r>
    </w:p>
    <w:p>
      <w:pPr>
        <w:spacing w:after="0" w:line="182" w:lineRule="exact"/>
        <w:rPr>
          <w:rFonts w:ascii="Times New Roman" w:cs="Times New Roman" w:eastAsia="Times New Roman" w:hAnsi="Times New Roman"/>
          <w:sz w:val="22"/>
          <w:szCs w:val="22"/>
          <w:color w:val="auto"/>
        </w:rPr>
      </w:pPr>
    </w:p>
    <w:p>
      <w:pPr>
        <w:jc w:val="both"/>
        <w:ind w:firstLine="1304"/>
        <w:spacing w:after="0" w:line="248" w:lineRule="auto"/>
        <w:tabs>
          <w:tab w:leader="none" w:pos="1594" w:val="left"/>
        </w:tabs>
        <w:numPr>
          <w:ilvl w:val="1"/>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Conversion.</w:t>
      </w:r>
      <w:r>
        <w:rPr>
          <w:rFonts w:ascii="Times New Roman" w:cs="Times New Roman" w:eastAsia="Times New Roman" w:hAnsi="Times New Roman"/>
          <w:sz w:val="22"/>
          <w:szCs w:val="22"/>
          <w:color w:val="auto"/>
        </w:rPr>
        <w:t xml:space="preserve"> In the event that the Loans become immediately due and payable on any date pursuant to Section 7.01, all amounts (i) that the Borrower is at the time or becomes thereafter required to reimburse or otherwise pay to the Administrative Agent in respect of LC Disbursements made under any Letter of Credit denominated in Canadian Dollars, Euros or Pounds Sterling (other than amounts in respect of which the Borrower has deposited cash collateral, if such cash collateral was deposited in the applicable currency), (ii) that the Lenders are at the time or become thereafter required to pay to the Administrative Agent (and the Administrative Agent is at the time or becomes thereafter required to distribute to the applicable Issuing Bank) pursuant to paragraph </w:t>
      </w: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22"/>
          <w:szCs w:val="22"/>
          <w:color w:val="auto"/>
        </w:rPr>
        <w:t xml:space="preserve"> of this Section in respect of unreimbursed LC Disbursements made under any Letter of Credit denominated in Canadian Dollars, Euros or Pounds Sterling and (iii) of each Lender’s participation in any Letter of Credit denominated in Canadian Dollars, Euros or Pounds Sterling under which an LC Disbursement has been made shall, automatically and with no further action required, be converted into the Dollar Equivalent, calculated using the LC Exchange Rates on such date (or in the case of any LC Disbursement made after such date, on the date such LC Disbursement is made), of such amounts. On and after such conversion, all amounts accruing and owed to the Administrative Agent, any Issuing Bank or any Lender in respect of the obligations described in this paragraph shall accrue and be payable in dollars at the rates otherwise applicable hereunder.</w:t>
      </w:r>
    </w:p>
    <w:p>
      <w:pPr>
        <w:spacing w:after="0" w:line="188"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2.04. </w:t>
      </w:r>
      <w:r>
        <w:rPr>
          <w:rFonts w:ascii="Times New Roman" w:cs="Times New Roman" w:eastAsia="Times New Roman" w:hAnsi="Times New Roman"/>
          <w:sz w:val="22"/>
          <w:szCs w:val="22"/>
          <w:u w:val="single" w:color="auto"/>
          <w:color w:val="auto"/>
        </w:rPr>
        <w:t>Swingline Loans.</w:t>
      </w:r>
      <w:r>
        <w:rPr>
          <w:rFonts w:ascii="Times New Roman" w:cs="Times New Roman" w:eastAsia="Times New Roman" w:hAnsi="Times New Roman"/>
          <w:sz w:val="22"/>
          <w:szCs w:val="22"/>
          <w:color w:val="auto"/>
        </w:rPr>
        <w:t xml:space="preserve"> (a) Subject to the terms and conditions set forth herein, each Swingline Lender agrees to make Swingline Loans to the Borrower from time to time during the Availability Period in an aggregate principal amount at any time outstanding that will not result in (i) the aggregate principal amount of outstanding Swingline Loans exceeding $50,000,000, (ii) the aggregate principal amount of outstanding Swingline Loans made by such Swingline Lender exceeding its Swingline Commitment, (iii) the Credit Exposure of any Lender exceeding its Commitment, (iv) the aggregate amount of the Credit Exposures exceeding the Borrowing Base Availability then in effect or (v) the aggregate amount of the Credit Exposures exceeding the Total Commitment;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Swingline Lender shall be required to make a Swingline Loan to refinance an outstanding Swingline Loan. Each Borrowing of Swingline Loans shall be of a Type as agreed with the Swingline Lender. Within the foregoing limits and subject to the terms and conditions set forth herein, the Borrower may borrow, prepay and reborrow Swingline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87" w:name="page288"/>
    <w:bookmarkEnd w:id="287"/>
    <w:p>
      <w:pPr>
        <w:jc w:val="both"/>
        <w:ind w:firstLine="1304"/>
        <w:spacing w:after="0" w:line="247" w:lineRule="auto"/>
        <w:tabs>
          <w:tab w:leader="none" w:pos="1615"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To request a Swingline Loan directly from one or more Swingline Lenders, the Borrower shall notify the Administrative Agent and each applicable Swingline Lender of such request by delivering a Borrowing Request not later than 12:00 noon (or such later time as the applicable Swingline Lender may agree), New York City time, on the day of such proposed Swingline Loan. Each such Borrowing Request shall be irrevocable and shall be effected by email of scanned electronic format of a written Borrowing Request signed by the Borrower to 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Borrowing Request is submitted through an Approved Borrower Portal, the foregoing signature requirement may be waived at the sole discretion of the Administrative Agent. Each such Borrowing Request shall be irrevocable and shall specify the requested date (which shall be a Business Day), the amount of the requested Swingline Loan, which shall be in an integral multiple of $1,000,000 and not less than $5,000,000 (or as otherwise agreed with the applicable Swingline Lender), the location and number of the account of the Borrower to which funds are to be disbursed and such other information as required by the applicable Swingline Agreement. The Administrative Agent will promptly advise each applicable Swingline Lender of any such Borrowing Request received from the Borrower. Each applicable Swingline Lender shall make each Swingline Loan to be made by it available to the Borrower by means of a wire transfer to the account specified in such Borrowing Request, by 3:00 p.m., New York City time, on the requested date of such Swingline Loan.</w:t>
      </w:r>
    </w:p>
    <w:p>
      <w:pPr>
        <w:spacing w:after="0" w:line="202" w:lineRule="exact"/>
        <w:rPr>
          <w:rFonts w:ascii="Times New Roman" w:cs="Times New Roman" w:eastAsia="Times New Roman" w:hAnsi="Times New Roman"/>
          <w:sz w:val="22"/>
          <w:szCs w:val="22"/>
          <w:color w:val="auto"/>
        </w:rPr>
      </w:pPr>
    </w:p>
    <w:p>
      <w:pPr>
        <w:jc w:val="both"/>
        <w:ind w:left="1300" w:firstLine="652"/>
        <w:spacing w:after="0" w:line="252" w:lineRule="auto"/>
        <w:tabs>
          <w:tab w:leader="none" w:pos="2267" w:val="left"/>
        </w:tabs>
        <w:numPr>
          <w:ilvl w:val="1"/>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Swingline Lender at its option may make any Swingline Loan by causing any domestic or foreign branch or Affiliate of such Swingline Lender to make such Loan;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exercise of such option shall not affect the obligation of the Borrower to repay such Loan, or the obligation of any Lender to acquire a participation therein, in accordance with the terms of this Agreement.</w:t>
      </w:r>
    </w:p>
    <w:p>
      <w:pPr>
        <w:spacing w:after="0" w:line="179" w:lineRule="exact"/>
        <w:rPr>
          <w:rFonts w:ascii="Times New Roman" w:cs="Times New Roman" w:eastAsia="Times New Roman" w:hAnsi="Times New Roman"/>
          <w:sz w:val="22"/>
          <w:szCs w:val="22"/>
          <w:color w:val="auto"/>
        </w:rPr>
      </w:pPr>
    </w:p>
    <w:p>
      <w:pPr>
        <w:jc w:val="both"/>
        <w:ind w:firstLine="1304"/>
        <w:spacing w:after="0" w:line="248" w:lineRule="auto"/>
        <w:tabs>
          <w:tab w:leader="none" w:pos="1603"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Swingline Lender may, by written notice given to the Administrative Agent not later than 12:00 noon, New York City time, on any Business Day require the Lenders to acquire participations on such Business Day in all or a portion of such Swingline Lender’s outstanding Swingline Loans. Such notice from a Swingline Lender to the Administrative Agent shall specify the aggregate amount of Swingline Loans in which Lenders will participate. Promptly upon receipt of such notice, the Administrative Agent will give notice thereof to each Lender, specifying in such notice such Lender’s Applicable Percentage of such Swingline Loan or Swingline Loans. Each Lender hereby absolutely and unconditionally agrees, upon receipt of notice as provided above, to pay to the Administrative Agent, for the account of the applicable Swingline Lender, such Lender’s Applicable Percentage of such Swingline Loan or Swingline Loans. Each Lender acknowledges and agrees that its obligation to acquire participations in Swingline Loans pursuant to this paragraph is absolute and unconditional and shall not be affected by any circumstance whatsoever, including the occurrence and continuance of a Default or reduction or termination of the Commitments, and that each such payment shall be made without any offset, abatement, withholding or reduction whatsoever. Each Lender shall comply with its obligation under this paragraph by wire transfer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88" w:name="page289"/>
    <w:bookmarkEnd w:id="288"/>
    <w:p>
      <w:pPr>
        <w:jc w:val="both"/>
        <w:spacing w:after="0" w:line="248" w:lineRule="auto"/>
        <w:rPr>
          <w:sz w:val="20"/>
          <w:szCs w:val="20"/>
          <w:color w:val="auto"/>
        </w:rPr>
      </w:pPr>
      <w:r>
        <w:rPr>
          <w:rFonts w:ascii="Times New Roman" w:cs="Times New Roman" w:eastAsia="Times New Roman" w:hAnsi="Times New Roman"/>
          <w:sz w:val="22"/>
          <w:szCs w:val="22"/>
          <w:color w:val="auto"/>
        </w:rPr>
        <w:t>immediately available funds, in the same manner as provided in Section 2.05 with respect to Loans made by such Lender (and Section 2.05 shall apply, mutatis mutandis, to the payment obligations of the Lenders), and the Administrative Agent shall promptly pay to the applicable Swingline Lender the amounts so received by it from the Lenders. The Administrative Agent shall notify the Borrower of any participations in any Swingline Loan acquired pursuant to this paragraph, and thereafter payments in respect of such Swingline Loan shall be made to the Administrative Agent and not to the applicable Swingline Lender. Any amounts received by a Swingline Lender from the Borrower (or other party on behalf of the Borrower) in respect of a Swingline Loan after receipt by such Swingline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this paragraph and to such Swingline Lender, as their interests may appear; provided that any such payment so remitted shall be repaid to such Swingline Lender or to the Administrative Agent, as the case may be, if and to the extent such payment is required to be refunded to the Borrower for any reason. The purchase of participations in a Swingline Loan pursuant to this paragraph shall not relieve the Borrower of any default in the payment thereof. Upon the funding of any participation in a Swingline Loan by a Lender pursuant to this paragraph, such Loan shall, for all purposes of this Agreement (including with respect to the applicable interest rate), constitute an ABR Revolving Borrowing made by such Lender and shall no longer constitute a Swingline Loan.</w:t>
      </w:r>
    </w:p>
    <w:p>
      <w:pPr>
        <w:spacing w:after="0" w:line="183" w:lineRule="exact"/>
        <w:rPr>
          <w:sz w:val="20"/>
          <w:szCs w:val="20"/>
          <w:color w:val="auto"/>
        </w:rPr>
      </w:pPr>
    </w:p>
    <w:p>
      <w:pPr>
        <w:jc w:val="both"/>
        <w:ind w:firstLine="1304"/>
        <w:spacing w:after="0" w:line="248" w:lineRule="auto"/>
        <w:tabs>
          <w:tab w:leader="none" w:pos="1669"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Swingline Lender may be replaced at any time by written agreement among the Borrower, the Administrative Agent, the replaced Swingline Lender and the successor Swingline Lender. The Administrative Agent shall notify the Lenders of any such replacement of a Swingline Lender. At the time any such replacement shall become effective, the Borrower shall pay all unpaid interest accrued for the account of the replaced Swingline Lender pursuant to Section 2.11(a). From and after the effective date of any such replacement, (x) the successor Swingline Lender shall have all the rights and obligations of the replaced Swingline Lender under this Agreement with respect to Swingline Loans made thereafter and (y) references herein to the term “Swingline Lender” shall be deemed to refer to such successor or to any previous Swingline Lender, or to such successor and all previous Swingline Lenders, as the context shall require. After the replacement of a Swingline Lender hereunder, the replaced Swingline Lender shall remain a party hereto and shall continue to have all the rights and obligations of a Swingline Lender under this Agreement with respect to Swingline Loans made by it prior to its replacement, but shall not be required to make additional Swingline Loans.</w:t>
      </w:r>
    </w:p>
    <w:p>
      <w:pPr>
        <w:spacing w:after="0" w:line="188" w:lineRule="exact"/>
        <w:rPr>
          <w:rFonts w:ascii="Times New Roman" w:cs="Times New Roman" w:eastAsia="Times New Roman" w:hAnsi="Times New Roman"/>
          <w:sz w:val="22"/>
          <w:szCs w:val="22"/>
          <w:color w:val="auto"/>
        </w:rPr>
      </w:pPr>
    </w:p>
    <w:p>
      <w:pPr>
        <w:jc w:val="both"/>
        <w:ind w:firstLine="1304"/>
        <w:spacing w:after="0" w:line="257" w:lineRule="auto"/>
        <w:tabs>
          <w:tab w:leader="none" w:pos="1590"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Swingline Lender may resign as a Swingline Lender at any time upon thirty days’ prior written notice to the Administrative Agent, the Borrower and the Lenders, in which case, such Swingline Lender may be replaced in accordance with Section 2.04(d)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89" w:name="page290"/>
    <w:bookmarkEnd w:id="289"/>
    <w:p>
      <w:pPr>
        <w:jc w:val="both"/>
        <w:ind w:firstLine="1296"/>
        <w:spacing w:after="0" w:line="260" w:lineRule="auto"/>
        <w:rPr>
          <w:sz w:val="20"/>
          <w:szCs w:val="20"/>
          <w:color w:val="auto"/>
        </w:rPr>
      </w:pPr>
      <w:r>
        <w:rPr>
          <w:rFonts w:ascii="Times New Roman" w:cs="Times New Roman" w:eastAsia="Times New Roman" w:hAnsi="Times New Roman"/>
          <w:sz w:val="21"/>
          <w:szCs w:val="21"/>
          <w:color w:val="auto"/>
        </w:rPr>
        <w:t xml:space="preserve">SECTION 2.05. </w:t>
      </w:r>
      <w:r>
        <w:rPr>
          <w:rFonts w:ascii="Times New Roman" w:cs="Times New Roman" w:eastAsia="Times New Roman" w:hAnsi="Times New Roman"/>
          <w:sz w:val="21"/>
          <w:szCs w:val="21"/>
          <w:u w:val="single" w:color="auto"/>
          <w:color w:val="auto"/>
        </w:rPr>
        <w:t>Funding of Borrowings.</w:t>
      </w:r>
      <w:r>
        <w:rPr>
          <w:rFonts w:ascii="Times New Roman" w:cs="Times New Roman" w:eastAsia="Times New Roman" w:hAnsi="Times New Roman"/>
          <w:sz w:val="21"/>
          <w:szCs w:val="21"/>
          <w:color w:val="auto"/>
        </w:rPr>
        <w:t xml:space="preserve"> (a) Each Lender shall make each Loan (other than a Swingline Loan) to be made by it hereunder on the proposed date thereof by wire transfer of immediately available funds in the amount of such Loan by 12:30 p.m., New York City time, to the account of the Administrative Agent most recently designated by it for such purpose by notice to the Lenders. The Administrative Agent will make such Loans available to the Borrower by promptly crediting the amounts so received, in like funds, to an account designated by the Borrower in the applicable Borrowing Request;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ABR Loans made to finance the reimbursement of an LC Disbursement as provided in Section 2.03(e) shall be remitted by the Administrative Agent to the applicable Issuing Bank. Notwithstanding the foregoing provisions of this paragraph, on the Restatement Date, each Lender shall fund its Restatement Date Borrowings by wire transfer of immediately available funds to the account of the Administrative Agent designated by it for such purpose by 12:30 p.m., New York City time, in an amount equal to the excess, if any, of such Lender’s Applicable Percentage of all the Restatement Date Borrowings over the aggregate amount of such Lender’s outstanding loans under the Existing Credit Agreement on the Restatement Date, and the Administrative Agent shall remit to each Lender that was a Lender under the Existing Credit Agreement on such date, from the funds so received, an amount equal to the excess, if any, of the aggregate amount of such Lender’s outstanding loans under the Existing Credit Agreement on the Restatement Date over such Lender’s Applicable Percentage of all the Restatement Date Borrowings.</w:t>
      </w:r>
    </w:p>
    <w:p>
      <w:pPr>
        <w:spacing w:after="0" w:line="185" w:lineRule="exact"/>
        <w:rPr>
          <w:sz w:val="20"/>
          <w:szCs w:val="20"/>
          <w:color w:val="auto"/>
        </w:rPr>
      </w:pPr>
    </w:p>
    <w:p>
      <w:pPr>
        <w:jc w:val="both"/>
        <w:ind w:firstLine="1304"/>
        <w:spacing w:after="0" w:line="248" w:lineRule="auto"/>
        <w:tabs>
          <w:tab w:leader="none" w:pos="1615"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22"/>
          <w:szCs w:val="22"/>
          <w:color w:val="auto"/>
        </w:rPr>
        <w:t xml:space="preserve"> of this Section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 the interest rate applicable to ABR Loans. If such Lender pays such amount to the Administrative Agent, then such amount shall constitute such Lender’s Loan included in such Borrowing. It is agreed that no payment by the Borrower under this paragraph will be subject to any break-funding payment under Section 2.14.</w:t>
      </w:r>
    </w:p>
    <w:p>
      <w:pPr>
        <w:spacing w:after="0" w:line="18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2.06. </w:t>
      </w:r>
      <w:r>
        <w:rPr>
          <w:rFonts w:ascii="Times New Roman" w:cs="Times New Roman" w:eastAsia="Times New Roman" w:hAnsi="Times New Roman"/>
          <w:sz w:val="22"/>
          <w:szCs w:val="22"/>
          <w:u w:val="single" w:color="auto"/>
          <w:color w:val="auto"/>
        </w:rPr>
        <w:t>Interest Elections.</w:t>
      </w:r>
      <w:r>
        <w:rPr>
          <w:rFonts w:ascii="Times New Roman" w:cs="Times New Roman" w:eastAsia="Times New Roman" w:hAnsi="Times New Roman"/>
          <w:sz w:val="22"/>
          <w:szCs w:val="22"/>
          <w:color w:val="auto"/>
        </w:rPr>
        <w:t xml:space="preserve"> (a) Each Borrowing initially shall be of the Type specified in the applicable Borrowing Request and, in the case of a Term Benchmark Borrowing, shall have an initial Interest Period as specified in such Borrowing Request. Thereafter, the Borrower may elect to convert such Borrowing 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90" w:name="page291"/>
    <w:bookmarkEnd w:id="290"/>
    <w:p>
      <w:pPr>
        <w:jc w:val="both"/>
        <w:spacing w:after="0" w:line="253" w:lineRule="auto"/>
        <w:rPr>
          <w:sz w:val="20"/>
          <w:szCs w:val="20"/>
          <w:color w:val="auto"/>
        </w:rPr>
      </w:pPr>
      <w:r>
        <w:rPr>
          <w:rFonts w:ascii="Times New Roman" w:cs="Times New Roman" w:eastAsia="Times New Roman" w:hAnsi="Times New Roman"/>
          <w:sz w:val="22"/>
          <w:szCs w:val="22"/>
          <w:color w:val="auto"/>
        </w:rPr>
        <w:t>different Type or to continue such Borrowing and, in the case of a Term Benchmark Borrowing, may 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Swingline Loans shall be subject to the provisions of the applicable Swingline Agreement.</w:t>
      </w:r>
    </w:p>
    <w:p>
      <w:pPr>
        <w:spacing w:after="0" w:line="179" w:lineRule="exact"/>
        <w:rPr>
          <w:sz w:val="20"/>
          <w:szCs w:val="20"/>
          <w:color w:val="auto"/>
        </w:rPr>
      </w:pPr>
    </w:p>
    <w:p>
      <w:pPr>
        <w:jc w:val="both"/>
        <w:ind w:firstLine="1304"/>
        <w:spacing w:after="0" w:line="262" w:lineRule="auto"/>
        <w:tabs>
          <w:tab w:leader="none" w:pos="1629" w:val="left"/>
        </w:tabs>
        <w:numPr>
          <w:ilvl w:val="1"/>
          <w:numId w:val="2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make an election pursuant to this Section, the Borrower shall notify the Administrative Agent of such election by telephone or email of scanned electronic format by the time that a Borrowing Request would be required under Section 2.02 if the Borrower were requesting a Borrowing of the Type resulting from such election to be made on the effective date of such election. Each (i) telephonic Interest Election Request shall be irrevocable and shall be confirmed promptly by hand delivery, telecopy or email of scanned electronic format to the Administrative Agent of a written Interest Election Request and</w:t>
      </w:r>
    </w:p>
    <w:p>
      <w:pPr>
        <w:spacing w:after="0" w:line="1" w:lineRule="exact"/>
        <w:rPr>
          <w:rFonts w:ascii="Times New Roman" w:cs="Times New Roman" w:eastAsia="Times New Roman" w:hAnsi="Times New Roman"/>
          <w:sz w:val="21"/>
          <w:szCs w:val="21"/>
          <w:color w:val="auto"/>
        </w:rPr>
      </w:pPr>
    </w:p>
    <w:p>
      <w:pPr>
        <w:jc w:val="both"/>
        <w:ind w:firstLine="8"/>
        <w:spacing w:after="0" w:line="245" w:lineRule="auto"/>
        <w:tabs>
          <w:tab w:leader="none" w:pos="353"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Interest Election Request shall be irrevocable and shall be signed by the Borrower; provided that, if such Interest Election Request is submitted through an Approved Borrower Portal, the foregoing signature requirement may be waived at the sole discretion of the Administrative Agent.</w:t>
      </w:r>
    </w:p>
    <w:p>
      <w:pPr>
        <w:spacing w:after="0" w:line="186" w:lineRule="exact"/>
        <w:rPr>
          <w:rFonts w:ascii="Times New Roman" w:cs="Times New Roman" w:eastAsia="Times New Roman" w:hAnsi="Times New Roman"/>
          <w:sz w:val="22"/>
          <w:szCs w:val="22"/>
          <w:color w:val="auto"/>
        </w:rPr>
      </w:pPr>
    </w:p>
    <w:p>
      <w:pPr>
        <w:ind w:left="1620" w:hanging="316"/>
        <w:spacing w:after="0"/>
        <w:tabs>
          <w:tab w:leader="none" w:pos="1620" w:val="left"/>
        </w:tabs>
        <w:numPr>
          <w:ilvl w:val="1"/>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telephonic or written Interest Election Request shall specify the following information in compliance</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Section 2.01:</w:t>
      </w:r>
    </w:p>
    <w:p>
      <w:pPr>
        <w:spacing w:after="0" w:line="207" w:lineRule="exact"/>
        <w:rPr>
          <w:rFonts w:ascii="Times New Roman" w:cs="Times New Roman" w:eastAsia="Times New Roman" w:hAnsi="Times New Roman"/>
          <w:sz w:val="22"/>
          <w:szCs w:val="22"/>
          <w:color w:val="auto"/>
        </w:rPr>
      </w:pPr>
    </w:p>
    <w:p>
      <w:pPr>
        <w:jc w:val="both"/>
        <w:ind w:left="1300" w:firstLine="652"/>
        <w:spacing w:after="0" w:line="252" w:lineRule="auto"/>
        <w:tabs>
          <w:tab w:leader="none" w:pos="2294" w:val="left"/>
        </w:tabs>
        <w:numPr>
          <w:ilvl w:val="2"/>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Borrowing to which such Interest Election Request applies and, if different options are being elected with respect to different portions thereof, the portions thereof to be allocated to each resulting Borrowing (in which case the information to be specified pursuant to clauses </w:t>
      </w:r>
      <w:r>
        <w:rPr>
          <w:rFonts w:ascii="Times New Roman" w:cs="Times New Roman" w:eastAsia="Times New Roman" w:hAnsi="Times New Roman"/>
          <w:sz w:val="22"/>
          <w:szCs w:val="22"/>
          <w:b w:val="1"/>
          <w:bCs w:val="1"/>
          <w:color w:val="auto"/>
        </w:rPr>
        <w:t>(3)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(4)</w:t>
      </w:r>
      <w:r>
        <w:rPr>
          <w:rFonts w:ascii="Times New Roman" w:cs="Times New Roman" w:eastAsia="Times New Roman" w:hAnsi="Times New Roman"/>
          <w:sz w:val="22"/>
          <w:szCs w:val="22"/>
          <w:color w:val="auto"/>
        </w:rPr>
        <w:t xml:space="preserve"> below shall be specified for each resulting Borrowing);</w:t>
      </w:r>
    </w:p>
    <w:p>
      <w:pPr>
        <w:spacing w:after="0" w:line="192" w:lineRule="exact"/>
        <w:rPr>
          <w:rFonts w:ascii="Times New Roman" w:cs="Times New Roman" w:eastAsia="Times New Roman" w:hAnsi="Times New Roman"/>
          <w:sz w:val="22"/>
          <w:szCs w:val="22"/>
          <w:color w:val="auto"/>
        </w:rPr>
      </w:pPr>
    </w:p>
    <w:p>
      <w:pPr>
        <w:ind w:left="1300" w:firstLine="652"/>
        <w:spacing w:after="0" w:line="271" w:lineRule="auto"/>
        <w:tabs>
          <w:tab w:leader="none" w:pos="2281" w:val="left"/>
        </w:tabs>
        <w:numPr>
          <w:ilvl w:val="2"/>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effective date of the election made pursuant to such Interest Election Request, which shall be a Business Day;</w:t>
      </w:r>
    </w:p>
    <w:p>
      <w:pPr>
        <w:spacing w:after="0" w:line="157" w:lineRule="exact"/>
        <w:rPr>
          <w:rFonts w:ascii="Times New Roman" w:cs="Times New Roman" w:eastAsia="Times New Roman" w:hAnsi="Times New Roman"/>
          <w:sz w:val="22"/>
          <w:szCs w:val="22"/>
          <w:color w:val="auto"/>
        </w:rPr>
      </w:pPr>
    </w:p>
    <w:p>
      <w:pPr>
        <w:ind w:left="1300" w:firstLine="652"/>
        <w:spacing w:after="0" w:line="271" w:lineRule="auto"/>
        <w:tabs>
          <w:tab w:leader="none" w:pos="2281" w:val="left"/>
        </w:tabs>
        <w:numPr>
          <w:ilvl w:val="2"/>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the resulting Borrowing is to be an ABR Borrowing, a Term Benchmark Borrowing or, if applicable pursuant to Section 2.12, an RFR Borrowing; and</w:t>
      </w:r>
    </w:p>
    <w:p>
      <w:pPr>
        <w:spacing w:after="0" w:line="157" w:lineRule="exact"/>
        <w:rPr>
          <w:rFonts w:ascii="Times New Roman" w:cs="Times New Roman" w:eastAsia="Times New Roman" w:hAnsi="Times New Roman"/>
          <w:sz w:val="22"/>
          <w:szCs w:val="22"/>
          <w:color w:val="auto"/>
        </w:rPr>
      </w:pPr>
    </w:p>
    <w:p>
      <w:pPr>
        <w:jc w:val="both"/>
        <w:ind w:left="1300" w:firstLine="652"/>
        <w:spacing w:after="0" w:line="263" w:lineRule="auto"/>
        <w:tabs>
          <w:tab w:leader="none" w:pos="2254" w:val="left"/>
        </w:tabs>
        <w:numPr>
          <w:ilvl w:val="2"/>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resulting Borrowing is a Term Benchmark Borrowing, the Interest Period to be applicable thereto after giving effect to such election, which shall be a period contemplated by the definition of the term “Interest Period”.</w:t>
      </w:r>
    </w:p>
    <w:p>
      <w:pPr>
        <w:spacing w:after="0" w:line="16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If any such Interest Election Request requests a Term Benchmark Borrowing but does not specify an Interest Period, then the Borrower shall be deemed to have selected an Interest Period of one month’s duration.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91" w:name="page292"/>
    <w:bookmarkEnd w:id="291"/>
    <w:p>
      <w:pPr>
        <w:ind w:firstLine="1304"/>
        <w:spacing w:after="0" w:line="271" w:lineRule="auto"/>
        <w:tabs>
          <w:tab w:leader="none" w:pos="1602"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receipt of an Interest Election Request, the Administrative Agent shall advise each Lender of the details thereof and of such Lender’s portion of each resulting Borrowing.</w:t>
      </w:r>
    </w:p>
    <w:p>
      <w:pPr>
        <w:spacing w:after="0" w:line="157" w:lineRule="exact"/>
        <w:rPr>
          <w:rFonts w:ascii="Times New Roman" w:cs="Times New Roman" w:eastAsia="Times New Roman" w:hAnsi="Times New Roman"/>
          <w:sz w:val="22"/>
          <w:szCs w:val="22"/>
          <w:color w:val="auto"/>
        </w:rPr>
      </w:pPr>
    </w:p>
    <w:p>
      <w:pPr>
        <w:jc w:val="both"/>
        <w:ind w:firstLine="1304"/>
        <w:spacing w:after="0" w:line="252" w:lineRule="auto"/>
        <w:tabs>
          <w:tab w:leader="none" w:pos="1644"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Borrower fails to deliver a timely Interest Election Request with respect to a Term Benchmark Borrowing prior to the end of the Interest Period applicable thereto, then, unless such Borrowing is repaid as provided herein, at the end of such Interest Period such Borrowing shall be converted to an ABR Borrowing. Notwithstanding any contrary provision hereof, if an Event of Default has occurred and is continuing and the Administrative Agent, at the request of the Majority Lenders, so notifies the Borrower, then, so long as an Event of Default is continuing (i) no outstanding Borrowing may be converted to or continued as a Term Benchmark Borrowing and (ii) unless repaid, each Term Benchmark Borrowing shall be converted to an ABR Borrowing at the end of the Interest Period applicable thereto.</w:t>
      </w:r>
    </w:p>
    <w:p>
      <w:pPr>
        <w:spacing w:after="0" w:line="179"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2.07. </w:t>
      </w:r>
      <w:r>
        <w:rPr>
          <w:rFonts w:ascii="Times New Roman" w:cs="Times New Roman" w:eastAsia="Times New Roman" w:hAnsi="Times New Roman"/>
          <w:sz w:val="22"/>
          <w:szCs w:val="22"/>
          <w:u w:val="single" w:color="auto"/>
          <w:color w:val="auto"/>
        </w:rPr>
        <w:t>Reductions of Commitments.</w:t>
      </w:r>
      <w:r>
        <w:rPr>
          <w:rFonts w:ascii="Times New Roman" w:cs="Times New Roman" w:eastAsia="Times New Roman" w:hAnsi="Times New Roman"/>
          <w:sz w:val="22"/>
          <w:szCs w:val="22"/>
          <w:color w:val="auto"/>
        </w:rPr>
        <w:t xml:space="preserve"> (a) Unless previously terminated, all the Commitments, each LC Commitment and each Swingline Commitment shall be terminated on the Commitment Termination Date.</w:t>
      </w:r>
    </w:p>
    <w:p>
      <w:pPr>
        <w:spacing w:after="0" w:line="158" w:lineRule="exact"/>
        <w:rPr>
          <w:sz w:val="20"/>
          <w:szCs w:val="20"/>
          <w:color w:val="auto"/>
        </w:rPr>
      </w:pPr>
    </w:p>
    <w:p>
      <w:pPr>
        <w:jc w:val="both"/>
        <w:ind w:firstLine="1304"/>
        <w:spacing w:after="0" w:line="253" w:lineRule="auto"/>
        <w:tabs>
          <w:tab w:leader="none" w:pos="1615"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may at any time or from time to time reduce or terminate the Commitments;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each reduction of the Commitments (other than the termination of all the Commitments) shall be in an amount that is an integral multiple of $1,000,000 and not less than $5,000,000 and (ii) the Borrower shall not terminate or reduce the Commitments if, after giving effect to any concurrent prepayment of the Loans in accordance with Section 2.09, the aggregate Credit Exposures would exceed the Total Commitment.</w:t>
      </w:r>
    </w:p>
    <w:p>
      <w:pPr>
        <w:spacing w:after="0" w:line="178" w:lineRule="exact"/>
        <w:rPr>
          <w:rFonts w:ascii="Times New Roman" w:cs="Times New Roman" w:eastAsia="Times New Roman" w:hAnsi="Times New Roman"/>
          <w:sz w:val="22"/>
          <w:szCs w:val="22"/>
          <w:color w:val="auto"/>
        </w:rPr>
      </w:pPr>
    </w:p>
    <w:p>
      <w:pPr>
        <w:jc w:val="both"/>
        <w:ind w:firstLine="1304"/>
        <w:spacing w:after="0" w:line="250" w:lineRule="auto"/>
        <w:tabs>
          <w:tab w:leader="none" w:pos="1603"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shall notify the Administrative Agent of any election to terminate or reduce the Commitments under paragraph </w:t>
      </w: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22"/>
          <w:szCs w:val="22"/>
          <w:color w:val="auto"/>
        </w:rPr>
        <w:t xml:space="preserve"> of this Section at least three Business Days prior to the effective date of such termination or reduction, specifying such election and the effective date thereof. Promptly following receipt of any such notice, the Administrative Agent shall advise the Lenders of the contents thereof. Each notice delivered by the Borrower pursuant to this Section shall be irrevocable;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notice of termination of all the Commitments delivered by the Borrower may state that such notice is conditioned upon the effectiveness of other credit facilities or financings, in which case such notice may be revoked by the Borrower (by notice to the Administrative Agent on or prior to the specified effective date) if such condition is not satisfied. Any termination or reduction of the Commitments shall be permanent. Each reduction of the Commitments shall be made ratably among the Lenders in accordance with their respective Commitments.</w:t>
      </w:r>
    </w:p>
    <w:p>
      <w:pPr>
        <w:spacing w:after="0" w:line="18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SECTION 2.08. </w:t>
      </w:r>
      <w:r>
        <w:rPr>
          <w:rFonts w:ascii="Times New Roman" w:cs="Times New Roman" w:eastAsia="Times New Roman" w:hAnsi="Times New Roman"/>
          <w:sz w:val="22"/>
          <w:szCs w:val="22"/>
          <w:u w:val="single" w:color="auto"/>
          <w:color w:val="auto"/>
        </w:rPr>
        <w:t>Repayment of Loans; Evidence of Debt.</w:t>
      </w:r>
      <w:r>
        <w:rPr>
          <w:rFonts w:ascii="Times New Roman" w:cs="Times New Roman" w:eastAsia="Times New Roman" w:hAnsi="Times New Roman"/>
          <w:sz w:val="22"/>
          <w:szCs w:val="22"/>
          <w:color w:val="auto"/>
        </w:rPr>
        <w:t xml:space="preserve"> (a) The Borrower hereby unconditionally promises to pay (i) on the Commitment Termination Date to the Administrative Agent for the account of each Lender the then unpaid principal amount of each Revolving Loan of such Lender and (ii) to each Swingline Lender the then unpaid principal amount of each Swingline Loan made by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92" w:name="page293"/>
    <w:bookmarkEnd w:id="292"/>
    <w:p>
      <w:pPr>
        <w:spacing w:after="0" w:line="271" w:lineRule="auto"/>
        <w:rPr>
          <w:sz w:val="20"/>
          <w:szCs w:val="20"/>
          <w:color w:val="auto"/>
        </w:rPr>
      </w:pPr>
      <w:r>
        <w:rPr>
          <w:rFonts w:ascii="Times New Roman" w:cs="Times New Roman" w:eastAsia="Times New Roman" w:hAnsi="Times New Roman"/>
          <w:sz w:val="22"/>
          <w:szCs w:val="22"/>
          <w:color w:val="auto"/>
        </w:rPr>
        <w:t>Swingline Lender on the earlier of the Commitment Termination Date and the tenth Business Day after such Swingline Loan is made.</w:t>
      </w:r>
    </w:p>
    <w:p>
      <w:pPr>
        <w:spacing w:after="0" w:line="158" w:lineRule="exact"/>
        <w:rPr>
          <w:sz w:val="20"/>
          <w:szCs w:val="20"/>
          <w:color w:val="auto"/>
        </w:rPr>
      </w:pPr>
    </w:p>
    <w:p>
      <w:pPr>
        <w:jc w:val="both"/>
        <w:ind w:firstLine="1304"/>
        <w:spacing w:after="0" w:line="263" w:lineRule="auto"/>
        <w:tabs>
          <w:tab w:leader="none" w:pos="1642"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shall maintain in accordance with its usual practice an account or accounts evidencing the Indebtedness of the Borrower to such Lender resulting from each Loan made or held by such Lender, including the amounts of principal and interest payable and paid to such Lender from time to time hereunder.</w:t>
      </w:r>
    </w:p>
    <w:p>
      <w:pPr>
        <w:spacing w:after="0" w:line="167" w:lineRule="exact"/>
        <w:rPr>
          <w:rFonts w:ascii="Times New Roman" w:cs="Times New Roman" w:eastAsia="Times New Roman" w:hAnsi="Times New Roman"/>
          <w:sz w:val="22"/>
          <w:szCs w:val="22"/>
          <w:color w:val="auto"/>
        </w:rPr>
      </w:pPr>
    </w:p>
    <w:p>
      <w:pPr>
        <w:jc w:val="both"/>
        <w:ind w:right="20" w:firstLine="1304"/>
        <w:spacing w:after="0" w:line="256" w:lineRule="auto"/>
        <w:tabs>
          <w:tab w:leader="none" w:pos="1603"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maintain accounts in which it shall record (i) the amount of each Loan made hereunder, the Class and Type thereof and the Interest Period applicable thereto, (ii) the amount of any principal or interest due and payable or to become due and payable from the Borrower to each Lender hereunder and the amount of any sum received by the Administrative Agent hereunder for the account of the Lenders and each Lender’s share thereof.</w:t>
      </w:r>
    </w:p>
    <w:p>
      <w:pPr>
        <w:spacing w:after="0" w:line="172" w:lineRule="exact"/>
        <w:rPr>
          <w:rFonts w:ascii="Times New Roman" w:cs="Times New Roman" w:eastAsia="Times New Roman" w:hAnsi="Times New Roman"/>
          <w:sz w:val="22"/>
          <w:szCs w:val="22"/>
          <w:color w:val="auto"/>
        </w:rPr>
      </w:pPr>
    </w:p>
    <w:p>
      <w:pPr>
        <w:jc w:val="both"/>
        <w:ind w:firstLine="1304"/>
        <w:spacing w:after="0" w:line="252" w:lineRule="auto"/>
        <w:tabs>
          <w:tab w:leader="none" w:pos="1615"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entries made in the accounts maintained pursuant to paragraph </w:t>
      </w: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22"/>
          <w:szCs w:val="22"/>
          <w:color w:val="auto"/>
        </w:rPr>
        <w:t xml:space="preserve"> of this Section shall be </w:t>
      </w:r>
      <w:r>
        <w:rPr>
          <w:rFonts w:ascii="Times New Roman" w:cs="Times New Roman" w:eastAsia="Times New Roman" w:hAnsi="Times New Roman"/>
          <w:sz w:val="22"/>
          <w:szCs w:val="22"/>
          <w:u w:val="single" w:color="auto"/>
          <w:color w:val="auto"/>
        </w:rPr>
        <w:t>prima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facie</w:t>
      </w:r>
      <w:r>
        <w:rPr>
          <w:rFonts w:ascii="Times New Roman" w:cs="Times New Roman" w:eastAsia="Times New Roman" w:hAnsi="Times New Roman"/>
          <w:sz w:val="22"/>
          <w:szCs w:val="22"/>
          <w:color w:val="auto"/>
        </w:rPr>
        <w:t xml:space="preserve"> evidence of the existence and amounts of the obligations recorded therein;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failure of any Lender or the Administrative Agent to maintain such accounts or any error therein (including any failure to record the making or repayment of any Loan) shall not in any manner affect the obligation of the Borrower to repay the Loans in accordance with the terms of this Agreement or prevent the Borrower’s obligations in respect of Loans from being discharged to the extent of amounts actually paid in respect thereof.</w:t>
      </w:r>
    </w:p>
    <w:p>
      <w:pPr>
        <w:spacing w:after="0" w:line="178" w:lineRule="exact"/>
        <w:rPr>
          <w:rFonts w:ascii="Times New Roman" w:cs="Times New Roman" w:eastAsia="Times New Roman" w:hAnsi="Times New Roman"/>
          <w:sz w:val="22"/>
          <w:szCs w:val="22"/>
          <w:color w:val="auto"/>
        </w:rPr>
      </w:pPr>
    </w:p>
    <w:p>
      <w:pPr>
        <w:jc w:val="both"/>
        <w:ind w:firstLine="1304"/>
        <w:spacing w:after="0" w:line="251" w:lineRule="auto"/>
        <w:tabs>
          <w:tab w:leader="none" w:pos="1590"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Lender may request that Loans made by it be evidenced by a promissory note. In such event, the Borrower shall prepare, execute and deliver to such Lender a promissory note payable to such Lender (or, if requested by such Lender, to such Lender and its registered assigns) in substantially the form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Thereafter, the Loans evidenced by such promissory note and interest thereon shall at all times (including after assignment pursuant to Section 9.04) be represented by one or more promissory notes in such form payable to the payee named therein (or, if such promissory note is a registered note, to such payee and its registered assigns).</w:t>
      </w:r>
    </w:p>
    <w:p>
      <w:pPr>
        <w:spacing w:after="0" w:line="181"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2.09. </w:t>
      </w:r>
      <w:r>
        <w:rPr>
          <w:rFonts w:ascii="Times New Roman" w:cs="Times New Roman" w:eastAsia="Times New Roman" w:hAnsi="Times New Roman"/>
          <w:sz w:val="22"/>
          <w:szCs w:val="22"/>
          <w:u w:val="single" w:color="auto"/>
          <w:color w:val="auto"/>
        </w:rPr>
        <w:t>Prepayment of Loans.</w:t>
      </w:r>
      <w:r>
        <w:rPr>
          <w:rFonts w:ascii="Times New Roman" w:cs="Times New Roman" w:eastAsia="Times New Roman" w:hAnsi="Times New Roman"/>
          <w:sz w:val="22"/>
          <w:szCs w:val="22"/>
          <w:color w:val="auto"/>
        </w:rPr>
        <w:t xml:space="preserve"> (a) The Borrower shall have the right at any time and from time to time to prepay any Borrowing in whole or in part, subject to paragraph </w:t>
      </w: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22"/>
          <w:szCs w:val="22"/>
          <w:color w:val="auto"/>
        </w:rPr>
        <w:t xml:space="preserve"> of this Section.</w:t>
      </w:r>
    </w:p>
    <w:p>
      <w:pPr>
        <w:spacing w:after="0" w:line="158" w:lineRule="exact"/>
        <w:rPr>
          <w:sz w:val="20"/>
          <w:szCs w:val="20"/>
          <w:color w:val="auto"/>
        </w:rPr>
      </w:pPr>
    </w:p>
    <w:p>
      <w:pPr>
        <w:jc w:val="both"/>
        <w:ind w:firstLine="1304"/>
        <w:spacing w:after="0" w:line="250" w:lineRule="auto"/>
        <w:tabs>
          <w:tab w:leader="none" w:pos="1602"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shall in the event and on each occasion that (i) the aggregate Credit Exposures exceed the Total Commitment or (ii) the aggregate Credit Exposures exceed the Borrowing Base then in effect, not later than the next Business Day, prepay Borrowings in an aggregate amount equal to such excess, and in the event that after such prepayment of Borrowings any such excess shall remain, the Borrower shall deposit cash in an amount equal to such excess as collateral for the reimbursement obligations of the Borrower in respect of Letters of Credit;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any such excess that results from any determination under Section </w:t>
      </w:r>
      <w:r>
        <w:rPr>
          <w:rFonts w:ascii="Times New Roman" w:cs="Times New Roman" w:eastAsia="Times New Roman" w:hAnsi="Times New Roman"/>
          <w:sz w:val="22"/>
          <w:szCs w:val="22"/>
          <w:b w:val="1"/>
          <w:bCs w:val="1"/>
          <w:color w:val="auto"/>
        </w:rPr>
        <w:t>1.03</w:t>
      </w:r>
      <w:r>
        <w:rPr>
          <w:rFonts w:ascii="Times New Roman" w:cs="Times New Roman" w:eastAsia="Times New Roman" w:hAnsi="Times New Roman"/>
          <w:sz w:val="22"/>
          <w:szCs w:val="22"/>
          <w:color w:val="auto"/>
        </w:rPr>
        <w:t xml:space="preserve"> of the Dollar Equivalent of any Letter of Credit denominated in Canadian Dollars, Euros or Pounds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93" w:name="page294"/>
    <w:bookmarkEnd w:id="293"/>
    <w:p>
      <w:pPr>
        <w:jc w:val="both"/>
        <w:spacing w:after="0" w:line="247" w:lineRule="auto"/>
        <w:rPr>
          <w:sz w:val="20"/>
          <w:szCs w:val="20"/>
          <w:color w:val="auto"/>
        </w:rPr>
      </w:pPr>
      <w:r>
        <w:rPr>
          <w:rFonts w:ascii="Times New Roman" w:cs="Times New Roman" w:eastAsia="Times New Roman" w:hAnsi="Times New Roman"/>
          <w:sz w:val="22"/>
          <w:szCs w:val="22"/>
          <w:color w:val="auto"/>
        </w:rPr>
        <w:t>Sterling (i) no prepayment or redesignation shall be required until the Business Day next succeeding the day on which the Borrower shall have received notice of such determination under Section 1.03 from the Administrative Agent, and (ii) any such prepayment required in respect of any excess of the aggregate Credit Exposures over the Borrowing Base then in effect may, if such excess is in an amount less than $10,000,000, be deferred until the last day of the nearest maturing Interest Period(s) then in effect with respect to Loan(s) required to be so repaid except to the extent of any excess of the Credit Exposures over the Total Commitment. Any cash so deposited (and any cash previously deposited pursuant to this paragraph) with the Administrative Agent shall be held in an account over which the Administrative Agent shall have dominion and control to the exclusion of the Borrower and its Subsidiaries, including the exclusive right of withdrawal. Other than any interest earned on the investment of such deposits, which investment shall be in Temporary Cash Investments and shall be made in the discretion of the Administrative Agent (or, at any time when no Default or Event of Default has occurred and is continuing, shall be made at the direction of the Borrower) and at the Borrower’s risk and expense, such deposits shall not bear interest. Interest or profits, if any, on such investments shall accumulate in such account. Moneys in such account shall be applied by the Administrative Agent to reimburse each Issuing Bank for LC Disbursements for which it has not been reimbursed and, to the extent not so applied, shall be held for the satisfaction of the reimbursement obligations of the Borrower for the LC Exposure at such time or, if the maturity of the Loans has been accelerated (but subject to the consent of the Majority Lenders), be applied to satisfy other obligations of the Borrower under this Agreement. If the Borrower has provided cash collateral to secure the reimbursement obligations of the Borrower in respect of Letters of Credit hereunder, then, so long as no Event of Default shall exist, such cash collateral shall be released to the Borrower if so requested by the Borrower at any time if and to the extent that, after giving effect to such release, the aggregate amount of the Credit Exposures would not exceed the Total Commitment and the aggregate Credit Exposures would not exceed the Borrowing Base then in effect.</w:t>
      </w:r>
    </w:p>
    <w:p>
      <w:pPr>
        <w:spacing w:after="0" w:line="193" w:lineRule="exact"/>
        <w:rPr>
          <w:sz w:val="20"/>
          <w:szCs w:val="20"/>
          <w:color w:val="auto"/>
        </w:rPr>
      </w:pPr>
    </w:p>
    <w:p>
      <w:pPr>
        <w:jc w:val="both"/>
        <w:ind w:firstLine="1304"/>
        <w:spacing w:after="0" w:line="248" w:lineRule="auto"/>
        <w:tabs>
          <w:tab w:leader="none" w:pos="1603" w:val="left"/>
        </w:tabs>
        <w:numPr>
          <w:ilvl w:val="0"/>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shall notify the Administrative Agent by telephone (confirmed by electronic communication, including an Approved Borrower Portal, if arrangements for doing so have been approved by the Administrative Agent and, if relevant, the Swingline Lenders) of any prepayment hereunder (i) in the case of prepayment of a Term Benchmark Revolving Borrowing, not later than 3:00 p.m., New York City time, three Business Days before the date of prepayment, (ii) in the case of a prepayment of an RFR Revolving Borrowing, not later than 3:00 p.m., New York City time, three Business Days before the date of prepayment, (iii) in the case of prepayment of an ABR Revolving Borrowing, not later than 11:00 a.m., New York City time, one Business Day before the date of prepayment or (iv) in the case of a prepayment of a Swingline Loan, such notice shall be delivered not later than 12:00 noon, New York City time, on the date of prepayment;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Borrower shall be required to make any prepayment hereunder by reason of Section 2.09(b), such Repayment Notice shall be delivered not later than the time at which such prepayment is made. Each such Repayment Notice shall be irrevocable and shall specify the prepayment date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94" w:name="page295"/>
    <w:bookmarkEnd w:id="294"/>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principal amount of each Borrowing or portion thereof to be prepaid;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 Repayment Notice is given in connection with a conditional notice of termination of all the Commitments as contemplated by Section 2.07(c), then such Repayment Notice may be revoked if such notice of termination is revoked in accordance with Section 2.07(c). Promptly following receipt of any such Repayment Notice relating to a Borrowing, the Administrative Agent shall advise the Lenders of the contents thereof. Each partial prepayment of any Borrowing (other than pursuant to Section 2.09(b)) shall be in an amount that would be permitted in the case of an advance of a Borrowing of the same Type as provided in Section 2.01. Each prepayment of a Borrowing shall be applied ratably to the Loans included in the prepaid Borrowing. Prepayments shall be accompanied by accrued interest to the extent required by Section 2.11.</w:t>
      </w:r>
    </w:p>
    <w:p>
      <w:pPr>
        <w:spacing w:after="0" w:line="195"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2.10. </w:t>
      </w:r>
      <w:r>
        <w:rPr>
          <w:rFonts w:ascii="Times New Roman" w:cs="Times New Roman" w:eastAsia="Times New Roman" w:hAnsi="Times New Roman"/>
          <w:sz w:val="22"/>
          <w:szCs w:val="22"/>
          <w:u w:val="single" w:color="auto"/>
          <w:color w:val="auto"/>
        </w:rPr>
        <w:t>Fees.</w:t>
      </w:r>
      <w:r>
        <w:rPr>
          <w:rFonts w:ascii="Times New Roman" w:cs="Times New Roman" w:eastAsia="Times New Roman" w:hAnsi="Times New Roman"/>
          <w:sz w:val="22"/>
          <w:szCs w:val="22"/>
          <w:color w:val="auto"/>
        </w:rPr>
        <w:t xml:space="preserve"> (a) The Borrower agrees to pay to the Administrative Agent for the account of each Lender a commitment fee, accruing at the Applicable Rate on the daily unused amount of the Commitment of such Lender during the period from and including the date hereof to but excluding the date on which such Commitment is terminated. Commitment fees accrued through and including the last day of March, June, September and December of each year shall be payable on the fifteenth Business Day following such date and on the date on which the Commitments are terminated, commencing on the first such date to occur after the date hereof. All commitment fees shall be computed on the basis of a year of 360 days and shall be payable for the actual number of days elapsed (including the first day but excluding the last day). For purposes of computing commitment fees with respect to Commitments, a Commitment of a Lender shall be deemed to be used to the extent of the outstanding Revolving Loans and LC Exposure of such Lender (but not the Swingline Exposure of such Lender, which shall be disregarded for such purpose except to the extent such Lender shall have acquired a participation therein pursuant to Section 2.04(c)).</w:t>
      </w:r>
    </w:p>
    <w:p>
      <w:pPr>
        <w:spacing w:after="0" w:line="201" w:lineRule="exact"/>
        <w:rPr>
          <w:sz w:val="20"/>
          <w:szCs w:val="20"/>
          <w:color w:val="auto"/>
        </w:rPr>
      </w:pPr>
    </w:p>
    <w:p>
      <w:pPr>
        <w:jc w:val="both"/>
        <w:ind w:firstLine="1304"/>
        <w:spacing w:after="0" w:line="248" w:lineRule="auto"/>
        <w:tabs>
          <w:tab w:leader="none" w:pos="1602"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agrees to pay (i) to the Administrative Agent, for the account of each Lender, a participation fee with respect to its participations in Letters of Credit, which shall accrue at the Applicable Rate for Term Benchmark Borrowings on the average daily amount of such Lender’s LC Exposure (excluding any portion thereof attributable to unreimbursed LC Disbursements) during the period from and including the Restatement Date to but excluding the later of the date on which such Lender’s Commitment is terminated and the date on which such Lender ceases to have any LC Exposure, and (ii) to each Issuing Bank a fronting fee, which shall accrue at the rate or rates per annum separately agreed upon between the Borrower and the applicable Issuing Bank in the Issuing Bank Agreement of such Issuing Bank, on the daily amount of the LC Exposure attributable to Letters of Credit issued by such Issuing Bank (excluding any portion thereof attributable to unreimbursed LC Disbursements) during the period from and including the Restatement Date to but excluding the later of the date each LC Commitment of such Issuing Bank is terminated and the date on which there ceases to be any LC Exposure attributable to Letters of Credit issued by such Issuing Bank, as well as such Issuing Bank’s standard fees with respect to the issuance, amendment, renewal or extension of any Letter of Credit or processing of drawings thereunder. Participation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95" w:name="page296"/>
    <w:bookmarkEnd w:id="295"/>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fronting fees accrued through and including the last day of March, June, September and December of each year shall be payable on the fifteenth Business Day following such last day, commencing on the first such date to occur after the Restatement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all such accrued fees shall be payable in respect of LC Exposures on the date on which all the Commitments are terminated and any such fees accruing in respect of LC Exposures after the date on which all the Commitments are terminated shall be payable on demand. Any other fees payable to the Issuing Banks pursuant to this paragraph shall be payable within 10 days after demand. All participation and fronting fees shall be computed on the basis of a year of 360 days and shall be payable for the actual number of days elapsed (including the first day but excluding the last day).</w:t>
      </w:r>
    </w:p>
    <w:p>
      <w:pPr>
        <w:spacing w:after="0" w:line="180" w:lineRule="exact"/>
        <w:rPr>
          <w:sz w:val="20"/>
          <w:szCs w:val="20"/>
          <w:color w:val="auto"/>
        </w:rPr>
      </w:pPr>
    </w:p>
    <w:p>
      <w:pPr>
        <w:ind w:firstLine="1304"/>
        <w:spacing w:after="0" w:line="284" w:lineRule="auto"/>
        <w:tabs>
          <w:tab w:leader="none" w:pos="1603"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agrees to pay to the Administrative Agent, for its own account, fees in the amounts and at the times separately agreed upon between the Borrower and the Administrative Agent.</w:t>
      </w:r>
    </w:p>
    <w:p>
      <w:pPr>
        <w:spacing w:after="0" w:line="143" w:lineRule="exact"/>
        <w:rPr>
          <w:rFonts w:ascii="Times New Roman" w:cs="Times New Roman" w:eastAsia="Times New Roman" w:hAnsi="Times New Roman"/>
          <w:sz w:val="22"/>
          <w:szCs w:val="22"/>
          <w:color w:val="auto"/>
        </w:rPr>
      </w:pPr>
    </w:p>
    <w:p>
      <w:pPr>
        <w:jc w:val="both"/>
        <w:ind w:firstLine="1304"/>
        <w:spacing w:after="0" w:line="257" w:lineRule="auto"/>
        <w:tabs>
          <w:tab w:leader="none" w:pos="1602"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fees and other amounts payable hereunder shall be paid on the dates due, in immediately available funds, to the Administrative Agent (or to the Issuing Banks, in the case of fees payable to them) for distribution, where applicable, to the Lenders. Fees paid shall not be refundable under any circumstances.</w:t>
      </w:r>
    </w:p>
    <w:p>
      <w:pPr>
        <w:spacing w:after="0" w:line="17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2.11. </w:t>
      </w:r>
      <w:r>
        <w:rPr>
          <w:rFonts w:ascii="Times New Roman" w:cs="Times New Roman" w:eastAsia="Times New Roman" w:hAnsi="Times New Roman"/>
          <w:sz w:val="22"/>
          <w:szCs w:val="22"/>
          <w:u w:val="single" w:color="auto"/>
          <w:color w:val="auto"/>
        </w:rPr>
        <w:t>Interest.</w:t>
      </w:r>
      <w:r>
        <w:rPr>
          <w:rFonts w:ascii="Times New Roman" w:cs="Times New Roman" w:eastAsia="Times New Roman" w:hAnsi="Times New Roman"/>
          <w:sz w:val="22"/>
          <w:szCs w:val="22"/>
          <w:color w:val="auto"/>
        </w:rPr>
        <w:t xml:space="preserve"> (a) The Loans comprising each ABR Revolving Borrowing shall bear interest at the Alternate Base Rate plus the Applicable Rate. Swingline Loans shall bear interest as agreed with the Swingline Lender in the applicable Swingline Agreement.</w:t>
      </w:r>
    </w:p>
    <w:p>
      <w:pPr>
        <w:spacing w:after="0" w:line="167" w:lineRule="exact"/>
        <w:rPr>
          <w:sz w:val="20"/>
          <w:szCs w:val="20"/>
          <w:color w:val="auto"/>
        </w:rPr>
      </w:pPr>
    </w:p>
    <w:p>
      <w:pPr>
        <w:ind w:firstLine="1304"/>
        <w:spacing w:after="0" w:line="271" w:lineRule="auto"/>
        <w:tabs>
          <w:tab w:leader="none" w:pos="1615"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Loans comprising each Term Benchmark Revolving Borrowing shall bear interest at the Adjusted Term SOFR for the Interest Period in effect for such Borrowing plus the Applicable Rate.</w:t>
      </w:r>
    </w:p>
    <w:p>
      <w:pPr>
        <w:spacing w:after="0" w:line="157" w:lineRule="exact"/>
        <w:rPr>
          <w:rFonts w:ascii="Times New Roman" w:cs="Times New Roman" w:eastAsia="Times New Roman" w:hAnsi="Times New Roman"/>
          <w:sz w:val="22"/>
          <w:szCs w:val="22"/>
          <w:color w:val="auto"/>
        </w:rPr>
      </w:pPr>
    </w:p>
    <w:p>
      <w:pPr>
        <w:ind w:firstLine="1304"/>
        <w:spacing w:after="0" w:line="271" w:lineRule="auto"/>
        <w:tabs>
          <w:tab w:leader="none" w:pos="1590"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Loans comprising each RFR Revolving Borrowing shall bear interest at the Adjusted Daily Simple SOFR plus the Applicable Rate.</w:t>
      </w:r>
    </w:p>
    <w:p>
      <w:pPr>
        <w:spacing w:after="0" w:line="171" w:lineRule="exact"/>
        <w:rPr>
          <w:rFonts w:ascii="Times New Roman" w:cs="Times New Roman" w:eastAsia="Times New Roman" w:hAnsi="Times New Roman"/>
          <w:sz w:val="22"/>
          <w:szCs w:val="22"/>
          <w:color w:val="auto"/>
        </w:rPr>
      </w:pPr>
    </w:p>
    <w:p>
      <w:pPr>
        <w:jc w:val="both"/>
        <w:ind w:firstLine="1304"/>
        <w:spacing w:after="0" w:line="250" w:lineRule="auto"/>
        <w:tabs>
          <w:tab w:leader="none" w:pos="1602"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if any principal of or interest on any Loan or any fee or other amount payable by the Borrower hereunder is not paid when due, whether at stated maturity, upon acceleration or otherwise, such overdue amount shall bear interest, after as well as before judgment, at a rate per annum equal to (i) in the case of overdue principal of any Loan, 2.00% plus the rate otherwise applicable to such Loan as provided in the preceding paragraphs of this Section or (ii) in the case of any other amount, 2.00% plus the rate applicable to ABR Loans as provided in paragraph (a) of this Section.</w:t>
      </w:r>
    </w:p>
    <w:p>
      <w:pPr>
        <w:spacing w:after="0" w:line="194" w:lineRule="exact"/>
        <w:rPr>
          <w:rFonts w:ascii="Times New Roman" w:cs="Times New Roman" w:eastAsia="Times New Roman" w:hAnsi="Times New Roman"/>
          <w:sz w:val="22"/>
          <w:szCs w:val="22"/>
          <w:color w:val="auto"/>
        </w:rPr>
      </w:pPr>
    </w:p>
    <w:p>
      <w:pPr>
        <w:jc w:val="both"/>
        <w:ind w:firstLine="1304"/>
        <w:spacing w:after="0" w:line="252" w:lineRule="auto"/>
        <w:tabs>
          <w:tab w:leader="none" w:pos="1603"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Accrued interest on each Loan shall be payable in arrears on each Interest Payment Date for such Loan and shall be payable for each Loan upon the termination of all the Commitments;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interest accrued pursuant to paragraph (d) of this Section shall be payable on demand, (ii) in the event of any repayment or prepayment of any Loan (other than a prepayment of an ABR Loan prior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96" w:name="page297"/>
    <w:bookmarkEnd w:id="296"/>
    <w:p>
      <w:pPr>
        <w:jc w:val="both"/>
        <w:spacing w:after="0" w:line="257" w:lineRule="auto"/>
        <w:rPr>
          <w:sz w:val="20"/>
          <w:szCs w:val="20"/>
          <w:color w:val="auto"/>
        </w:rPr>
      </w:pPr>
      <w:r>
        <w:rPr>
          <w:rFonts w:ascii="Times New Roman" w:cs="Times New Roman" w:eastAsia="Times New Roman" w:hAnsi="Times New Roman"/>
          <w:sz w:val="22"/>
          <w:szCs w:val="22"/>
          <w:color w:val="auto"/>
        </w:rPr>
        <w:t>the end of the Availability Period), accrued interest on the principal amount repaid or prepaid shall be payable on the date of such repayment or prepayment and (iii) in the event of any conversion of any Term Benchmark Loan prior to the end of the current Interest Period therefor, accrued interest on such Loan shall be payable on the effective date of such conversion.</w:t>
      </w:r>
    </w:p>
    <w:p>
      <w:pPr>
        <w:spacing w:after="0" w:line="186" w:lineRule="exact"/>
        <w:rPr>
          <w:sz w:val="20"/>
          <w:szCs w:val="20"/>
          <w:color w:val="auto"/>
        </w:rPr>
      </w:pPr>
    </w:p>
    <w:p>
      <w:pPr>
        <w:jc w:val="both"/>
        <w:ind w:firstLine="1304"/>
        <w:spacing w:after="0" w:line="251" w:lineRule="auto"/>
        <w:tabs>
          <w:tab w:leader="none" w:pos="1579"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interest hereunder shall be computed on the basis of a year of 360 days, except that interest computed by reference to the Alternate Base Rate at times when the Alternate Base Rate is based on the Prime Rate shall be computed on the basis of a year of 365 days (or 366 days in a leap year), and in each case shall be payable for the actual number of days elapsed (including the first day but excluding the last day). The applicable Alternate Base Rate, Term SOFR, Adjusted Term SOFR, Daily Simple SOFR or Adjusted Daily Simple SOFR shall be determined by the Administrative Agent, and such determination shall be conclusive absent manifest error.</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SECTION 2.12. </w:t>
      </w:r>
      <w:r>
        <w:rPr>
          <w:rFonts w:ascii="Times New Roman" w:cs="Times New Roman" w:eastAsia="Times New Roman" w:hAnsi="Times New Roman"/>
          <w:sz w:val="22"/>
          <w:szCs w:val="22"/>
          <w:u w:val="single" w:color="auto"/>
          <w:color w:val="auto"/>
        </w:rPr>
        <w:t>Alternate Rate of Interest.</w:t>
      </w:r>
      <w:r>
        <w:rPr>
          <w:rFonts w:ascii="Times New Roman" w:cs="Times New Roman" w:eastAsia="Times New Roman" w:hAnsi="Times New Roman"/>
          <w:sz w:val="22"/>
          <w:szCs w:val="22"/>
          <w:color w:val="auto"/>
        </w:rPr>
        <w:t xml:space="preserve"> (a) Subject to Section 2.12(b), if:</w:t>
      </w:r>
    </w:p>
    <w:p>
      <w:pPr>
        <w:spacing w:after="0" w:line="220" w:lineRule="exact"/>
        <w:rPr>
          <w:sz w:val="20"/>
          <w:szCs w:val="20"/>
          <w:color w:val="auto"/>
        </w:rPr>
      </w:pPr>
    </w:p>
    <w:p>
      <w:pPr>
        <w:ind w:left="2280" w:hanging="328"/>
        <w:spacing w:after="0"/>
        <w:tabs>
          <w:tab w:leader="none" w:pos="2280" w:val="left"/>
        </w:tabs>
        <w:numPr>
          <w:ilvl w:val="1"/>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determines (which determination shall be conclusive absent manifest error)</w:t>
      </w:r>
    </w:p>
    <w:p>
      <w:pPr>
        <w:spacing w:after="0" w:line="27" w:lineRule="exact"/>
        <w:rPr>
          <w:rFonts w:ascii="Times New Roman" w:cs="Times New Roman" w:eastAsia="Times New Roman" w:hAnsi="Times New Roman"/>
          <w:sz w:val="22"/>
          <w:szCs w:val="22"/>
          <w:color w:val="auto"/>
        </w:rPr>
      </w:pPr>
    </w:p>
    <w:p>
      <w:pPr>
        <w:jc w:val="both"/>
        <w:ind w:left="1300" w:firstLine="4"/>
        <w:spacing w:after="0" w:line="259" w:lineRule="auto"/>
        <w:tabs>
          <w:tab w:leader="none" w:pos="1672" w:val="left"/>
        </w:tabs>
        <w:numPr>
          <w:ilvl w:val="0"/>
          <w:numId w:val="2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the commencement of any Interest Period for a Term Benchmark Borrowing (or, in the case of any Interest Period of one week’s duration for a Term Benchmark Borrowing, at any time during such Interest Period), that adequate and reasonable means do not exist for ascertaining the Adjusted Term SOFR for such Interest Period (including (i) in the case of any Interest Period of one week’s duration, because adequate and reasonable means do not exist for ascertaining the Daily Simple SOFR or (ii) because the Term SOFR Reference Rate is not available or published on a current basis for such Interest Period)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Benchmark Transition Event shall have occurred at such time) or (B) at any time, that adequate and reasonable means do not exist for ascertaining the Adjusted Daily Simple SOFR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Benchmark Transition Event shall have occurred at such time); or</w:t>
      </w:r>
    </w:p>
    <w:p>
      <w:pPr>
        <w:spacing w:after="0" w:line="186" w:lineRule="exact"/>
        <w:rPr>
          <w:rFonts w:ascii="Times New Roman" w:cs="Times New Roman" w:eastAsia="Times New Roman" w:hAnsi="Times New Roman"/>
          <w:sz w:val="21"/>
          <w:szCs w:val="21"/>
          <w:color w:val="auto"/>
        </w:rPr>
      </w:pPr>
    </w:p>
    <w:p>
      <w:pPr>
        <w:jc w:val="both"/>
        <w:ind w:left="1300" w:firstLine="652"/>
        <w:spacing w:after="0" w:line="250" w:lineRule="auto"/>
        <w:tabs>
          <w:tab w:leader="none" w:pos="2267" w:val="left"/>
        </w:tabs>
        <w:numPr>
          <w:ilvl w:val="1"/>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is advised by the Majority Lenders (A) prior to the commencement of any Interest Period for a Term Benchmark Borrowing (or, in the case of any Interest Period of one week’s duration for a Term Benchmark Borrowing, at any time during such Interest Period), that the Adjusted Term SOFR for such Interest Period will not adequately and fairly reflect the cost to such Lenders of making or maintaining their Loans included in such Borrowing for such Interest Period or (B) at any time, that the Adjusted Daily Simple SOFR will not adequately and fairly reflect the cost to such Lenders of making or maintaining their Loans included in any RFR Borrowing;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97" w:name="page298"/>
    <w:bookmarkEnd w:id="297"/>
    <w:p>
      <w:pPr>
        <w:jc w:val="both"/>
        <w:spacing w:after="0" w:line="258" w:lineRule="auto"/>
        <w:rPr>
          <w:sz w:val="20"/>
          <w:szCs w:val="20"/>
          <w:color w:val="auto"/>
        </w:rPr>
      </w:pPr>
      <w:r>
        <w:rPr>
          <w:rFonts w:ascii="Times New Roman" w:cs="Times New Roman" w:eastAsia="Times New Roman" w:hAnsi="Times New Roman"/>
          <w:sz w:val="21"/>
          <w:szCs w:val="21"/>
          <w:color w:val="auto"/>
        </w:rPr>
        <w:t xml:space="preserve">then the Administrative Agent shall give notice thereof to the Borrower and the Lenders by telephone, telecopy or email as promptly as practicable thereafter and, until (x) the Administrative Agent notifies the Borrower and the Lenders that the circumstances giving rise to such notice no longer exist with respect to the relevant Benchmark and (y) the Borrower delivers a new Interest Election Request in accordance with Section 2.06 or a new Borrowing Request in accordance with Section 2.02, (i) any Interest Election Request that requests (A) so long as the Adjusted Daily Simple SOFR is not also the subject of Section 2.12(a)(1) or 2.12(a)(2), the conversion of any Borrowing to, or continuation of any Borrowing as, a Term Benchmark Borrowing shall instead be deemed to be an Interest Election Request for an RFR Borrowing (provided, however, that so long as the Adjusted Daily Simple SOFR is not also the subject of Section 2.12(a)(1) or 2.12(a)(2), any Interest Election Request for the conversion to or continuation of a Term Benchmark Borrowing with a one week Interest Period shall remain in effect (and shall not be deemed an Interest Election Request for an RFR Borrowing)) or (B) if the Adjusted Term SOFR and the Adjusted Daily Simple SOFR are each the subject of Section 2.12(a)(1) or 2.12(a)(2), the conversion of any Borrowing to, or continuation of any Borrowing as, a Term Benchmark Borrowing or an RFR Borrowing, in each case, shall be ineffective, and (ii)(A) so long as the Adjusted Daily Simple SOFR is not also the subject of Section 2.12(a)(1) or 2.12(a)(2), any Borrowing Request that requests a Term Benchmark Borrowing shall instead be deemed to be a Borrowing Request for an RFR Borrowing (provided, however, that so long as the Adjusted Daily Simple SOFR is not also the subject of Section 2.12(a)(1) or 2.12(a)(2), any Borrowing Request that requests a Term Benchmark Borrowing with a one week Interest Period shall remain in effect (and shall not be deemed a Borrowing Request for an RFR Borrowing)) or (B) if the Adjusted Term SOFR and the Adjusted Daily Simple SOFR are each the subject of Section 2.12(a)(1) or 2.12(a)(2), any Borrowing Request (other than a Borrowing Request that requests an ABR Borrowing) shall be ineffective. Furthermore, if any Term Benchmark Loan or RFR Loan is outstanding on the date of the Borrower’s receipt of the notice from the Administrative Agent referred to in this Section 2.12(a) with respect to a Relevant Rate applicable to such Term Benchmark Loan or RFR Loan, any such Term Benchmark Loan or RFR Loan, as applicable, shall on the last day of the Interest Period applicable to such Loan (or, in the case of (I) any Term Benchmark Loan with an Interest Period of one week’s duration or (II) any RFR Loan, on the date of such notice), be immediately due and payable together with all accrued interest thereon;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with respect to any such then outstanding Term Benchmark Borrowing with a one week Interest Period, such Borrowing shall remain outstanding until the last day of the Interest Period applicable thereto and shall be due and payable together with all accrued interest thereon on such last day of such Interest Period;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any such then outstanding Term Benchmark Borrowing with a one week Interest Period shall continue to accrue interest (X) in the case that Adjusted Daily Simple SOFR is the subject of </w:t>
      </w:r>
      <w:r>
        <w:rPr>
          <w:rFonts w:ascii="Times New Roman" w:cs="Times New Roman" w:eastAsia="Times New Roman" w:hAnsi="Times New Roman"/>
          <w:sz w:val="21"/>
          <w:szCs w:val="21"/>
          <w:u w:val="single" w:color="auto"/>
          <w:color w:val="auto"/>
        </w:rPr>
        <w:t>Section 2.12(a)(1)</w:t>
      </w:r>
      <w:r>
        <w:rPr>
          <w:rFonts w:ascii="Times New Roman" w:cs="Times New Roman" w:eastAsia="Times New Roman" w:hAnsi="Times New Roman"/>
          <w:sz w:val="21"/>
          <w:szCs w:val="21"/>
          <w:color w:val="auto"/>
        </w:rPr>
        <w:t xml:space="preserve">, from the date of such notice until the last day of such Interest Period at a rate equal to the most recent available Adjusted Term SOFR (as calculated pursuant to clause (b) of the definition thereof) applicable to such Borrowing plus the Applicable Rate applicable to such Borrowing or (Y) in the case that Adjusted Daily Simple SOFR is the subject of </w:t>
      </w:r>
      <w:r>
        <w:rPr>
          <w:rFonts w:ascii="Times New Roman" w:cs="Times New Roman" w:eastAsia="Times New Roman" w:hAnsi="Times New Roman"/>
          <w:sz w:val="21"/>
          <w:szCs w:val="21"/>
          <w:u w:val="single" w:color="auto"/>
          <w:color w:val="auto"/>
        </w:rPr>
        <w:t>Section 2.12(a)(2)</w:t>
      </w:r>
      <w:r>
        <w:rPr>
          <w:rFonts w:ascii="Times New Roman" w:cs="Times New Roman" w:eastAsia="Times New Roman" w:hAnsi="Times New Roman"/>
          <w:sz w:val="21"/>
          <w:szCs w:val="21"/>
          <w:color w:val="auto"/>
        </w:rPr>
        <w:t>, from the date of such notice until the last day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22"/>
          <w:szCs w:val="22"/>
          <w:color w:val="auto"/>
        </w:rPr>
        <w:t>Interest Period at the Alternate Base Rate plus the Applicable Rate applicable to ABR Borrowings.</w:t>
      </w:r>
    </w:p>
    <w:p>
      <w:pPr>
        <w:spacing w:after="0" w:line="220" w:lineRule="exact"/>
        <w:rPr>
          <w:sz w:val="20"/>
          <w:szCs w:val="20"/>
          <w:color w:val="auto"/>
        </w:rPr>
      </w:pPr>
    </w:p>
    <w:p>
      <w:pPr>
        <w:jc w:val="both"/>
        <w:ind w:firstLine="1304"/>
        <w:spacing w:after="0" w:line="260" w:lineRule="auto"/>
        <w:tabs>
          <w:tab w:leader="none" w:pos="1642" w:val="left"/>
        </w:tabs>
        <w:numPr>
          <w:ilvl w:val="0"/>
          <w:numId w:val="2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 Notwithstanding anything to the contrary herein or in any other Credit Document,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for such Benchmark Replacement Date, such Benchmark Replacement will replace such Benchmark (including any related adjustments) for all purposes hereunder and under any other Credit Document in respect of such Benchmark setting and subsequent Benchmark settings without any amendment to, or further action or consent of any other party to, this Agreement or any other Credit Document and (y) if a Benchmark Replacement is determined in accordance with clause (2) of the definition of “Benchmark Replacement” for such Benchmark Replacement Date, such Benchmark Replacement will replace such Benchmark for all purposes hereunder and under any other Credit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Credit Document so long as the Administrative Agent has not received, by such time, written notice of objection to such Benchmark Replacement from Lenders comprising the Majority Lenders of each Class.</w:t>
      </w:r>
    </w:p>
    <w:p>
      <w:pPr>
        <w:spacing w:after="0" w:line="190" w:lineRule="exact"/>
        <w:rPr>
          <w:sz w:val="20"/>
          <w:szCs w:val="20"/>
          <w:color w:val="auto"/>
        </w:rPr>
      </w:pPr>
    </w:p>
    <w:p>
      <w:pPr>
        <w:jc w:val="both"/>
        <w:ind w:firstLine="1304"/>
        <w:spacing w:after="0" w:line="252" w:lineRule="auto"/>
        <w:tabs>
          <w:tab w:leader="none" w:pos="1656"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will have the right, in consultation with the Borrower, to make Benchmark Replacement Conforming Changes from time to time and, notwithstanding anything to the contrary herein or in any other Credit Document, any amendments implementing such Benchmark Replacement Conforming Changes will become effective without any further action or consent of any other party to this Agreement or any other Credit Document.</w:t>
      </w:r>
    </w:p>
    <w:p>
      <w:pPr>
        <w:spacing w:after="0" w:line="179" w:lineRule="exact"/>
        <w:rPr>
          <w:rFonts w:ascii="Times New Roman" w:cs="Times New Roman" w:eastAsia="Times New Roman" w:hAnsi="Times New Roman"/>
          <w:sz w:val="22"/>
          <w:szCs w:val="22"/>
          <w:color w:val="auto"/>
        </w:rPr>
      </w:pPr>
    </w:p>
    <w:p>
      <w:pPr>
        <w:jc w:val="both"/>
        <w:ind w:firstLine="1304"/>
        <w:spacing w:after="0" w:line="249" w:lineRule="auto"/>
        <w:tabs>
          <w:tab w:leader="none" w:pos="1629"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will promptly notify the Borrower and the Lenders of (A) any occurrence of a Benchmark Transition Event and its related Benchmark Replacement Date, (B) the implementation of any Benchmark Replacement, (C) the effectiveness of any Benchmark Replacement Conforming Changes, (D) the removal or reinstatement of any tenor of a Benchmark pursuant to paragraph (b)(4) of this Section 2.12 and (E) the commencement or conclusion of any Benchmark Unavailability Period. Any determination, decision or election that may be made by the Administrative Agent or, if applicable, any Lender (or group of Lenders) pursuant to this Section 2.12,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Credit Document, except, in each case, as expressly required pursuant to this Section 2.12.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299" w:name="page300"/>
    <w:bookmarkEnd w:id="299"/>
    <w:p>
      <w:pPr>
        <w:jc w:val="both"/>
        <w:ind w:firstLine="1304"/>
        <w:spacing w:after="0" w:line="248" w:lineRule="auto"/>
        <w:tabs>
          <w:tab w:leader="none" w:pos="1615" w:val="left"/>
        </w:tabs>
        <w:numPr>
          <w:ilvl w:val="0"/>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herein or in any other Credit Document, at any time (including in connection with the implementation of a Benchmark Replacement), (A) if the then-current Benchmark is a term rate (including the Term SOFR) and either (1) any tenor for such Benchmark is not displayed on a screen or other information service that publishes such rate from time to time as selected by the Administrative Agent in its reasonable discretion or (2)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(B) if a tenor that was removed pursuant to clause (4)(A) of this Section 2.12(b) either (1) is subsequently displayed on a screen or information service for a Benchmark (including a Benchmark Replacement) or (2)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84" w:lineRule="exact"/>
        <w:rPr>
          <w:rFonts w:ascii="Times New Roman" w:cs="Times New Roman" w:eastAsia="Times New Roman" w:hAnsi="Times New Roman"/>
          <w:sz w:val="22"/>
          <w:szCs w:val="22"/>
          <w:color w:val="auto"/>
        </w:rPr>
      </w:pPr>
    </w:p>
    <w:p>
      <w:pPr>
        <w:jc w:val="both"/>
        <w:ind w:firstLine="1304"/>
        <w:spacing w:after="0" w:line="247" w:lineRule="auto"/>
        <w:tabs>
          <w:tab w:leader="none" w:pos="1629" w:val="left"/>
        </w:tabs>
        <w:numPr>
          <w:ilvl w:val="0"/>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Borrower’s receipt of notice of the commencement of a Benchmark Unavailability Period with respect to a Relevant Rate applicable to any Term Benchmark Borrowing or RFR Borrowing, the Borrower may revoke any request for borrowing of, conversion to or continuation of any such Term Benchmark Borrowing or RFR Borrowing, as applicable, to be made, converted or continued during any Benchmark Unavailability Period and, failing that, (i) the Borrower will be deemed to have converted any such request for a borrowing of, conversion to or continuation of any Borrowing as a Term Benchmark Borrowing into a request for a borrowing of or conversion to an RFR Borrowing so long as the Adjusted Daily Simple SOFR is not the subject of a Benchmark Transition Event (provided, however, that so long as the Adjusted Daily Simple SOFR is not the subject of a Benchmark Transition Event, any request for the borrowing of, conversion to or continuation of a Term Benchmark Borrowing with a one week Interest Period shall remain in effect (and shall not convert into a request for a borrowing of or conversion to an RFR Borrowing)) or (ii) if the Adjusted Term SOFR and the Adjusted Daily Simple SOFR are each the subject of a Benchmark Transition Event, any such request for a borrowing of, conversion to or continuation of any Borrowing as a Term Benchmark Borrowing or an RFR Borrowing, in each case, shall be ineffective. Furthermore, if any Term Benchmark Loan or RFR Loan is outstanding on the date of the Borrower’s receipt of notice of the commencement of a Benchmark Unavailability Period with respect to a Relevant Rate applicable to such Term Benchmark Loan or RFR Loan, any such Term Benchmark Loan or RFR Loan, as applicable, shall on the last day of the Interest Period applicable to such Loan (or, in the case of (I) any Term Benchmark Loan with an Interest Period of one week’s duration or (II) any RFR Loan, on the date of such notice), be immediately due and payable together with all accrued interest thereon;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any such then outstanding Term Benchmark Borrowing with a one week Interest Period, such Borrowing shall remain outstanding until the last day of the Interest Period applicable thereto and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00" w:name="page301"/>
    <w:bookmarkEnd w:id="300"/>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due and payable together with all accrued interest thereon on such last day of such Interest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any such then outstanding Term Benchmark Borrowing with a one week Interest Period shall continue to accrue interest from the date of such notice until the last day of such Interest Period at a rate equal to the most recent available Adjusted Term SOFR (as calculated pursuant to clause (b) of the definition thereof) applicable to such Borrowing plus the Applicable Rate applicable to such Borrowing. During any Benchmark Unavailability Period or at any time that a tenor for the then-current Benchmark is not an Available Tenor, the component of the Alternate Base Rate based upon the then-current Benchmark or such tenor for such Benchmark, as applicable, will not be used in any determination of the Alternate Base Rate.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SECTION 2.13. </w:t>
      </w:r>
      <w:r>
        <w:rPr>
          <w:rFonts w:ascii="Times New Roman" w:cs="Times New Roman" w:eastAsia="Times New Roman" w:hAnsi="Times New Roman"/>
          <w:sz w:val="22"/>
          <w:szCs w:val="22"/>
          <w:u w:val="single" w:color="auto"/>
          <w:color w:val="auto"/>
        </w:rPr>
        <w:t>Increased Costs.</w:t>
      </w:r>
      <w:r>
        <w:rPr>
          <w:rFonts w:ascii="Times New Roman" w:cs="Times New Roman" w:eastAsia="Times New Roman" w:hAnsi="Times New Roman"/>
          <w:sz w:val="22"/>
          <w:szCs w:val="22"/>
          <w:color w:val="auto"/>
        </w:rPr>
        <w:t xml:space="preserve"> (a) If any Change in Law shall:</w:t>
      </w:r>
    </w:p>
    <w:p>
      <w:pPr>
        <w:spacing w:after="0" w:line="233" w:lineRule="exact"/>
        <w:rPr>
          <w:sz w:val="20"/>
          <w:szCs w:val="20"/>
          <w:color w:val="auto"/>
        </w:rPr>
      </w:pPr>
    </w:p>
    <w:p>
      <w:pPr>
        <w:jc w:val="both"/>
        <w:ind w:left="1300" w:firstLine="652"/>
        <w:spacing w:after="0" w:line="257" w:lineRule="auto"/>
        <w:tabs>
          <w:tab w:leader="none" w:pos="2219"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modify or deem applicable any reserve, special deposit, compulsory loan, insurance charge or similar requirement against assets of, deposits with or for the account of, or credit extended or participated in by, any Lender or any Issuing Bank; or</w:t>
      </w:r>
    </w:p>
    <w:p>
      <w:pPr>
        <w:spacing w:after="0" w:line="172" w:lineRule="exact"/>
        <w:rPr>
          <w:rFonts w:ascii="Times New Roman" w:cs="Times New Roman" w:eastAsia="Times New Roman" w:hAnsi="Times New Roman"/>
          <w:sz w:val="22"/>
          <w:szCs w:val="22"/>
          <w:color w:val="auto"/>
        </w:rPr>
      </w:pPr>
    </w:p>
    <w:p>
      <w:pPr>
        <w:jc w:val="both"/>
        <w:ind w:left="1300" w:firstLine="652"/>
        <w:spacing w:after="0" w:line="268" w:lineRule="auto"/>
        <w:tabs>
          <w:tab w:leader="none" w:pos="2286" w:val="left"/>
        </w:tabs>
        <w:numPr>
          <w:ilvl w:val="0"/>
          <w:numId w:val="2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impose on any Lender, any Issuing Bank or the Administrative Agent, or on any applicable offshore interbank market, any other condition (including Taxes on its loans, loan principal, letters of credit, commitments or other obligations, or its deposits, reserves, other liabilities or capital attributable thereto other than (A) Taxes on or with respect to any payment hereunder or under any other Credit Document, (B) Excluded Taxes and (C) Other Taxes) affecting this Agreement or Loans made by such Lender or any Letter of Credit or participation therein;</w:t>
      </w:r>
    </w:p>
    <w:p>
      <w:pPr>
        <w:spacing w:after="0" w:line="1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and the result of any of the foregoing shall be to increase the cost to such Lender of making or maintaining any Loan (or of maintaining its obligation to make any Loan) or to increase the cost to such Lender or such Issuing Bank of participating in, issuing or maintaining any Letter of Credit or to reduce the amount of any sum received or receivable by such Lender or such Issuing Bank hereunder (whether of principal, interest or otherwise), in each case by an amount deemed by such Lender or Issuing Bank, as the case may be, to be material, then the Borrower will pay to such Lender or such Issuing Bank such additional amount or amounts as will compensate such Lender or such Issuing Bank, as the case may be, for such additional costs incurred or reduction suffered.</w:t>
      </w:r>
    </w:p>
    <w:p>
      <w:pPr>
        <w:spacing w:after="0" w:line="180" w:lineRule="exact"/>
        <w:rPr>
          <w:sz w:val="20"/>
          <w:szCs w:val="20"/>
          <w:color w:val="auto"/>
        </w:rPr>
      </w:pPr>
    </w:p>
    <w:p>
      <w:pPr>
        <w:jc w:val="both"/>
        <w:ind w:firstLine="1304"/>
        <w:spacing w:after="0" w:line="250" w:lineRule="auto"/>
        <w:tabs>
          <w:tab w:leader="none" w:pos="1629"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Lender or any Issuing Bank determines in good faith that any Change in Law regarding capital or liquidity requirements has had or would have the effect of reducing the rate of return on such Lender’s or such Issuing Bank’s capital or on the capital of such Lender’s or such Issuing Bank’s holding company, if any, in each case by an amount deemed by such Lender or such Issuing Bank to be material, as a consequence of this Agreement or the Commitment of such Lender or the Loans or participations in Letters of Credit held by such Lender, or the Letters of Credit issued by such Issuing Bank, to a level below that which such Lender or such Issuing Bank or such Lender’s or such Issuing Bank’s holding company would have achieved but for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01" w:name="page302"/>
    <w:bookmarkEnd w:id="301"/>
    <w:p>
      <w:pPr>
        <w:jc w:val="both"/>
        <w:spacing w:after="0" w:line="256" w:lineRule="auto"/>
        <w:rPr>
          <w:sz w:val="20"/>
          <w:szCs w:val="20"/>
          <w:color w:val="auto"/>
        </w:rPr>
      </w:pPr>
      <w:r>
        <w:rPr>
          <w:rFonts w:ascii="Times New Roman" w:cs="Times New Roman" w:eastAsia="Times New Roman" w:hAnsi="Times New Roman"/>
          <w:sz w:val="22"/>
          <w:szCs w:val="22"/>
          <w:color w:val="auto"/>
        </w:rPr>
        <w:t>Change in Law (taking into consideration such Lender’s or such Issuing Bank’s policies and the policies of such Lender’s or such Issuing Bank’s holding company with respect to capital adequacy and liquidity), then from time to time the Borrower will pay to such Lender or such Issuing Bank, as the case may be, such additional amount or amounts as will compensate such Lender or such Issuing Bank or such Lender’s or such Issuing Bank’s holding company for any such reduction suffered.</w:t>
      </w:r>
    </w:p>
    <w:p>
      <w:pPr>
        <w:spacing w:after="0" w:line="176" w:lineRule="exact"/>
        <w:rPr>
          <w:sz w:val="20"/>
          <w:szCs w:val="20"/>
          <w:color w:val="auto"/>
        </w:rPr>
      </w:pPr>
    </w:p>
    <w:p>
      <w:pPr>
        <w:jc w:val="both"/>
        <w:ind w:firstLine="1304"/>
        <w:spacing w:after="0" w:line="253" w:lineRule="auto"/>
        <w:tabs>
          <w:tab w:leader="none" w:pos="1590"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certificate of a Lender or an Issuing Bank setting forth the amount or amounts necessary to compensate such Lender or such Issuing Bank or its holding company, as the case may be, as specified in paragraph (a) or (b) of this Section shall be delivered to the Borrower. The Borrower shall pay such Lender or such Issuing Bank, as the case may be, the amount shown as due on any such certificate within 10 days after receipt thereof, unless such amount is being contested by the Borrower in good faith.</w:t>
      </w:r>
    </w:p>
    <w:p>
      <w:pPr>
        <w:spacing w:after="0" w:line="178" w:lineRule="exact"/>
        <w:rPr>
          <w:rFonts w:ascii="Times New Roman" w:cs="Times New Roman" w:eastAsia="Times New Roman" w:hAnsi="Times New Roman"/>
          <w:sz w:val="22"/>
          <w:szCs w:val="22"/>
          <w:color w:val="auto"/>
        </w:rPr>
      </w:pPr>
    </w:p>
    <w:p>
      <w:pPr>
        <w:jc w:val="both"/>
        <w:ind w:firstLine="1304"/>
        <w:spacing w:after="0" w:line="250" w:lineRule="auto"/>
        <w:tabs>
          <w:tab w:leader="none" w:pos="1615"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Failure or delay on the part of any Lender or Issuing Bank to demand compensation pursuant to this Section shall not constitute a waiver of such Lender’s or such Issuing Bank’s right to demand such compensation;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shall not be required to compensate a Lender or an Issuing Bank pursuant to this Section for any increased costs or reductions incurred more than 180 days prior to the date that such Lender or such Issuing Bank notifies the Borrower of the Change in Law giving rise to such increased costs or reductions and of such Lender’s or such Issuing Bank’s intention to claim compensation therefor;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if the Change in Law giving rise to such increased costs or reductions is retroactive, then the 180-day period referred to above shall be extended to include the period of retroactive effect thereof.</w:t>
      </w:r>
    </w:p>
    <w:p>
      <w:pPr>
        <w:spacing w:after="0" w:line="180"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2.14. </w:t>
      </w:r>
      <w:r>
        <w:rPr>
          <w:rFonts w:ascii="Times New Roman" w:cs="Times New Roman" w:eastAsia="Times New Roman" w:hAnsi="Times New Roman"/>
          <w:sz w:val="22"/>
          <w:szCs w:val="22"/>
          <w:u w:val="single" w:color="auto"/>
          <w:color w:val="auto"/>
        </w:rPr>
        <w:t>Break Funding Payments.</w:t>
      </w:r>
      <w:r>
        <w:rPr>
          <w:rFonts w:ascii="Times New Roman" w:cs="Times New Roman" w:eastAsia="Times New Roman" w:hAnsi="Times New Roman"/>
          <w:sz w:val="22"/>
          <w:szCs w:val="22"/>
          <w:color w:val="auto"/>
        </w:rPr>
        <w:t xml:space="preserve"> Except with respect to Term Benchmark Loans with a one week Interest Period, in the event of (1) the payment of any principal of any Term Benchmark Loan other than on the last day of an Interest Period applicable thereto (including as a result of an Event of Default), (2) the conversion of any Term Benchmark Loan other than on the last day of the Interest Period applicable thereto, (3) the failure to borrow, continue or prepay any Term Benchmark Loan, or to convert any Loan to a Term Benchmark Loan, on the date specified in any notice delivered pursuant hereto (unless such notice (i) may be revoked or is deemed a request for a different Type of Borrowing under Section 2.12(b)(5) or (ii) becomes ineffective or is deemed a request for a different Type of Borrowing under Section 2.12(a), but regardless of whether such notice may be revoked under Section 2.09(c) and is revoked in accordance therewith) or (4) the assignment of any Term Benchmark Loan other than on the last day of the Interest Period applicable thereto as a result of a request by the Borrower pursuant to Section 2.17, then, in any such event, the Borrower shall compensate each Lender for the loss, cost and expense attributable to such event (excluding any loss of margin or anticipated profit). A certificate of any Lender setting forth any amount or amounts that such Lender is entitled to receive pursuant to this Section shall be delivered to the Borrower. The Borrower shall pay such Lender the amount shown as due on any such certificate within 10 days after receipt thereof, unless such amount is being contested by the Borrower in good faith.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02" w:name="page303"/>
    <w:bookmarkEnd w:id="302"/>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2.15.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xml:space="preserve"> (a) Any and all payments by or on account of any obligation of the Borrower or any other Credit Party hereunder or under any other Credit Document shall be made free and clear of and without deduction for any Indemnified Taxes or Other Taxes;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Borrower or any other Credit Party shall be required to deduct any Indemnified Taxes or Other Taxes from such payments, then (i) the sum payable shall be increased as necessary so that after making all required deductions of such Taxes (including deductions applicable to additional sums payable under this Section) the Administrative Agent, Issuing Bank, Swingline Lender or Lender (as the case may be) receives an amount equal to the sum it would have received had no such deductions been made (and the Borrower shall pay or cause such Credit Party to pay such increased amount), (ii) the Borrower or such other Credit Party shall make such deductions and (iii) the Borrower or such other Credit Party shall pay the full amount deducted to the relevant Governmental Authority in accordance with applicable law.</w:t>
      </w:r>
    </w:p>
    <w:p>
      <w:pPr>
        <w:spacing w:after="0" w:line="180" w:lineRule="exact"/>
        <w:rPr>
          <w:sz w:val="20"/>
          <w:szCs w:val="20"/>
          <w:color w:val="auto"/>
        </w:rPr>
      </w:pPr>
    </w:p>
    <w:p>
      <w:pPr>
        <w:jc w:val="both"/>
        <w:ind w:firstLine="1304"/>
        <w:spacing w:after="0" w:line="247" w:lineRule="auto"/>
        <w:tabs>
          <w:tab w:leader="none" w:pos="1602"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indemnify the Administrative Agent, each Issuing Bank, each Swingline Lender and each Lender, within 10 days after written demand therefor, for the full amount of any Indemnified Taxes or Other Taxes paid by the Administrative Agent, such Issuing Bank, such Swingline Lender or such Lender, as the case may be, on or with respect to any payment by or on account of any obligation of the Borrower or any other Credit Party hereunder or under any other Credit Document (including Indemnified Taxes or Other Taxes imposed or asserted on or attributable to amounts payable under this Section) and any penalties, interest and reasonable out-ofpocket expenses arising therefrom or with respect thereto, whether or not such Indemnified Taxes or Other Taxes were correctly or legally imposed or asserted by the relevant Governmental Authority. A certificate as to the amount of such payment or liability delivered to the Borrower by a Lender, the applicable Issuing Bank or the applicable Swingline Lender or by the Administrative Agent on its own behalf or on behalf of the applicable Issuing Bank, Swingline Lender or a Lender, shall be conclusive absent manifest error.</w:t>
      </w:r>
    </w:p>
    <w:p>
      <w:pPr>
        <w:spacing w:after="0" w:line="204" w:lineRule="exact"/>
        <w:rPr>
          <w:rFonts w:ascii="Times New Roman" w:cs="Times New Roman" w:eastAsia="Times New Roman" w:hAnsi="Times New Roman"/>
          <w:sz w:val="22"/>
          <w:szCs w:val="22"/>
          <w:color w:val="auto"/>
        </w:rPr>
      </w:pPr>
    </w:p>
    <w:p>
      <w:pPr>
        <w:ind w:firstLine="1304"/>
        <w:spacing w:after="0" w:line="271" w:lineRule="auto"/>
        <w:tabs>
          <w:tab w:leader="none" w:pos="1617"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the Borrower shall pay any Other Taxes to the relevant Governmental Authority in accordance with applicable law.</w:t>
      </w:r>
    </w:p>
    <w:p>
      <w:pPr>
        <w:spacing w:after="0" w:line="157" w:lineRule="exact"/>
        <w:rPr>
          <w:rFonts w:ascii="Times New Roman" w:cs="Times New Roman" w:eastAsia="Times New Roman" w:hAnsi="Times New Roman"/>
          <w:sz w:val="22"/>
          <w:szCs w:val="22"/>
          <w:color w:val="auto"/>
        </w:rPr>
      </w:pPr>
    </w:p>
    <w:p>
      <w:pPr>
        <w:jc w:val="both"/>
        <w:ind w:firstLine="1304"/>
        <w:spacing w:after="0" w:line="249" w:lineRule="auto"/>
        <w:tabs>
          <w:tab w:leader="none" w:pos="1602"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shall severally indemnify the Administrative Agent for (i) any Taxes described in Section 2.15(a) (but, in the case of any Indemnified Taxes, only to the extent that the Borrower has not already indemnified the Administrative Agent for such Taxes and without limiting the obligation of the Borrower to do so) attributable to such Lender, (ii) any Taxes attributable to such Lender’s failure to comply with the provisions of Section 9.04(c) relating to the maintenance of a Participant Register and (iii) any Excluded Taxes attributable to such Lender, in each case, that are paid or payable by the Administrative Agent in connection with any Credit Document and any reasonable expenses arising therefrom or with respect thereto, whether or not such Taxes were correctly or legally imposed or asserted by the relevant Governmental Authority. The indemnity under this Section 2.15(d) shall be paid within 10 days after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03" w:name="page304"/>
    <w:bookmarkEnd w:id="303"/>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Administrative Agent delivers to the applicable Lender a certificate stating the amount of Taxes so paid or payable by the Administrative Agent. Such certificate shall be conclusive of the amount so paid or payable absent manifest error. Each Lender hereby authorizes the Administrative Agent to set off and apply any and all amounts at any time owing to such Lender under any Credit Document or otherwise payable by the Administrative Agent to the Lender from any other source against any amount due to the Administrative Agent under this paragraph </w:t>
      </w: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304"/>
        <w:spacing w:after="0" w:line="256" w:lineRule="auto"/>
        <w:tabs>
          <w:tab w:leader="none" w:pos="1603"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practicable after any payment of Indemnified Taxes or Other Taxes by the Borrower or any other Credit Party to a Governmental Authority,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76" w:lineRule="exact"/>
        <w:rPr>
          <w:rFonts w:ascii="Times New Roman" w:cs="Times New Roman" w:eastAsia="Times New Roman" w:hAnsi="Times New Roman"/>
          <w:sz w:val="22"/>
          <w:szCs w:val="22"/>
          <w:color w:val="auto"/>
        </w:rPr>
      </w:pPr>
    </w:p>
    <w:p>
      <w:pPr>
        <w:jc w:val="both"/>
        <w:ind w:firstLine="1304"/>
        <w:spacing w:after="0" w:line="259" w:lineRule="auto"/>
        <w:tabs>
          <w:tab w:leader="none" w:pos="1566" w:val="left"/>
        </w:tabs>
        <w:numPr>
          <w:ilvl w:val="0"/>
          <w:numId w:val="2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Foreign Lender that is entitled to an exemption from or reduction of withholding Tax under the law of the jurisdiction in which the Borrower is located, or any treaty to which such jurisdiction is a party, with respect to payments under this Agreement shall deliver to the Borrower (with a copy to the Administrative Agent), at the time such Foreign Lender first becomes a party to this Agreement and at the time or times reasonably requested by the Borrower or the Administrative Agent or prescribed by applicable law, such properly completed and executed documentation prescribed by applicable law or reasonably requested by the Borrower or the Administrative Agent as will permit such payments to be made without withholding or at a reduced rate of withholding;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Foreign Lender has received written notice from the Borrower advising it of the availability of such exemption or reduction and supplying all applicable documentation; and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no such written notice shall be required with respect to any documentation necessary to comply with the applicable reporting requirements of FATCA (as described in Section 2.15(g)) or the applicable IRS Form W-8 a Foreign Lender is required to deliver to the Borrower to permit payments to be made without withholding of U.S. Federal income Tax (or at a reduced rate of U.S. withholding Tax).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this Section 2.15(f), the completion, execution and submission of such documentation shall not be required if in the Lender’s judgment such completion, execution or submission would subject such Lender to any material unreimbursed cost or expense or would materially prejudice the legal or commercial position of such Lender. Each Lender agrees that if any form or certification it previously delivered in accordance with this Section 2.15(f) or Section 2.15(g) expires or becomes obsolete or inaccurate in any respect, it shall update such form or certification or promptly notify the Borrower and the Administrative Agent in writing of its legal inability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04" w:name="page305"/>
    <w:bookmarkEnd w:id="304"/>
    <w:p>
      <w:pPr>
        <w:jc w:val="both"/>
        <w:ind w:firstLine="1304"/>
        <w:spacing w:after="0" w:line="249" w:lineRule="auto"/>
        <w:tabs>
          <w:tab w:leader="none" w:pos="1602" w:val="left"/>
        </w:tabs>
        <w:numPr>
          <w:ilvl w:val="0"/>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payment made to a Lender under any Credit Document would be subject to U. 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paragraph (g), “FATCA” shall include any amendments made to FATCA after the date of this Agreement.</w:t>
      </w:r>
    </w:p>
    <w:p>
      <w:pPr>
        <w:spacing w:after="0" w:line="183" w:lineRule="exact"/>
        <w:rPr>
          <w:rFonts w:ascii="Times New Roman" w:cs="Times New Roman" w:eastAsia="Times New Roman" w:hAnsi="Times New Roman"/>
          <w:sz w:val="22"/>
          <w:szCs w:val="22"/>
          <w:color w:val="auto"/>
        </w:rPr>
      </w:pPr>
    </w:p>
    <w:p>
      <w:pPr>
        <w:jc w:val="both"/>
        <w:ind w:firstLine="1304"/>
        <w:spacing w:after="0" w:line="275" w:lineRule="auto"/>
        <w:tabs>
          <w:tab w:leader="none" w:pos="1602" w:val="left"/>
        </w:tabs>
        <w:numPr>
          <w:ilvl w:val="0"/>
          <w:numId w:val="2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determining withholding Taxes imposed under FATCA, from and after the Restatement Date, the Borrower and the Administrative Agent shall treat (and the Lenders hereby authorize the Administrative Agent to treat) the Loans as not qualifying as a “grandfathered obligation” within the meaning of Treasury Regulation Section 1.1471-2(b)(2)(i).</w:t>
      </w:r>
    </w:p>
    <w:p>
      <w:pPr>
        <w:spacing w:after="0" w:line="155"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2.16. </w:t>
      </w:r>
      <w:r>
        <w:rPr>
          <w:rFonts w:ascii="Times New Roman" w:cs="Times New Roman" w:eastAsia="Times New Roman" w:hAnsi="Times New Roman"/>
          <w:sz w:val="22"/>
          <w:szCs w:val="22"/>
          <w:u w:val="single" w:color="auto"/>
          <w:color w:val="auto"/>
        </w:rPr>
        <w:t>Payments Generally; Pro Rata Treatment; Sharing of Setoffs.</w:t>
      </w:r>
      <w:r>
        <w:rPr>
          <w:rFonts w:ascii="Times New Roman" w:cs="Times New Roman" w:eastAsia="Times New Roman" w:hAnsi="Times New Roman"/>
          <w:sz w:val="22"/>
          <w:szCs w:val="22"/>
          <w:color w:val="auto"/>
        </w:rPr>
        <w:t xml:space="preserve"> (a) Except as required or permitted under Section 2.02, 2.03, 2.13, 2.14, 2.15, 2.17, 2.19 or 9.03, each Borrowing, each payment or prepayment of principal of any Borrowing or of any LC Disbursement, each payment of interest on the Loans or the LC Disbursements, each payment of fees (other than fees payable to the Issuing Banks), each reduction of the Commitments and each refinancing of any Borrowing with a Borrowing of any Type, shall be allocated pro rata among the Lenders in accordance with their respective Commitments (or, if such Commitments shall have expired or been terminated, in accordance with the respective principal amounts of their outstanding Loans or LC Exposures, as applicable). Each Lender agrees that in computing such Lender’s portion of any Borrowing to be made hereunder, the Administrative Agent may, in its discretion, round each Lender’s percentage of such Borrowing to the next higher or lower whole dollar amount.</w:t>
      </w:r>
    </w:p>
    <w:p>
      <w:pPr>
        <w:spacing w:after="0" w:line="180" w:lineRule="exact"/>
        <w:rPr>
          <w:sz w:val="20"/>
          <w:szCs w:val="20"/>
          <w:color w:val="auto"/>
        </w:rPr>
      </w:pPr>
    </w:p>
    <w:p>
      <w:pPr>
        <w:jc w:val="both"/>
        <w:ind w:firstLine="1304"/>
        <w:spacing w:after="0" w:line="250" w:lineRule="auto"/>
        <w:tabs>
          <w:tab w:leader="none" w:pos="1615" w:val="left"/>
        </w:tabs>
        <w:numPr>
          <w:ilvl w:val="0"/>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make each payment required to be made by it hereunder (whether of principal, interest, fees or reimbursement of LC Disbursements, or of amounts payable under Section 2.13, 2.14 or 2.15 or otherwise) prior to 1:00 p.m., New York City time, on the date when due, in immediately available funds, without setoff, counterclaim or other deduction. Any amounts received after such time on any date may, in the discretion of the Administrative Agent, be deemed to have been received on the next succeeding Business Day for purposes of calculating interest thereon. All such payments shall be made to the Administrative Agent to the applicable account specified by the Administrative Agent for the account of the applicable Lenders or, in any such case, to such other account as the Administrative Agent shall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05" w:name="page306"/>
    <w:bookmarkEnd w:id="305"/>
    <w:p>
      <w:pPr>
        <w:jc w:val="both"/>
        <w:spacing w:after="0" w:line="262" w:lineRule="auto"/>
        <w:rPr>
          <w:sz w:val="20"/>
          <w:szCs w:val="20"/>
          <w:color w:val="auto"/>
        </w:rPr>
      </w:pPr>
      <w:r>
        <w:rPr>
          <w:rFonts w:ascii="Times New Roman" w:cs="Times New Roman" w:eastAsia="Times New Roman" w:hAnsi="Times New Roman"/>
          <w:sz w:val="21"/>
          <w:szCs w:val="21"/>
          <w:color w:val="auto"/>
        </w:rPr>
        <w:t>specify in a notice delivered to the Borrower, except payments to be made directly to an Issuing Bank or Swingline Lender as expressly provided herein and except that payments pursuant to Sections 2.13, 2.14, 2.15, 2.17, 2.19 and 9.03 shall be made directly to the Persons entitled thereto. The Administrative Agent shall distribute any such payments received by it for the account of any other Person in appropriate ratable shares to the appropriate recipient or recipients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 except as otherwise expressly provided. Any payment required to be made by the Administrative Agent hereunder shall be deemed to have been made by the time required if the Administrative Agent shall, at or before such time, have taken the necessary steps to make such payment in accordance with the regulations or operating procedures of the clearing or settlement system used by the Administrative Agent to make such payment.</w:t>
      </w:r>
    </w:p>
    <w:p>
      <w:pPr>
        <w:spacing w:after="0" w:line="172" w:lineRule="exact"/>
        <w:rPr>
          <w:sz w:val="20"/>
          <w:szCs w:val="20"/>
          <w:color w:val="auto"/>
        </w:rPr>
      </w:pPr>
    </w:p>
    <w:p>
      <w:pPr>
        <w:jc w:val="both"/>
        <w:ind w:firstLine="1304"/>
        <w:spacing w:after="0" w:line="251" w:lineRule="auto"/>
        <w:tabs>
          <w:tab w:leader="none" w:pos="1617" w:val="left"/>
        </w:tabs>
        <w:numPr>
          <w:ilvl w:val="0"/>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insufficient funds are received by and available to the Administrative Agent to pay fully all amounts of principal, unreimbursed LC Disbursements, interest and fees then due hereunder, such funds shall be applied (i) first, towards payment of interest and fees then due hereunder, ratably among the parties entitled thereto in accordance with the amounts of interest and fees then due to such parties, and (ii) second, towards payment of principal and unreimbursed LC Disbursements then due hereunder, ratably among the parties entitled thereto in accordance with the amounts of principal and unreimbursed LC Disbursements then due to such parties.</w:t>
      </w:r>
    </w:p>
    <w:p>
      <w:pPr>
        <w:spacing w:after="0" w:line="181" w:lineRule="exact"/>
        <w:rPr>
          <w:rFonts w:ascii="Times New Roman" w:cs="Times New Roman" w:eastAsia="Times New Roman" w:hAnsi="Times New Roman"/>
          <w:sz w:val="22"/>
          <w:szCs w:val="22"/>
          <w:color w:val="auto"/>
        </w:rPr>
      </w:pPr>
    </w:p>
    <w:p>
      <w:pPr>
        <w:jc w:val="both"/>
        <w:ind w:firstLine="1304"/>
        <w:spacing w:after="0" w:line="247" w:lineRule="auto"/>
        <w:tabs>
          <w:tab w:leader="none" w:pos="1602" w:val="left"/>
        </w:tabs>
        <w:numPr>
          <w:ilvl w:val="0"/>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Lender shall, by exercising any right of setoff or counterclaim or otherwise, obtain payment in respect of any principal of or interest on any of its Loans or participations in LC Disbursements or Swingline Loans resulting in such Lender receiving payment of a greater proportion of the aggregate amount of its Loans, participations in LC Disbursements or Swingline Loans and accrued interest thereon than the proportion received by any other Lender, then the Lender receiving such greater proportion shall purchase (for cash at face value) participations in the Loans and participations in LC Disbursements and Swingline Loans of other Lenders to the extent necessary so that the benefit of all such payments shall be shared by the Lenders ratably in accordance with the aggregate amount of principal of and accrued interest on their respective Loans and participations in LC Disbursements and Swingline Loans. If any participations are purchased pursuant to the preceding sentence and all or any portion of the payments giving rise thereto are recovered, such participations shall be rescinded and the purchase price restored to the extent of such recovery, without interest. The provisions of this paragraph shall not be construed to apply to any payment made by the Borrower pursuant to and in accordance with the express terms of this Agreement or any payment obtained by a Lender as consideration for the assignment of or sale of a participation in its Commitment or any of its Loans or participations in LC Disbursements or Swingline Loans to any assignee or participant, other than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06" w:name="page307"/>
    <w:bookmarkEnd w:id="306"/>
    <w:p>
      <w:pPr>
        <w:jc w:val="both"/>
        <w:spacing w:after="0" w:line="253" w:lineRule="auto"/>
        <w:rPr>
          <w:sz w:val="20"/>
          <w:szCs w:val="20"/>
          <w:color w:val="auto"/>
        </w:rPr>
      </w:pPr>
      <w:r>
        <w:rPr>
          <w:rFonts w:ascii="Times New Roman" w:cs="Times New Roman" w:eastAsia="Times New Roman" w:hAnsi="Times New Roman"/>
          <w:sz w:val="22"/>
          <w:szCs w:val="22"/>
          <w:color w:val="auto"/>
        </w:rPr>
        <w:t>Borrower or any Affiliate thereof (as to which the provisions of this paragraph shall apply). The Borrower consents to the foregoing and agrees, to the extent it may effectively do so under applicable law and under this Agreement,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79" w:lineRule="exact"/>
        <w:rPr>
          <w:sz w:val="20"/>
          <w:szCs w:val="20"/>
          <w:color w:val="auto"/>
        </w:rPr>
      </w:pPr>
    </w:p>
    <w:p>
      <w:pPr>
        <w:jc w:val="both"/>
        <w:ind w:firstLine="1304"/>
        <w:spacing w:after="0" w:line="249" w:lineRule="auto"/>
        <w:tabs>
          <w:tab w:leader="none" w:pos="1590"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Administrative Agent shall have received notice from the Borrower prior to the date on which any payment is due to the Administrative Agent for the account of the Lenders or any Issuing Bank hereunder that the Borrower will not make such payment, the Administrative Agent may assume that the Borrower has made such payment on such date in accordance herewith and may, in reliance upon such assumption, distribute to the Lenders or the Issuing Banks, as the case may be, the amount due. In such event, if the Borrower has not in fact made such payment, then each of the Lenders or the Issuing Banks, as the case may be, severally agrees to repay to the Administrative Agent forthwith on demand the amount so distributed to such Lender or Issuing Bank, and to pay interest thereon for each day from and including the date such amount shall have been distributed to it to but excluding the date of payment to or recovery by the Administrative Agent, at the greater of the Federal Funds Effective Rate and a rate determined by the Administrative Agent in accordance with banking industry rules on interbank compensation.</w:t>
      </w:r>
    </w:p>
    <w:p>
      <w:pPr>
        <w:spacing w:after="0" w:line="179" w:lineRule="exact"/>
        <w:rPr>
          <w:rFonts w:ascii="Times New Roman" w:cs="Times New Roman" w:eastAsia="Times New Roman" w:hAnsi="Times New Roman"/>
          <w:sz w:val="22"/>
          <w:szCs w:val="22"/>
          <w:color w:val="auto"/>
        </w:rPr>
      </w:pPr>
    </w:p>
    <w:p>
      <w:pPr>
        <w:jc w:val="both"/>
        <w:ind w:firstLine="1304"/>
        <w:spacing w:after="0" w:line="263" w:lineRule="auto"/>
        <w:tabs>
          <w:tab w:leader="none" w:pos="1593" w:val="left"/>
        </w:tabs>
        <w:numPr>
          <w:ilvl w:val="0"/>
          <w:numId w:val="2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any Lender shall fail to make any payment required to be made by it pursuant to Section 2.03(d) or </w:t>
      </w:r>
      <w:r>
        <w:rPr>
          <w:rFonts w:ascii="Times New Roman" w:cs="Times New Roman" w:eastAsia="Times New Roman" w:hAnsi="Times New Roman"/>
          <w:sz w:val="21"/>
          <w:szCs w:val="21"/>
          <w:b w:val="1"/>
          <w:bCs w:val="1"/>
          <w:color w:val="auto"/>
        </w:rPr>
        <w: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2.05(b)</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2.15(d)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2.16(e)</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9.03(c) </w:t>
      </w:r>
      <w:r>
        <w:rPr>
          <w:rFonts w:ascii="Times New Roman" w:cs="Times New Roman" w:eastAsia="Times New Roman" w:hAnsi="Times New Roman"/>
          <w:sz w:val="21"/>
          <w:szCs w:val="21"/>
          <w:color w:val="auto"/>
        </w:rPr>
        <w:t>or any other provision requiring payment by such Lender for the account of the Administrative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Agent, any Swingline Lender or any Issuing Bank, then the Administrative Agent may, in its discretion and notwithstanding any contrary provision hereof, (i) apply any amounts thereafter received by the Administrative Agent for the account of such Lender for the benefit of the Administrative Agent, such Swingline Lender or such Issuing Bank to satisfy such Lender’s obligations to it under such Section until all such unsatisfied obligations are fully paid, and/or (ii) hold any such amounts in a segregated account as cash collateral for, and application to, any future funding obligations of such Lender under any such Section, in the case of each of clauses (i) and (ii) above, in any order as determined by the Administrative Agent in its discretion.</w:t>
      </w:r>
    </w:p>
    <w:p>
      <w:pPr>
        <w:spacing w:after="0" w:line="16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2.17. </w:t>
      </w:r>
      <w:r>
        <w:rPr>
          <w:rFonts w:ascii="Times New Roman" w:cs="Times New Roman" w:eastAsia="Times New Roman" w:hAnsi="Times New Roman"/>
          <w:sz w:val="22"/>
          <w:szCs w:val="22"/>
          <w:u w:val="single" w:color="auto"/>
          <w:color w:val="auto"/>
        </w:rPr>
        <w:t>Mitigation Obligations; Replacement of Lenders</w:t>
      </w:r>
      <w:r>
        <w:rPr>
          <w:rFonts w:ascii="Times New Roman" w:cs="Times New Roman" w:eastAsia="Times New Roman" w:hAnsi="Times New Roman"/>
          <w:sz w:val="22"/>
          <w:szCs w:val="22"/>
          <w:color w:val="auto"/>
        </w:rPr>
        <w:t>. (a) If any Lender requests compensation under Section 2.13 or if the Borrower is required to pay any additional amount to any Lender or any Governmental Authority for the account of any Lender pursuant to Section 2.15,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2.13 or 2.15, as the case may be, in the future and (ii) would not subject such Lender to any unreimbursed cost or expense and would not otherwise be disadvantageous to such Lender. The Borrower hereby agrees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22"/>
          <w:szCs w:val="22"/>
          <w:color w:val="auto"/>
        </w:rPr>
        <w:t>pay all reasonable costs and expenses incurred by any Lender in connection with any such designation or assignment.</w:t>
      </w:r>
    </w:p>
    <w:p>
      <w:pPr>
        <w:spacing w:after="0" w:line="220" w:lineRule="exact"/>
        <w:rPr>
          <w:sz w:val="20"/>
          <w:szCs w:val="20"/>
          <w:color w:val="auto"/>
        </w:rPr>
      </w:pPr>
    </w:p>
    <w:p>
      <w:pPr>
        <w:jc w:val="both"/>
        <w:ind w:firstLine="1304"/>
        <w:spacing w:after="0" w:line="259" w:lineRule="auto"/>
        <w:tabs>
          <w:tab w:leader="none" w:pos="1602" w:val="left"/>
        </w:tabs>
        <w:numPr>
          <w:ilvl w:val="1"/>
          <w:numId w:val="2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(i) any Lender requests compensation under Section 2.13, (ii) the Borrower is required to pay any additional amount to any Lender or any Governmental Authority for the account of any Lender pursuant to Section 2.15, (iii) any Lender is a Defaulting Lender or (iv) any Lender has failed to consent to a proposed amendment or waiver that under Section 9.02 requires the consent of all the Lenders (or all the affected Lenders) and with respect to which the Majority Lenders (or a majority in interest of all the affected Lenders) shall have granted their consent, then the Borrower may, at its sole expense and effort, upon notice to such Lender and the Administrative Agent, require such Lender to assign and delegate, without recourse (in accordance with and subject to the restrictions contained in Section 9.04), all its interests, rights (other than its existing rights to payments pursuant to Section 2.13 or 2.15) and obligations under this Agreement to an assignee (chosen by the Borrower) that shall assume such obligations (which assignee may be another Lender, if a Lender accepts such assignment);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the Borrower shall have received the prior written consent of the Administrative Agent (and, in circumstances where its consent would be required under Section 9.04, each Issuing Bank and each Swingline Lender), which consent shall not unreasonably be withheld,</w:t>
      </w:r>
    </w:p>
    <w:p>
      <w:pPr>
        <w:spacing w:after="0" w:line="5" w:lineRule="exact"/>
        <w:rPr>
          <w:rFonts w:ascii="Times New Roman" w:cs="Times New Roman" w:eastAsia="Times New Roman" w:hAnsi="Times New Roman"/>
          <w:sz w:val="21"/>
          <w:szCs w:val="21"/>
          <w:color w:val="auto"/>
        </w:rPr>
      </w:pPr>
    </w:p>
    <w:p>
      <w:pPr>
        <w:jc w:val="both"/>
        <w:ind w:firstLine="8"/>
        <w:spacing w:after="0" w:line="246" w:lineRule="auto"/>
        <w:tabs>
          <w:tab w:leader="none" w:pos="356"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Lender shall have received payment of an amount equal to the outstanding principal of its Loans and participations in LC Disbursements and Swingline Loans, accrued interest thereon, accrued fees and all other amounts payable to it hereunder, from the assignee or the Borrower, as the case may be, (C) in the case of any such assignment resulting from a claim for compensation under Section 2.13 or payments required to be made pursuant to Section 2.15, such assignment will result in a reduction in such compensation or payments and (D) in the case of any such assignment and delegation resulting from the failure to provide a consent, the assignee shall have given such consent and, as a result of such assignment and delegation and any contemporaneous assignments and delegations and consents, the applicable amendment or waiver can be effected. Each party hereto agrees that an assignment and delegation required pursuant to this paragraph may be effected pursuant to an Assignment and Assumption executed by the Borrower, the Administrative Agent and the assignee and that the Lender required to make such assignment and delegation need not be a party thereto. If any Lender shall become a Defaulting Lender, then the Borrower, if requested to do so by any Issuing Bank or Swingline Lender, shall use commercially reasonable efforts (which shall not include the payment of any compensation) to identify an assignee willing to purchase and assume the interests, rights and obligations of such Lender under this Agreement and to require such Lender to assign and delegate all such interests, rights and obligations to such assignee in accordance with the preceding sentence.</w:t>
      </w:r>
    </w:p>
    <w:p>
      <w:pPr>
        <w:spacing w:after="0" w:line="19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2.18. </w:t>
      </w:r>
      <w:r>
        <w:rPr>
          <w:rFonts w:ascii="Times New Roman" w:cs="Times New Roman" w:eastAsia="Times New Roman" w:hAnsi="Times New Roman"/>
          <w:sz w:val="22"/>
          <w:szCs w:val="22"/>
          <w:u w:val="single" w:color="auto"/>
          <w:color w:val="auto"/>
        </w:rPr>
        <w:t>Defaulting Lenders.</w:t>
      </w:r>
      <w:r>
        <w:rPr>
          <w:rFonts w:ascii="Times New Roman" w:cs="Times New Roman" w:eastAsia="Times New Roman" w:hAnsi="Times New Roman"/>
          <w:sz w:val="22"/>
          <w:szCs w:val="22"/>
          <w:color w:val="auto"/>
        </w:rPr>
        <w:t xml:space="preserve"> Notwithstanding any provision of this Agreement to the contrary, if any Lender becomes a Defaulting Lender, then the following provisions shall apply for so long as such Lender is a Defaulting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08" w:name="page309"/>
    <w:bookmarkEnd w:id="308"/>
    <w:p>
      <w:pPr>
        <w:ind w:left="1600" w:hanging="296"/>
        <w:spacing w:after="0"/>
        <w:tabs>
          <w:tab w:leader="none" w:pos="1600" w:val="left"/>
        </w:tabs>
        <w:numPr>
          <w:ilvl w:val="0"/>
          <w:numId w:val="2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fees shall cease to accrue on the unfunded portion of the Commitments of such Defaulting Lender pursuant to</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Section 2.10(a);</w:t>
      </w:r>
    </w:p>
    <w:p>
      <w:pPr>
        <w:spacing w:after="0" w:line="195" w:lineRule="exact"/>
        <w:rPr>
          <w:rFonts w:ascii="Times New Roman" w:cs="Times New Roman" w:eastAsia="Times New Roman" w:hAnsi="Times New Roman"/>
          <w:sz w:val="21"/>
          <w:szCs w:val="21"/>
          <w:color w:val="auto"/>
        </w:rPr>
      </w:pPr>
    </w:p>
    <w:p>
      <w:pPr>
        <w:jc w:val="both"/>
        <w:ind w:firstLine="1304"/>
        <w:spacing w:after="0" w:line="253" w:lineRule="auto"/>
        <w:tabs>
          <w:tab w:leader="none" w:pos="1602"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Commitments and Credit Exposure of such Defaulting Lender shall not be included in determining whether the Majority Lenders or any other group of Lenders have taken or may take any action hereunder or under any other Credit Document (including any consent to any amendment, waiver or other modification pursuant to Section 9.02);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clause </w:t>
      </w: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22"/>
          <w:szCs w:val="22"/>
          <w:color w:val="auto"/>
        </w:rPr>
        <w:t xml:space="preserve"> shall not apply to the vote of a Defaulting Lender in the case of an amendment, waiver or other modification requiring the consent of all Lenders or each Lender affected thereby;</w:t>
      </w:r>
    </w:p>
    <w:p>
      <w:pPr>
        <w:spacing w:after="0" w:line="178" w:lineRule="exact"/>
        <w:rPr>
          <w:rFonts w:ascii="Times New Roman" w:cs="Times New Roman" w:eastAsia="Times New Roman" w:hAnsi="Times New Roman"/>
          <w:sz w:val="22"/>
          <w:szCs w:val="22"/>
          <w:color w:val="auto"/>
        </w:rPr>
      </w:pPr>
    </w:p>
    <w:p>
      <w:pPr>
        <w:ind w:left="1600" w:hanging="296"/>
        <w:spacing w:after="0"/>
        <w:tabs>
          <w:tab w:leader="none" w:pos="1600"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Swingline Exposure or LC Exposure exists at the time such Lender becomes a Defaulting Lender then:</w:t>
      </w:r>
    </w:p>
    <w:p>
      <w:pPr>
        <w:spacing w:after="0" w:line="233" w:lineRule="exact"/>
        <w:rPr>
          <w:rFonts w:ascii="Times New Roman" w:cs="Times New Roman" w:eastAsia="Times New Roman" w:hAnsi="Times New Roman"/>
          <w:sz w:val="22"/>
          <w:szCs w:val="22"/>
          <w:color w:val="auto"/>
        </w:rPr>
      </w:pPr>
    </w:p>
    <w:p>
      <w:pPr>
        <w:jc w:val="both"/>
        <w:ind w:left="1300" w:firstLine="652"/>
        <w:spacing w:after="0" w:line="250" w:lineRule="auto"/>
        <w:tabs>
          <w:tab w:leader="none" w:pos="2218" w:val="left"/>
        </w:tabs>
        <w:numPr>
          <w:ilvl w:val="1"/>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or any part of the Swingline Exposure and LC Exposure of such Defaulting Lender (other than any portion of such Swingline Exposure or LC Exposure attributable to Swingline Loans made or Letters of Credit issued by such Defaulting Lender in its capacity as a Swingline Lender or an Issuing Bank) shall be reallocated among the non-Defaulting Lenders ratably in accordance with their respective Applicable Percentages but only to the extent that the sum of all non-Defaulting Lenders’ Credit Exposures plus the portion of such Defaulting Lender’s Swingline Exposure and LC Exposure so reallocated does not exceed the total of all non-Defaulting Lenders’ Commitments;</w:t>
      </w:r>
    </w:p>
    <w:p>
      <w:pPr>
        <w:spacing w:after="0" w:line="176" w:lineRule="exact"/>
        <w:rPr>
          <w:rFonts w:ascii="Times New Roman" w:cs="Times New Roman" w:eastAsia="Times New Roman" w:hAnsi="Times New Roman"/>
          <w:sz w:val="22"/>
          <w:szCs w:val="22"/>
          <w:color w:val="auto"/>
        </w:rPr>
      </w:pPr>
    </w:p>
    <w:p>
      <w:pPr>
        <w:jc w:val="both"/>
        <w:ind w:left="1300" w:firstLine="652"/>
        <w:spacing w:after="0" w:line="249" w:lineRule="auto"/>
        <w:tabs>
          <w:tab w:leader="none" w:pos="2268" w:val="left"/>
        </w:tabs>
        <w:numPr>
          <w:ilvl w:val="1"/>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reallocation provided for in clause </w:t>
      </w: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22"/>
          <w:szCs w:val="22"/>
          <w:color w:val="auto"/>
        </w:rPr>
        <w:t xml:space="preserve"> above cannot, or can only partially, be effected (the amount that cannot be so reallocated being called the “</w:t>
      </w:r>
      <w:r>
        <w:rPr>
          <w:rFonts w:ascii="Times New Roman" w:cs="Times New Roman" w:eastAsia="Times New Roman" w:hAnsi="Times New Roman"/>
          <w:sz w:val="22"/>
          <w:szCs w:val="22"/>
          <w:u w:val="single" w:color="auto"/>
          <w:color w:val="auto"/>
        </w:rPr>
        <w:t>Excess Amount</w:t>
      </w:r>
      <w:r>
        <w:rPr>
          <w:rFonts w:ascii="Times New Roman" w:cs="Times New Roman" w:eastAsia="Times New Roman" w:hAnsi="Times New Roman"/>
          <w:sz w:val="22"/>
          <w:szCs w:val="22"/>
          <w:color w:val="auto"/>
        </w:rPr>
        <w:t xml:space="preserve">”), the Borrower shall within one Business Day following notice by the Administrative Agent (x) </w:t>
      </w: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xml:space="preserve"> prepay the portion of such Defaulting Lender’s Swingline Exposure (other than any portion thereof attributable to Swingline Loans made by such Defaulting Lender) that has not been reallocated as set forth in clause (i) above and (y) </w:t>
      </w: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xml:space="preserve"> cash collateralize for the benefit of the Issuing Banks only the Borrower’ s obligations corresponding to such Defaulting Lender’s LC Exposure (after giving effect to any partial reallocation pursuant to clause </w:t>
      </w: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22"/>
          <w:szCs w:val="22"/>
          <w:color w:val="auto"/>
        </w:rPr>
        <w:t xml:space="preserve"> above and other than any portion thereof attributable to Letters of Credit issued by such Defaulting Lender) in accordance with the procedures set forth in Section 2.03(j) in an aggregate amount sufficient to eliminate the Excess Amount for so long as such LC Exposure is outstanding;</w:t>
      </w:r>
    </w:p>
    <w:p>
      <w:pPr>
        <w:spacing w:after="0" w:line="187" w:lineRule="exact"/>
        <w:rPr>
          <w:rFonts w:ascii="Times New Roman" w:cs="Times New Roman" w:eastAsia="Times New Roman" w:hAnsi="Times New Roman"/>
          <w:sz w:val="22"/>
          <w:szCs w:val="22"/>
          <w:color w:val="auto"/>
        </w:rPr>
      </w:pPr>
    </w:p>
    <w:p>
      <w:pPr>
        <w:jc w:val="both"/>
        <w:ind w:left="1300" w:firstLine="652"/>
        <w:spacing w:after="0" w:line="257" w:lineRule="auto"/>
        <w:tabs>
          <w:tab w:leader="none" w:pos="2339" w:val="left"/>
        </w:tabs>
        <w:numPr>
          <w:ilvl w:val="1"/>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Borrower cash collateralizes any portion of such Defaulting Lender’s LC Exposure pursuant to clause </w:t>
      </w:r>
      <w:r>
        <w:rPr>
          <w:rFonts w:ascii="Times New Roman" w:cs="Times New Roman" w:eastAsia="Times New Roman" w:hAnsi="Times New Roman"/>
          <w:sz w:val="22"/>
          <w:szCs w:val="22"/>
          <w:b w:val="1"/>
          <w:bCs w:val="1"/>
          <w:color w:val="auto"/>
        </w:rPr>
        <w:t>(ii)</w:t>
      </w:r>
      <w:r>
        <w:rPr>
          <w:rFonts w:ascii="Times New Roman" w:cs="Times New Roman" w:eastAsia="Times New Roman" w:hAnsi="Times New Roman"/>
          <w:sz w:val="22"/>
          <w:szCs w:val="22"/>
          <w:color w:val="auto"/>
        </w:rPr>
        <w:t xml:space="preserve"> above, the Borrower shall not be required to pay any fees to such Defaulting Lender pursuant to Section 2.10(b) with respect to such portion during the period such portion is cash collateralized;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09" w:name="page310"/>
    <w:bookmarkEnd w:id="309"/>
    <w:p>
      <w:pPr>
        <w:ind w:left="1300" w:right="20" w:firstLine="652"/>
        <w:spacing w:after="0" w:line="299" w:lineRule="auto"/>
        <w:tabs>
          <w:tab w:leader="none" w:pos="2323" w:val="left"/>
        </w:tabs>
        <w:numPr>
          <w:ilvl w:val="1"/>
          <w:numId w:val="2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LC Exposure of the non-Defaulting Lenders is reallocated pursuant to clause </w:t>
      </w:r>
      <w:r>
        <w:rPr>
          <w:rFonts w:ascii="Times New Roman" w:cs="Times New Roman" w:eastAsia="Times New Roman" w:hAnsi="Times New Roman"/>
          <w:sz w:val="21"/>
          <w:szCs w:val="21"/>
          <w:b w:val="1"/>
          <w:bCs w:val="1"/>
          <w:color w:val="auto"/>
        </w:rPr>
        <w:t>(i)</w:t>
      </w:r>
      <w:r>
        <w:rPr>
          <w:rFonts w:ascii="Times New Roman" w:cs="Times New Roman" w:eastAsia="Times New Roman" w:hAnsi="Times New Roman"/>
          <w:sz w:val="21"/>
          <w:szCs w:val="21"/>
          <w:color w:val="auto"/>
        </w:rPr>
        <w:t xml:space="preserve"> above, then the fees payable to the Lenders pursuant to Section 2.10(b) shall be adjusted to give effect to such reallocation; and</w:t>
      </w:r>
    </w:p>
    <w:p>
      <w:pPr>
        <w:spacing w:after="0" w:line="131" w:lineRule="exact"/>
        <w:rPr>
          <w:rFonts w:ascii="Times New Roman" w:cs="Times New Roman" w:eastAsia="Times New Roman" w:hAnsi="Times New Roman"/>
          <w:sz w:val="21"/>
          <w:szCs w:val="21"/>
          <w:color w:val="auto"/>
        </w:rPr>
      </w:pPr>
    </w:p>
    <w:p>
      <w:pPr>
        <w:jc w:val="both"/>
        <w:ind w:left="1300" w:firstLine="652"/>
        <w:spacing w:after="0" w:line="250" w:lineRule="auto"/>
        <w:tabs>
          <w:tab w:leader="none" w:pos="2311" w:val="left"/>
        </w:tabs>
        <w:numPr>
          <w:ilvl w:val="1"/>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all or any portion of such Defaulting Lender’s LC Exposure (other than any portion thereof attributable to Letters of Credit issued by such Defaulting Lender) is neither reallocated nor cash collateralized pursuant to clause </w:t>
      </w: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(ii)</w:t>
      </w:r>
      <w:r>
        <w:rPr>
          <w:rFonts w:ascii="Times New Roman" w:cs="Times New Roman" w:eastAsia="Times New Roman" w:hAnsi="Times New Roman"/>
          <w:sz w:val="22"/>
          <w:szCs w:val="22"/>
          <w:color w:val="auto"/>
        </w:rPr>
        <w:t xml:space="preserve"> above, then, without prejudice to any rights or remedies of the Issuing Banks or any other Lender hereunder, all participation fees payable under Section 2.10(b) with respect to such Defaulting Lender’s LC Exposure or portion thereof shall be payable to the Issuing Banks (and allocated among them ratably based on the amount of such Defaulting Lender’s LC Exposure attributable to Letters of Credit issued by each Issuing Bank) until and to the extent that such LC Exposure or portion thereof is reallocated and/or cash collateralized; and</w:t>
      </w:r>
    </w:p>
    <w:p>
      <w:pPr>
        <w:spacing w:after="0" w:line="186" w:lineRule="exact"/>
        <w:rPr>
          <w:rFonts w:ascii="Times New Roman" w:cs="Times New Roman" w:eastAsia="Times New Roman" w:hAnsi="Times New Roman"/>
          <w:sz w:val="22"/>
          <w:szCs w:val="22"/>
          <w:color w:val="auto"/>
        </w:rPr>
      </w:pPr>
    </w:p>
    <w:p>
      <w:pPr>
        <w:jc w:val="both"/>
        <w:ind w:firstLine="1304"/>
        <w:spacing w:after="0" w:line="250" w:lineRule="auto"/>
        <w:tabs>
          <w:tab w:leader="none" w:pos="1615"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such Lender is a Defaulting Lender, no Swingline Lender shall be required to fund any Swingline Loan and no Issuing Bank shall be required to issue, amend or increase any Letter of Credit unless it shall be satisfied that the related exposure and the Defaulting Lender’s then outstanding LC Exposure (other than any portion thereof attributable to Letters of Credit issued by such Defaulting Lender) will be 100% covered by the Commitments of the non-Defaulting Lenders and/or cash collateral will be provided by the Borrower in accordance with Section 2.18(c), and participating interests in any newly made Swingline Loan or any newly issued or increased Letter of Credit shall be allocated among non-Defaulting Lenders in a manner consistent with Section 2.18(c)(i) (and such Defaulting Lender shall not participate therein).</w:t>
      </w:r>
    </w:p>
    <w:p>
      <w:pPr>
        <w:spacing w:after="0" w:line="180"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If a Bankruptcy Event or a Bail-In Action with respect to a Lender Parent shall occur following the date hereof and for so long as such event shall continue, no Swingline Lender shall be required to fund any Swingline Loan and no Issuing Bank shall be required to issue, amend or increase any Letter of Credit, unless such Swingline Lender or Issuing Bank, as the case may be, shall have entered into arrangements with the Borrower or the Lender controlled by such Lender Parent, satisfactory to such Swingline Lender or Issuing Bank, as the case may be, to defease any risk to it in respect of such Lender hereunder. If a Swingline Lender or Issuing Bank shall have a good faith belief that any Lender has defaulted in fulfilling its obligations under one or more other agreements in which such Lender commits to extend credit, such Swingline Lender shall not be required to fund any Swingline Loans and such Issuing Bank shall not be required to issue, amend or increase any Letter of Credit, unless such Swingline Lender or such Issuing Bank, as the case may be, shall have entered into arrangements with the Borrower or such Lender, satisfactory to such Swingline Lender or Issuing Bank, as the case may be, to defease any risk to it in respect of such Lender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18" w:right="339" w:bottom="1440" w:gutter="0" w:footer="0" w:header="0"/>
        </w:sectPr>
      </w:pPr>
    </w:p>
    <w:bookmarkStart w:id="310" w:name="page311"/>
    <w:bookmarkEnd w:id="310"/>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If the Administrative Agent, the Borrower, each Swingline Lender and each Issuing Bank shall agree that a Defaulting Lender has adequately remedied all matters that caused such Lender to be a Defaulting Lender, then the Swingline Exposures and LC Exposures of the Lenders shall be readjusted to reflect the inclusion of such Lender’s Commitment and, on the date of such readjustment, such Lender shall purchase at par such of the Loans and participations in unreimbursed LC Disbursements of the other Lenders (other than Swingline Loans) as the Administrative Agent shall determine may be necessary in order for such Lender to hold such Loans and participations in unreimbursed LC Disbursements in accordance with its Applicable Percentage.</w:t>
      </w:r>
    </w:p>
    <w:p>
      <w:pPr>
        <w:spacing w:after="0" w:line="18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Subject to Section 9.21,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67"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2.19. </w:t>
      </w:r>
      <w:r>
        <w:rPr>
          <w:rFonts w:ascii="Times New Roman" w:cs="Times New Roman" w:eastAsia="Times New Roman" w:hAnsi="Times New Roman"/>
          <w:sz w:val="22"/>
          <w:szCs w:val="22"/>
          <w:u w:val="single" w:color="auto"/>
          <w:color w:val="auto"/>
        </w:rPr>
        <w:t>Extension Requests.</w:t>
      </w:r>
      <w:r>
        <w:rPr>
          <w:rFonts w:ascii="Times New Roman" w:cs="Times New Roman" w:eastAsia="Times New Roman" w:hAnsi="Times New Roman"/>
          <w:sz w:val="22"/>
          <w:szCs w:val="22"/>
          <w:color w:val="auto"/>
        </w:rPr>
        <w:t xml:space="preserve"> (a) The Borrower may, on not more than two occasions during the term of this Agreement, request extensions of the Commitments and Loans of all the Lenders (or, if the Commitments or Loans of any Lenders shall theretofore have been extended pursuant to this Section 2.19, of all the Lenders whose Commitments or Loans terminate on a particular date) by written notice to the Administrative Agent requesting that such Lenders enter into an Extension Permitted Amendment (each such request being called an “</w:t>
      </w:r>
      <w:r>
        <w:rPr>
          <w:rFonts w:ascii="Times New Roman" w:cs="Times New Roman" w:eastAsia="Times New Roman" w:hAnsi="Times New Roman"/>
          <w:sz w:val="22"/>
          <w:szCs w:val="22"/>
          <w:u w:val="single" w:color="auto"/>
          <w:color w:val="auto"/>
        </w:rPr>
        <w:t>Extension Request</w:t>
      </w:r>
      <w:r>
        <w:rPr>
          <w:rFonts w:ascii="Times New Roman" w:cs="Times New Roman" w:eastAsia="Times New Roman" w:hAnsi="Times New Roman"/>
          <w:sz w:val="22"/>
          <w:szCs w:val="22"/>
          <w:color w:val="auto"/>
        </w:rPr>
        <w:t>”), and the Administrative Agent shall promptly communicate such request to the applicable Lenders. Each Extension Request shall set forth (i) the terms and conditions of the requested Extension Permitted Amendment (which shall be the same for all Lenders receiving the applicable Extension Request) and (ii) the date on which such Extension Permitted Amendment is requested to become effective (which shall not be less than 10 Business Days or more than 30 Business Days after the date of such notice, unless otherwise agreed to by the Administrative Agent). Extension Permitted Amendments shall become effective only with respect to the Loans and Commitments of the Lenders that accept the applicable Extension Request (such Lenders, the “</w:t>
      </w:r>
      <w:r>
        <w:rPr>
          <w:rFonts w:ascii="Times New Roman" w:cs="Times New Roman" w:eastAsia="Times New Roman" w:hAnsi="Times New Roman"/>
          <w:sz w:val="22"/>
          <w:szCs w:val="22"/>
          <w:u w:val="single" w:color="auto"/>
          <w:color w:val="auto"/>
        </w:rPr>
        <w:t>Extending Lenders</w:t>
      </w:r>
      <w:r>
        <w:rPr>
          <w:rFonts w:ascii="Times New Roman" w:cs="Times New Roman" w:eastAsia="Times New Roman" w:hAnsi="Times New Roman"/>
          <w:sz w:val="22"/>
          <w:szCs w:val="22"/>
          <w:color w:val="auto"/>
        </w:rPr>
        <w:t>”) and, in the case of any Extending Lender, only with respect to such Lender’s Loans and Commitments as to which such Lender’s acceptance has been made. Each Lender may in its sole discretion accept or reject any Extension Request.</w:t>
      </w:r>
    </w:p>
    <w:p>
      <w:pPr>
        <w:spacing w:after="0" w:line="193" w:lineRule="exact"/>
        <w:rPr>
          <w:sz w:val="20"/>
          <w:szCs w:val="20"/>
          <w:color w:val="auto"/>
        </w:rPr>
      </w:pPr>
    </w:p>
    <w:p>
      <w:pPr>
        <w:jc w:val="both"/>
        <w:ind w:firstLine="1304"/>
        <w:spacing w:after="0" w:line="250" w:lineRule="auto"/>
        <w:tabs>
          <w:tab w:leader="none" w:pos="1642" w:val="left"/>
        </w:tabs>
        <w:numPr>
          <w:ilvl w:val="0"/>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Extension Permitted Amendment shall be effected pursuant to an Extension Agreement executed and delivered by the Borrower, each applicable Extending Lender and 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Extension Permitted Amendment shall become effective unless (i) no Default shall have occurred and be continuing on the date of effectiveness thereof, (ii) on the date of effectiveness thereof, the representations and warranties of each Credit Party set forth in the Credit Documents shall be true and correct in all respects material to the rights or interests of the Lenders or the Issuing Banks under the Credit Documents, in each case on and as of such date, except in the case of any such representation and warranty that specifically relates to an earlier date,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11" w:name="page312"/>
    <w:bookmarkEnd w:id="311"/>
    <w:p>
      <w:pPr>
        <w:jc w:val="both"/>
        <w:spacing w:after="0" w:line="259" w:lineRule="auto"/>
        <w:rPr>
          <w:sz w:val="20"/>
          <w:szCs w:val="20"/>
          <w:color w:val="auto"/>
        </w:rPr>
      </w:pPr>
      <w:r>
        <w:rPr>
          <w:rFonts w:ascii="Times New Roman" w:cs="Times New Roman" w:eastAsia="Times New Roman" w:hAnsi="Times New Roman"/>
          <w:sz w:val="21"/>
          <w:szCs w:val="21"/>
          <w:color w:val="auto"/>
        </w:rPr>
        <w:t xml:space="preserve">which case such representation and warranty shall be so true and correct on and as of such earlier date, (iii) the Borrower shall have delivered to the Administrative Agent such legal opinions, board resolutions, secretary’s certificates, officer’s certificates and other documents as shall reasonably be requested by the Administrative Agent in connection therewith and (iv) all actions necessary or, in the reasonable judgment of the Collateral Agent, desirable to preserve and continue the effectiveness, perfection and priority of the Liens created by the Security Documents shall have been taken or arrangements therefor satisfactory to the Collateral Agent shall have been made. The Administrative Agent shall promptly notify each Lender as to the effectiveness of each Extension Agreement. Each Extension Agreement may, without the consent of any Lender other than the applicable Extending Lenders, effect such amendments to this Agreement and the other Credit Documents as may be necessary or appropriate, in the reasonable opinion of the Administrative Agent, to give effect to the provisions of this Section, including any amendments necessary to treat the applicable Loans and/or Commitments of the Extending Lenders as a new class or classes of loans and/or commitments hereunder;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except as otherwise agreed to by each Issuing Bank and each Swingline Lender, (i) the allocation of the participation exposure with respect to any then-existing or subsequently issued or made Letter of Credit or Swingline Loan as between the commitments of such new class or classes and the Commitments that were the subject of the applicable Extension Request but were not extended shall be made on a ratable basis, subject to reallocation of such participation exposure to the Extending Lenders upon the occurrence of the original Commitment Termination Date, and (ii) the Availability Period and the Commitment Termination Date, as such terms are used in reference to Letters of Credit and Swingline Loans, may not be extended without the prior written consent of each Issuing Bank and each Swingline Lender, as applicable.</w:t>
      </w:r>
    </w:p>
    <w:p>
      <w:pPr>
        <w:spacing w:after="0" w:line="187"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2.20. </w:t>
      </w:r>
      <w:r>
        <w:rPr>
          <w:rFonts w:ascii="Times New Roman" w:cs="Times New Roman" w:eastAsia="Times New Roman" w:hAnsi="Times New Roman"/>
          <w:sz w:val="22"/>
          <w:szCs w:val="22"/>
          <w:u w:val="single" w:color="auto"/>
          <w:color w:val="auto"/>
        </w:rPr>
        <w:t>Commitment Increases</w:t>
      </w:r>
      <w:r>
        <w:rPr>
          <w:rFonts w:ascii="Times New Roman" w:cs="Times New Roman" w:eastAsia="Times New Roman" w:hAnsi="Times New Roman"/>
          <w:sz w:val="22"/>
          <w:szCs w:val="22"/>
          <w:color w:val="auto"/>
        </w:rPr>
        <w:t xml:space="preserve">. This Agreement and the other Credit Documents may be amended at any time and from time to time to increase the aggregate Commitments by an agreement in writing entered into by the Borrower, the Administrative Agent, the Collateral Agent and each Person (including any Lender) that shall agree to provide any such additional Commitment (but without the consent of any other Lender), and each such Person that shall not already be a Lender shall, at the time such agreement becomes effective, become a Lender with the same effect as if it had originally been a Lender under this Agreement with the Commitment set forth in such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 the aggregate amount of such additional Commitments established pursuant to this paragraph shall not exceed $250,000,000; (ii) no Default or Event of Default shall exist at the time such amendment becomes effective; (iii) in the case of any additional Commitment that is to be provided by a Person that is not a Lender immediately prior to the effectiveness of such amendment, each Principal Issuing Bank and Swingline Lender shall have consented to such Person becoming a Lender (such consent not to be unreasonably withheld), and (iv) the Administrative Agent shall have received a favorable written opinion (addressed to the Administrative Agent, the Lenders and the Issuing Banks) of Covington &amp; Burling LLP, counsel for the Borrower (or other counsel for the Borrower reasonably satisfactory to the Administrative Agent) in a form reasonably acceptable to the Administrative Agent but in substance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12" w:name="page313"/>
    <w:bookmarkEnd w:id="312"/>
    <w:p>
      <w:pPr>
        <w:jc w:val="both"/>
        <w:spacing w:after="0" w:line="248" w:lineRule="auto"/>
        <w:rPr>
          <w:sz w:val="20"/>
          <w:szCs w:val="20"/>
          <w:color w:val="auto"/>
        </w:rPr>
      </w:pPr>
      <w:r>
        <w:rPr>
          <w:rFonts w:ascii="Times New Roman" w:cs="Times New Roman" w:eastAsia="Times New Roman" w:hAnsi="Times New Roman"/>
          <w:sz w:val="22"/>
          <w:szCs w:val="22"/>
          <w:color w:val="auto"/>
        </w:rPr>
        <w:t>the effect that the incurrence of each Loan, Letter of Credit and LC Disbursement under such additional Commitments, and each Lien securing them, will be permitted under each indenture or other agreement governing any Material Indebtedness in effect at the time of the effectiveness of such amendment, and such Loans, Letters of Credit and LC Disbursements will constitute Designated Senior Obligations under the Lien Subordination and Intercreditor Agreement. Each Loan, Letter of Credit and LC Disbursement under such additional Commitments established pursuant to this paragraph shall constitute Loans, Letters of Credit and LC Disbursements under, and shall be entitled to all the benefits afforded by, this Agreement and the other Credit Documents, and shall, without limiting the foregoing, benefit equally and ratably from the Guarantees and security interests and Liens created by the Guarantee and Collateral Agreement and the other Security Documents. The Borrower shall take any actions reasonably required by the Administrative Agent to ensure and/or demonstrate that all requirements under the Credit Documents in respect of the provision and maintenance of Collateral continue to be satisfied after the establishment of any such additional Commitments.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III</w:t>
      </w:r>
    </w:p>
    <w:p>
      <w:pPr>
        <w:spacing w:after="0" w:line="26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u w:val="single" w:color="auto"/>
          <w:color w:val="auto"/>
        </w:rPr>
        <w:t>Representations and Warranties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Borrower represents and warrants to the Administrative Agent, the Lenders and the Issuing Banks that:</w:t>
      </w:r>
    </w:p>
    <w:p>
      <w:pPr>
        <w:spacing w:after="0" w:line="233"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3.01. </w:t>
      </w:r>
      <w:r>
        <w:rPr>
          <w:rFonts w:ascii="Times New Roman" w:cs="Times New Roman" w:eastAsia="Times New Roman" w:hAnsi="Times New Roman"/>
          <w:sz w:val="22"/>
          <w:szCs w:val="22"/>
          <w:u w:val="single" w:color="auto"/>
          <w:color w:val="auto"/>
        </w:rPr>
        <w:t>Organization; Powers.</w:t>
      </w:r>
      <w:r>
        <w:rPr>
          <w:rFonts w:ascii="Times New Roman" w:cs="Times New Roman" w:eastAsia="Times New Roman" w:hAnsi="Times New Roman"/>
          <w:sz w:val="22"/>
          <w:szCs w:val="22"/>
          <w:color w:val="auto"/>
        </w:rPr>
        <w:t xml:space="preserve"> The Borrower and each of the other Credit Parties is duly organized, validly existing and in good standing under the laws of the jurisdiction of its organization, has all requisite power and authority to carry on its business as now conducted and, except where the failure to do so, individually or in the aggregate, would not be reasonably likely to result in a Material Adverse Change, is qualified to do business, and is in good standing, in every jurisdiction where such qualification is required. Each Subsidiary of the Borrower other than the Credit Parties is duly organized, validly existing and in good standing under the laws of the jurisdiction of its organization, has all requisite power and authority to carry on its business as now conducted and is qualified to do business, and is in good standing, in every jurisdiction where such qualification is required, except for failures that, individually or in the aggregate, would not be materially likely to result in a Material Adverse Change.</w:t>
      </w:r>
    </w:p>
    <w:p>
      <w:pPr>
        <w:spacing w:after="0" w:line="185"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3.02. </w:t>
      </w:r>
      <w:r>
        <w:rPr>
          <w:rFonts w:ascii="Times New Roman" w:cs="Times New Roman" w:eastAsia="Times New Roman" w:hAnsi="Times New Roman"/>
          <w:sz w:val="22"/>
          <w:szCs w:val="22"/>
          <w:u w:val="single" w:color="auto"/>
          <w:color w:val="auto"/>
        </w:rPr>
        <w:t>Authorization; Enforceability.</w:t>
      </w:r>
      <w:r>
        <w:rPr>
          <w:rFonts w:ascii="Times New Roman" w:cs="Times New Roman" w:eastAsia="Times New Roman" w:hAnsi="Times New Roman"/>
          <w:sz w:val="22"/>
          <w:szCs w:val="22"/>
          <w:color w:val="auto"/>
        </w:rPr>
        <w:t xml:space="preserve"> The Transactions to be entered into by each Credit Party are within such Credit Party’s powers and have been duly authorized. This Agreement has been duly executed and delivered by the Borrower and constitutes, and each other Credit Document to which any Credit Party is or is to be a party constitutes or, when executed and delivered by such Credit Party, will constitute, a legal, valid and binding obligation of the Borrower or such Credit Party, as the case may be, enforceable in accordance with its terms, subject to applicable bankruptcy, insolvency, reorganization, moratorium or other laws affecting creditors’ rights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22"/>
          <w:szCs w:val="22"/>
          <w:color w:val="auto"/>
        </w:rPr>
        <w:t>and subject to general principles of equity, regardless of whether considered in a proceeding in equity or at law.</w:t>
      </w:r>
    </w:p>
    <w:p>
      <w:pPr>
        <w:spacing w:after="0" w:line="22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3.03. </w:t>
      </w:r>
      <w:r>
        <w:rPr>
          <w:rFonts w:ascii="Times New Roman" w:cs="Times New Roman" w:eastAsia="Times New Roman" w:hAnsi="Times New Roman"/>
          <w:sz w:val="22"/>
          <w:szCs w:val="22"/>
          <w:u w:val="single" w:color="auto"/>
          <w:color w:val="auto"/>
        </w:rPr>
        <w:t>Governmental Approvals; No Conflicts.</w:t>
      </w:r>
      <w:r>
        <w:rPr>
          <w:rFonts w:ascii="Times New Roman" w:cs="Times New Roman" w:eastAsia="Times New Roman" w:hAnsi="Times New Roman"/>
          <w:sz w:val="22"/>
          <w:szCs w:val="22"/>
          <w:color w:val="auto"/>
        </w:rPr>
        <w:t xml:space="preserve"> (a) Except to the extent that no Material Adverse Change would be materially likely to result, the Transactions (i) do not require any consent or approval of, registration or filing with, or any other action by, any Governmental Authority, except such as are required to perfect Liens created under the Security Documents and such as have been obtained or made and are in full force and effect, (ii) do not and will not violate any applicable law or regulation or the charter, by-laws or other organizational documents of the Borrower or any of the Subsidiaries or any order of any Governmental Authority, (iii) do not and will not violate or result in a default under any indenture, agreement or other instrument binding upon the Borrower or any of the Subsidiaries or any of their assets, and (iv) do not and will not result in the creation or imposition of any Lien on any asset of the Borrower or any of the Subsidiaries, except Liens created under the Credit Documents.</w:t>
      </w:r>
    </w:p>
    <w:p>
      <w:pPr>
        <w:spacing w:after="0" w:line="180" w:lineRule="exact"/>
        <w:rPr>
          <w:sz w:val="20"/>
          <w:szCs w:val="20"/>
          <w:color w:val="auto"/>
        </w:rPr>
      </w:pPr>
    </w:p>
    <w:p>
      <w:pPr>
        <w:jc w:val="both"/>
        <w:ind w:firstLine="1304"/>
        <w:spacing w:after="0" w:line="253" w:lineRule="auto"/>
        <w:tabs>
          <w:tab w:leader="none" w:pos="1602"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incurrence of each Loan, Letter of Credit and LC Disbursement, each Guarantee thereof under the Credit Documents and each Lien securing any of the Obligations, is permitted under each indenture or other agreement governing any Senior Subordinated-Lien Indebtedness in effect at the time of such incurrence, and the Loans, Letters of Credit, LC Disbursements and Guarantees thereof under the Credit Documents constitute Designated Senior Obligations under the Lien Subordination and Intercreditor Agreement.</w:t>
      </w:r>
    </w:p>
    <w:p>
      <w:pPr>
        <w:spacing w:after="0" w:line="179"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3.04. </w:t>
      </w:r>
      <w:r>
        <w:rPr>
          <w:rFonts w:ascii="Times New Roman" w:cs="Times New Roman" w:eastAsia="Times New Roman" w:hAnsi="Times New Roman"/>
          <w:sz w:val="22"/>
          <w:szCs w:val="22"/>
          <w:u w:val="single" w:color="auto"/>
          <w:color w:val="auto"/>
        </w:rPr>
        <w:t>Financial Statements; No Material Adverse Change</w:t>
      </w:r>
      <w:r>
        <w:rPr>
          <w:rFonts w:ascii="Times New Roman" w:cs="Times New Roman" w:eastAsia="Times New Roman" w:hAnsi="Times New Roman"/>
          <w:sz w:val="22"/>
          <w:szCs w:val="22"/>
          <w:color w:val="auto"/>
        </w:rPr>
        <w:t>. (a) The Borrower has heretofore furnished to the Lenders its consolidated balance sheet and statements of operations, shareholders’ equity and cash flows as of and for the fiscal year ended December 31, 2024, reported on by PricewaterhouseCoopers LLP, independent registered accounting firm. Such financial statements present fairly, in all material respects, the consolidated financial position and consolidated results of operations and cash flows of the Borrower and its Consolidated Subsidiaries as of such date and for such fiscal year in accordance with GAAP.</w:t>
      </w:r>
    </w:p>
    <w:p>
      <w:pPr>
        <w:spacing w:after="0" w:line="181" w:lineRule="exact"/>
        <w:rPr>
          <w:sz w:val="20"/>
          <w:szCs w:val="20"/>
          <w:color w:val="auto"/>
        </w:rPr>
      </w:pPr>
    </w:p>
    <w:p>
      <w:pPr>
        <w:jc w:val="both"/>
        <w:ind w:firstLine="1304"/>
        <w:spacing w:after="0" w:line="253" w:lineRule="auto"/>
        <w:tabs>
          <w:tab w:leader="none" w:pos="1642" w:val="left"/>
        </w:tabs>
        <w:numPr>
          <w:ilvl w:val="0"/>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disclosed in the Disclosure Documents, since December 31, 2024, there has been no event or condition that constitutes or would be materially likely to result in a Material Adverse Change, it being agreed that a reduction in any rating relating to the Borrower issued by any rating agency shall not, in and of itself, be an event or condition that constitutes or would be materially likely to result in a Material Adverse Change (but that events or conditions underlying or resulting from any such reduction may constitute or be materially likely to result in a Material Adverse Change).</w:t>
      </w:r>
    </w:p>
    <w:p>
      <w:pPr>
        <w:spacing w:after="0" w:line="17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SECTION 3.05. </w:t>
      </w:r>
      <w:r>
        <w:rPr>
          <w:rFonts w:ascii="Times New Roman" w:cs="Times New Roman" w:eastAsia="Times New Roman" w:hAnsi="Times New Roman"/>
          <w:sz w:val="22"/>
          <w:szCs w:val="22"/>
          <w:u w:val="single" w:color="auto"/>
          <w:color w:val="auto"/>
        </w:rPr>
        <w:t>Litigation and Environmental Matters.</w:t>
      </w:r>
      <w:r>
        <w:rPr>
          <w:rFonts w:ascii="Times New Roman" w:cs="Times New Roman" w:eastAsia="Times New Roman" w:hAnsi="Times New Roman"/>
          <w:sz w:val="22"/>
          <w:szCs w:val="22"/>
          <w:color w:val="auto"/>
        </w:rPr>
        <w:t xml:space="preserve"> (a) Except as set forth in the Disclosure Documents, there are no actions, suits or proceedings by or before any arbitrator or Governmental Authority pending or, to the knowledge of the Borrower, threatened against or affecting the Borrower or any of the Subsidiaries (i) as to which there is a reasonable possibility of an adverse determination and that if adversely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14" w:name="page315"/>
    <w:bookmarkEnd w:id="314"/>
    <w:p>
      <w:pPr>
        <w:ind w:right="20"/>
        <w:spacing w:after="0" w:line="271" w:lineRule="auto"/>
        <w:rPr>
          <w:sz w:val="20"/>
          <w:szCs w:val="20"/>
          <w:color w:val="auto"/>
        </w:rPr>
      </w:pPr>
      <w:r>
        <w:rPr>
          <w:rFonts w:ascii="Times New Roman" w:cs="Times New Roman" w:eastAsia="Times New Roman" w:hAnsi="Times New Roman"/>
          <w:sz w:val="22"/>
          <w:szCs w:val="22"/>
          <w:color w:val="auto"/>
        </w:rPr>
        <w:t>determined would be materially likely, individually or in the aggregate, to result in a Material Adverse Change or (ii) as of the Restatement Date, that involve the Credit Documents or the Transactions.</w:t>
      </w:r>
    </w:p>
    <w:p>
      <w:pPr>
        <w:spacing w:after="0" w:line="158" w:lineRule="exact"/>
        <w:rPr>
          <w:sz w:val="20"/>
          <w:szCs w:val="20"/>
          <w:color w:val="auto"/>
        </w:rPr>
      </w:pPr>
    </w:p>
    <w:p>
      <w:pPr>
        <w:jc w:val="both"/>
        <w:ind w:firstLine="1304"/>
        <w:spacing w:after="0" w:line="273" w:lineRule="auto"/>
        <w:tabs>
          <w:tab w:leader="none" w:pos="1602" w:val="left"/>
        </w:tabs>
        <w:numPr>
          <w:ilvl w:val="1"/>
          <w:numId w:val="2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set forth in the Disclosure Documents, and except with respect to matters that, individually or in the aggregate, would not be materially likely to result in a Material Adverse Change, neither the Borrower nor any of the Subsidiaries</w:t>
      </w:r>
    </w:p>
    <w:p>
      <w:pPr>
        <w:spacing w:after="0" w:line="1" w:lineRule="exact"/>
        <w:rPr>
          <w:rFonts w:ascii="Times New Roman" w:cs="Times New Roman" w:eastAsia="Times New Roman" w:hAnsi="Times New Roman"/>
          <w:sz w:val="21"/>
          <w:szCs w:val="21"/>
          <w:color w:val="auto"/>
        </w:rPr>
      </w:pPr>
    </w:p>
    <w:p>
      <w:pPr>
        <w:jc w:val="both"/>
        <w:ind w:firstLine="8"/>
        <w:spacing w:after="0" w:line="245" w:lineRule="auto"/>
        <w:tabs>
          <w:tab w:leader="none" w:pos="263" w:val="left"/>
        </w:tabs>
        <w:numPr>
          <w:ilvl w:val="0"/>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failed to comply with any Environmental Law or to obtain, maintain or comply with any permit, license or other approval required under any Environmental Law, (ii) has become subject to any Environmental Liability, (iii) has received notice of any claim with respect to any Environmental Liability or (iv) knows of any basis for any Environmental Liability.</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3.06. </w:t>
      </w:r>
      <w:r>
        <w:rPr>
          <w:rFonts w:ascii="Times New Roman" w:cs="Times New Roman" w:eastAsia="Times New Roman" w:hAnsi="Times New Roman"/>
          <w:sz w:val="22"/>
          <w:szCs w:val="22"/>
          <w:u w:val="single" w:color="auto"/>
          <w:color w:val="auto"/>
        </w:rPr>
        <w:t>Compliance with Laws and Agreements.</w:t>
      </w:r>
      <w:r>
        <w:rPr>
          <w:rFonts w:ascii="Times New Roman" w:cs="Times New Roman" w:eastAsia="Times New Roman" w:hAnsi="Times New Roman"/>
          <w:sz w:val="22"/>
          <w:szCs w:val="22"/>
          <w:color w:val="auto"/>
        </w:rPr>
        <w:t xml:space="preserve"> The Borrower and each of the Subsidiaries is in compliance with all laws, regulations and orders of any Governmental Authority applicable to it or its property and all indentures, agreements and other instruments binding upon it or its property, except where the failure to be in compliance, individually or in the aggregate, would not be materially likely to result in a Material Adverse Change. No Event of Default has occurred and is continuing.</w:t>
      </w:r>
    </w:p>
    <w:p>
      <w:pPr>
        <w:spacing w:after="0" w:line="179"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3.07. </w:t>
      </w:r>
      <w:r>
        <w:rPr>
          <w:rFonts w:ascii="Times New Roman" w:cs="Times New Roman" w:eastAsia="Times New Roman" w:hAnsi="Times New Roman"/>
          <w:sz w:val="22"/>
          <w:szCs w:val="22"/>
          <w:u w:val="single" w:color="auto"/>
          <w:color w:val="auto"/>
        </w:rPr>
        <w:t>Investment Company Status.</w:t>
      </w:r>
      <w:r>
        <w:rPr>
          <w:rFonts w:ascii="Times New Roman" w:cs="Times New Roman" w:eastAsia="Times New Roman" w:hAnsi="Times New Roman"/>
          <w:sz w:val="22"/>
          <w:szCs w:val="22"/>
          <w:color w:val="auto"/>
        </w:rPr>
        <w:t xml:space="preserve"> Neither the Borrower nor any of the Subsidiaries is an “investment company” as defined in, or subject to regulation under, the Investment Company Act of 1940, as amended.</w:t>
      </w:r>
    </w:p>
    <w:p>
      <w:pPr>
        <w:spacing w:after="0" w:line="17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3.08. </w:t>
      </w:r>
      <w:r>
        <w:rPr>
          <w:rFonts w:ascii="Times New Roman" w:cs="Times New Roman" w:eastAsia="Times New Roman" w:hAnsi="Times New Roman"/>
          <w:sz w:val="22"/>
          <w:szCs w:val="22"/>
          <w:u w:val="single" w:color="auto"/>
          <w:color w:val="auto"/>
        </w:rPr>
        <w:t>ERISA and Canadian Pension Plans.</w:t>
      </w:r>
      <w:r>
        <w:rPr>
          <w:rFonts w:ascii="Times New Roman" w:cs="Times New Roman" w:eastAsia="Times New Roman" w:hAnsi="Times New Roman"/>
          <w:sz w:val="22"/>
          <w:szCs w:val="22"/>
          <w:color w:val="auto"/>
        </w:rPr>
        <w:t xml:space="preserve"> (a) Except as disclosed in the Disclosure Documents, no ERISA Event has occurred or is reasonably expected to occur that, when taken together with all other ERISA Events that have occurred or are reasonably expected to occur, would be materially likely to result in a Material Adverse Change.</w:t>
      </w:r>
    </w:p>
    <w:p>
      <w:pPr>
        <w:spacing w:after="0" w:line="173" w:lineRule="exact"/>
        <w:rPr>
          <w:sz w:val="20"/>
          <w:szCs w:val="20"/>
          <w:color w:val="auto"/>
        </w:rPr>
      </w:pPr>
    </w:p>
    <w:p>
      <w:pPr>
        <w:jc w:val="both"/>
        <w:ind w:firstLine="1304"/>
        <w:spacing w:after="0" w:line="248" w:lineRule="auto"/>
        <w:tabs>
          <w:tab w:leader="none" w:pos="1629" w:val="left"/>
        </w:tabs>
        <w:numPr>
          <w:ilvl w:val="0"/>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would not be materially likely to result in a Material Adverse Change, (i) the Canadian Pension Plans are duly registered under the Income Tax Act (Canada) and all other applicable laws which require registration and no event has occurred which is reasonably likely to cause the loss of such registered status; (ii) all material obligations of each Credit Party (including fiduciary, funding, investment and administration obligations) required to be performed in connection with the Canadian Pension Plans and the funding agreements therefor have been performed in a timely fashion; (iii) none of the Canadian Pension Plans as of the Restatement Date is a Defined Benefit CPP except as disclosed on Schedule 3.08(b); (iv) to the knowledge of the Credit Parties there have been no improper withdrawals of the assets of the Canadian Pension Plans or the Canadian Benefit Plans; (v) there are no outstanding material disputes concerning the assets of the Canadian Pension Plans or the Canadian Benefit Plans; (vi) each of the Canadian Pension Plans is being funded in accordance with the actuarial valuation reports last filed with the applicable Governmental Authorities and which are consistent with generally accepted actuarial principles; and (vii) there has been no termination in whole or in part of any Defined Benefit CPP.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15" w:name="page316"/>
    <w:bookmarkEnd w:id="315"/>
    <w:p>
      <w:pPr>
        <w:ind w:left="1300"/>
        <w:spacing w:after="0"/>
        <w:rPr>
          <w:sz w:val="20"/>
          <w:szCs w:val="20"/>
          <w:color w:val="auto"/>
        </w:rPr>
      </w:pPr>
      <w:r>
        <w:rPr>
          <w:rFonts w:ascii="Times New Roman" w:cs="Times New Roman" w:eastAsia="Times New Roman" w:hAnsi="Times New Roman"/>
          <w:sz w:val="22"/>
          <w:szCs w:val="22"/>
          <w:color w:val="auto"/>
        </w:rPr>
        <w:t xml:space="preserve">SECTION 3.09. </w:t>
      </w:r>
      <w:r>
        <w:rPr>
          <w:rFonts w:ascii="Times New Roman" w:cs="Times New Roman" w:eastAsia="Times New Roman" w:hAnsi="Times New Roman"/>
          <w:sz w:val="22"/>
          <w:szCs w:val="22"/>
          <w:u w:val="single" w:color="auto"/>
          <w:color w:val="auto"/>
        </w:rPr>
        <w:t>Disclosure.</w:t>
      </w:r>
      <w:r>
        <w:rPr>
          <w:rFonts w:ascii="Times New Roman" w:cs="Times New Roman" w:eastAsia="Times New Roman" w:hAnsi="Times New Roman"/>
          <w:sz w:val="22"/>
          <w:szCs w:val="22"/>
          <w:color w:val="auto"/>
        </w:rPr>
        <w:t xml:space="preserve"> (a) None of the Annual Report on Form</w:t>
      </w:r>
    </w:p>
    <w:p>
      <w:pPr>
        <w:spacing w:after="0" w:line="2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10-K of the Borrower for the fiscal year ended December 31, 2024, or the reports, financial statements, certificates or other written information referred to in Section 3.04 or delivered after the date hereof by or on behalf of any Credit Party to the Administrative Agent, the Collateral Agent or any Lender pursuant to Section 5.01 (taken together with all other information so furnished and as modified or supplemented by other information so furnished) contained, in each case as of the date thereof, any material misstatement of fact or omitted to state, in each case as of the date thereof, any material fact necessary to make the statements therein, in the light of the circumstances under which they were made, not misleading;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projected financial information or other forward looking information, the Borrower represents only that such information was prepared in good faith based upon assumptions believed to be reasonable at the time.</w:t>
      </w:r>
    </w:p>
    <w:p>
      <w:pPr>
        <w:spacing w:after="0" w:line="188" w:lineRule="exact"/>
        <w:rPr>
          <w:sz w:val="20"/>
          <w:szCs w:val="20"/>
          <w:color w:val="auto"/>
        </w:rPr>
      </w:pPr>
    </w:p>
    <w:p>
      <w:pPr>
        <w:jc w:val="both"/>
        <w:ind w:firstLine="1304"/>
        <w:spacing w:after="0" w:line="257" w:lineRule="auto"/>
        <w:tabs>
          <w:tab w:leader="none" w:pos="1602" w:val="left"/>
        </w:tabs>
        <w:numPr>
          <w:ilvl w:val="0"/>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Restatement Date, to the best knowledge of the Borrower, the information included in the Beneficial Ownership Certification provided on or prior to the Restatement Date to any Lender in connection with this Agreement is true and correct in all respects.</w:t>
      </w:r>
    </w:p>
    <w:p>
      <w:pPr>
        <w:spacing w:after="0" w:line="173"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3.10. </w:t>
      </w:r>
      <w:r>
        <w:rPr>
          <w:rFonts w:ascii="Times New Roman" w:cs="Times New Roman" w:eastAsia="Times New Roman" w:hAnsi="Times New Roman"/>
          <w:sz w:val="22"/>
          <w:szCs w:val="22"/>
          <w:u w:val="single" w:color="auto"/>
          <w:color w:val="auto"/>
        </w:rPr>
        <w:t>Security Interests.</w:t>
      </w:r>
      <w:r>
        <w:rPr>
          <w:rFonts w:ascii="Times New Roman" w:cs="Times New Roman" w:eastAsia="Times New Roman" w:hAnsi="Times New Roman"/>
          <w:sz w:val="22"/>
          <w:szCs w:val="22"/>
          <w:color w:val="auto"/>
        </w:rPr>
        <w:t xml:space="preserve"> (a) Each of the Guarantee and Collateral Agreement, the Reaffirmation Agreement and the Canadian Security Agreements is or, when executed and delivered, will be, effective to create or continue in favor of the Collateral Agent for the benefit of the Secured Parties a valid and enforceable security interest in the Collateral, to the extent contemplated by the Guarantee and Collateral Agreement, the Reaffirmation Agreement or the Canadian Security Agreements, as the case may be, and (i) when the Collateral constituting certificated securities (as defined in the applicable Uniform Commercial Code) was or is delivered to the Collateral Agent thereunder, together with instruments of transfer duly endorsed in blank, the Guarantee and Collateral Agreement created or will create, to the extent contemplated by the Guarantee and Collateral Agreement, a perfected security interest in all right, title and interest of the Grantors in such certificated securities to the extent perfection is governed by the applicable Uniform Commercial Code as in effect in any applicable jurisdiction, subject to no other Lien other than Liens permitted under Section 6.06 that take priority over security interests in certificated securities perfected by the possession of such securities under the Uniform Commercial Code as in effect in the applicable jurisdiction, and (ii) when financing statements in appropriate form were or are filed, and any other applicable registrations were or are made, in the offices specified in the Restatement Date Perfection Certificate, the Guarantee and Collateral Agreement, the Reaffirmation Agreement and the Canadian Security Agreements created or will create or continue a perfected security interest (or hypothec, as applicable) in all right, title and interest of the Grantors in the remaining Collateral to the extent perfection can be obtained by filing Uniform Commercial Code financing statements and making such other applicable filings and registrations in such jurisdictions, subject to no other Lien other than Liens permitted under Section 6.06. The exclusion of the Consent Assets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16" w:name="page317"/>
    <w:bookmarkEnd w:id="316"/>
    <w:p>
      <w:pPr>
        <w:spacing w:after="0" w:line="271" w:lineRule="auto"/>
        <w:rPr>
          <w:sz w:val="20"/>
          <w:szCs w:val="20"/>
          <w:color w:val="auto"/>
        </w:rPr>
      </w:pPr>
      <w:r>
        <w:rPr>
          <w:rFonts w:ascii="Times New Roman" w:cs="Times New Roman" w:eastAsia="Times New Roman" w:hAnsi="Times New Roman"/>
          <w:sz w:val="22"/>
          <w:szCs w:val="22"/>
          <w:color w:val="auto"/>
        </w:rPr>
        <w:t>defined in the Guarantee and Collateral Agreement) from the Collateral does not materially reduce the aggregate value of the Collateral.</w:t>
      </w:r>
    </w:p>
    <w:p>
      <w:pPr>
        <w:spacing w:after="0" w:line="158" w:lineRule="exact"/>
        <w:rPr>
          <w:sz w:val="20"/>
          <w:szCs w:val="20"/>
          <w:color w:val="auto"/>
        </w:rPr>
      </w:pPr>
    </w:p>
    <w:p>
      <w:pPr>
        <w:jc w:val="both"/>
        <w:ind w:firstLine="1304"/>
        <w:spacing w:after="0" w:line="266" w:lineRule="auto"/>
        <w:tabs>
          <w:tab w:leader="none" w:pos="1629" w:val="left"/>
        </w:tabs>
        <w:numPr>
          <w:ilvl w:val="0"/>
          <w:numId w:val="3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Mortgage creates or, upon execution and delivery by the parties thereto, will create in favor of the Collateral Agent, for the benefit of the Secured Parties, a legal, valid and enforceable Lien on all the applicable mortgagor’s right, title and interest in and to the Mortgaged Properties subject thereto and the proceeds thereof, and the Mortgages create or, when the Mortgages have been filed or registered in the counties specified in Schedule 3.10(b), will create perfected Liens on all right, title and interest of the mortgagors in the Mortgaged Properties and the proceeds thereof, prior and superior in right to Liens in favor of any other Person (other than Liens or other encumbrances for which exceptions are taken in the policies of title insurance delivered in respect of the Mortgaged Properties on or prior to the Restatement Date and Liens permitted under Section 6.06).</w:t>
      </w:r>
    </w:p>
    <w:p>
      <w:pPr>
        <w:spacing w:after="0" w:line="165" w:lineRule="exact"/>
        <w:rPr>
          <w:rFonts w:ascii="Times New Roman" w:cs="Times New Roman" w:eastAsia="Times New Roman" w:hAnsi="Times New Roman"/>
          <w:sz w:val="21"/>
          <w:szCs w:val="21"/>
          <w:color w:val="auto"/>
        </w:rPr>
      </w:pPr>
    </w:p>
    <w:p>
      <w:pPr>
        <w:jc w:val="both"/>
        <w:ind w:firstLine="1304"/>
        <w:spacing w:after="0" w:line="248" w:lineRule="auto"/>
        <w:tabs>
          <w:tab w:leader="none" w:pos="1644" w:val="left"/>
        </w:tabs>
        <w:numPr>
          <w:ilvl w:val="0"/>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Guarantee and Collateral Agreement (or predecessor thereto) and the intellectual property security agreements currently on file or to be filed with the United States Patent and Trademark Office and the Canadian Security Agreements (or predecessor thereto) currently on file or to be filed with the Canadian Intellectual Property Office, create or upon the execution, delivery and filing thereof in the applicable office will create in favor of the Collateral Agent, for the benefit of the Secured Parties, a perfected Lien on all right, title and interest of the Grantors in the Material Intellectual Property in which a security interest may be perfected by such recordation in the United States Patent and Trademark Office or the Canadian Intellectual Property Office, as the case may be, in each case (i) prior and superior in right to any other Person and (ii) subject to no other Lien other than, in the case of (i) and (ii), Liens permitted under Section 6.06 (it being understood that subsequent recordings in the United States Patent and Trademark Office or the Canadian Intellectual Property Office, as the case may be, may be necessary to perfect a Lien on registered trademarks and trademark applications acquired by the Grantors after the Restatement Date). The Disclosure Letter sets forth all the Material Intellectual Property as of the date of the Restatement Date Perfection Certificate.</w:t>
      </w:r>
    </w:p>
    <w:p>
      <w:pPr>
        <w:spacing w:after="0" w:line="184" w:lineRule="exact"/>
        <w:rPr>
          <w:rFonts w:ascii="Times New Roman" w:cs="Times New Roman" w:eastAsia="Times New Roman" w:hAnsi="Times New Roman"/>
          <w:sz w:val="22"/>
          <w:szCs w:val="22"/>
          <w:color w:val="auto"/>
        </w:rPr>
      </w:pPr>
    </w:p>
    <w:p>
      <w:pPr>
        <w:jc w:val="both"/>
        <w:ind w:firstLine="1304"/>
        <w:spacing w:after="0" w:line="250" w:lineRule="auto"/>
        <w:tabs>
          <w:tab w:leader="none" w:pos="1629" w:val="left"/>
        </w:tabs>
        <w:numPr>
          <w:ilvl w:val="0"/>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Guarantee and Collateral Agreement and the related aircraft security agreements and other applicable documents currently on file or to be filed with the Federal Aviation Administration create, or upon the execution, delivery and filing thereof with the Federal Aviation Administration will create, in favor of the Collateral Agent, for the benefit of the Secured Parties, a perfected Lien on all right, title and interest of the Grantors in the Aircraft Collateral (as defined in the Guarantee and Collateral Agreement) in which a security interest may be perfected by such recordation with the Federal Aviation Administration, in each case prior and superior in right to any other Person, subject to no other Lien other than Liens permitted under Section 6.06.</w:t>
      </w:r>
    </w:p>
    <w:p>
      <w:pPr>
        <w:spacing w:after="0" w:line="180" w:lineRule="exact"/>
        <w:rPr>
          <w:rFonts w:ascii="Times New Roman" w:cs="Times New Roman" w:eastAsia="Times New Roman" w:hAnsi="Times New Roman"/>
          <w:sz w:val="22"/>
          <w:szCs w:val="22"/>
          <w:color w:val="auto"/>
        </w:rPr>
      </w:pPr>
    </w:p>
    <w:p>
      <w:pPr>
        <w:ind w:firstLine="1304"/>
        <w:spacing w:after="0" w:line="271" w:lineRule="auto"/>
        <w:tabs>
          <w:tab w:leader="none" w:pos="1590" w:val="left"/>
        </w:tabs>
        <w:numPr>
          <w:ilvl w:val="0"/>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Restatement Date Perfection Certificate or any other written information relating to the Collateral delivered after the date hereof by or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17" w:name="page318"/>
    <w:bookmarkEnd w:id="317"/>
    <w:p>
      <w:pPr>
        <w:jc w:val="both"/>
        <w:spacing w:after="0" w:line="257" w:lineRule="auto"/>
        <w:rPr>
          <w:sz w:val="20"/>
          <w:szCs w:val="20"/>
          <w:color w:val="auto"/>
        </w:rPr>
      </w:pPr>
      <w:r>
        <w:rPr>
          <w:rFonts w:ascii="Times New Roman" w:cs="Times New Roman" w:eastAsia="Times New Roman" w:hAnsi="Times New Roman"/>
          <w:sz w:val="22"/>
          <w:szCs w:val="22"/>
          <w:color w:val="auto"/>
        </w:rPr>
        <w:t>behalf of any Credit Party to the Administrative Agent, the Collateral Agent or any Lender pursuant to any provision of any Credit Document is or will be incorrect when delivered in any respect material to the rights or interests of the Lenders under the Credit Documents.</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(f) As of the Restatement Date, the Restatement Date Perfection Certificate is true and correct in all material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respects.</w:t>
      </w:r>
    </w:p>
    <w:p>
      <w:pPr>
        <w:spacing w:after="0" w:line="19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3.11. </w:t>
      </w:r>
      <w:r>
        <w:rPr>
          <w:rFonts w:ascii="Times New Roman" w:cs="Times New Roman" w:eastAsia="Times New Roman" w:hAnsi="Times New Roman"/>
          <w:sz w:val="22"/>
          <w:szCs w:val="22"/>
          <w:u w:val="single" w:color="auto"/>
          <w:color w:val="auto"/>
        </w:rPr>
        <w:t>Use of Proceeds and Letters of Credit.</w:t>
      </w:r>
      <w:r>
        <w:rPr>
          <w:rFonts w:ascii="Times New Roman" w:cs="Times New Roman" w:eastAsia="Times New Roman" w:hAnsi="Times New Roman"/>
          <w:sz w:val="22"/>
          <w:szCs w:val="22"/>
          <w:color w:val="auto"/>
        </w:rPr>
        <w:t xml:space="preserve"> The proceeds of the Loans and the Letters of Credit will be used only for the purposes referred to in the preamble to this Agreement. No part of the proceeds of any Loan will be used, whether directly or indirectly, for any purpose that entails a violation of any of the Regulations of the Board, including Regulations T, U and X.</w:t>
      </w:r>
    </w:p>
    <w:p>
      <w:pPr>
        <w:spacing w:after="0" w:line="17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3.12. </w:t>
      </w:r>
      <w:r>
        <w:rPr>
          <w:rFonts w:ascii="Times New Roman" w:cs="Times New Roman" w:eastAsia="Times New Roman" w:hAnsi="Times New Roman"/>
          <w:sz w:val="22"/>
          <w:szCs w:val="22"/>
          <w:u w:val="single" w:color="auto"/>
          <w:color w:val="auto"/>
        </w:rPr>
        <w:t>Anti-Corruption Laws and Sanctions</w:t>
      </w:r>
      <w:r>
        <w:rPr>
          <w:rFonts w:ascii="Times New Roman" w:cs="Times New Roman" w:eastAsia="Times New Roman" w:hAnsi="Times New Roman"/>
          <w:sz w:val="22"/>
          <w:szCs w:val="22"/>
          <w:color w:val="auto"/>
        </w:rPr>
        <w:t>. (a) The Borrower has implemented and maintains in effect policies and procedures reasonably designed to promote compliance by the Borrower, its Subsidiaries and their respective directors, officers, employees and agents with Anti-Corruption Laws.</w:t>
      </w:r>
    </w:p>
    <w:p>
      <w:pPr>
        <w:spacing w:after="0" w:line="173" w:lineRule="exact"/>
        <w:rPr>
          <w:sz w:val="20"/>
          <w:szCs w:val="20"/>
          <w:color w:val="auto"/>
        </w:rPr>
      </w:pPr>
    </w:p>
    <w:p>
      <w:pPr>
        <w:jc w:val="both"/>
        <w:ind w:firstLine="1304"/>
        <w:spacing w:after="0" w:line="250" w:lineRule="auto"/>
        <w:tabs>
          <w:tab w:leader="none" w:pos="1642" w:val="left"/>
        </w:tabs>
        <w:numPr>
          <w:ilvl w:val="0"/>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has implemented and maintains in effect policies and procedures reasonably designed to promote compliance by the Borrower, its Subsidiaries and their respective directors, officers, employees and agents with applicable Sanctions. The Borrower and its Subsidiaries are not knowingly engaged in any activity that would reasonably be expected to result in the Borrower or any Subsidiary being listed on any Sanctions-related list referred to in clause </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22"/>
          <w:szCs w:val="22"/>
          <w:color w:val="auto"/>
        </w:rPr>
        <w:t xml:space="preserve"> of the definition of “Sanctioned Person”. None of the Borrower or any Subsidiary or, to the knowledge of the Borrower, any of their respective directors, officers or employees that will act for the Borrower or any of its Subsidiaries in any capacity in connection with the credit facility established hereby, is listed on any Sanctions-related list referred to in clause </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22"/>
          <w:szCs w:val="22"/>
          <w:color w:val="auto"/>
        </w:rPr>
        <w:t xml:space="preserve"> of the definition of “Sanctioned Person”.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IV</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Conditions</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4.01. </w:t>
      </w:r>
      <w:r>
        <w:rPr>
          <w:rFonts w:ascii="Times New Roman" w:cs="Times New Roman" w:eastAsia="Times New Roman" w:hAnsi="Times New Roman"/>
          <w:sz w:val="22"/>
          <w:szCs w:val="22"/>
          <w:u w:val="single" w:color="auto"/>
          <w:color w:val="auto"/>
        </w:rPr>
        <w:t>Restatement Date.</w:t>
      </w:r>
      <w:r>
        <w:rPr>
          <w:rFonts w:ascii="Times New Roman" w:cs="Times New Roman" w:eastAsia="Times New Roman" w:hAnsi="Times New Roman"/>
          <w:sz w:val="22"/>
          <w:szCs w:val="22"/>
          <w:color w:val="auto"/>
        </w:rPr>
        <w:t xml:space="preserve"> The amendment and restatement of the Existing Credit Agreement in the form hereof shall not become effective until the date on which each of the following conditions is satisfied (or waived or deferred in accordance with Section 9.02 or the penultimate paragraph of this Section 4.01.</w:t>
      </w:r>
    </w:p>
    <w:p>
      <w:pPr>
        <w:spacing w:after="0" w:line="167" w:lineRule="exact"/>
        <w:rPr>
          <w:sz w:val="20"/>
          <w:szCs w:val="20"/>
          <w:color w:val="auto"/>
        </w:rPr>
      </w:pPr>
    </w:p>
    <w:p>
      <w:pPr>
        <w:jc w:val="both"/>
        <w:ind w:firstLine="1304"/>
        <w:spacing w:after="0" w:line="252" w:lineRule="auto"/>
        <w:tabs>
          <w:tab w:leader="none" w:pos="1590" w:val="left"/>
        </w:tabs>
        <w:numPr>
          <w:ilvl w:val="0"/>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(or its counsel) shall have received (i) from the Borrower, the Administrative Agent, the Collateral Agent, each Issuing Bank and each Lender, including Lenders representing at least the Majority Lenders under and as defined in the Existing Credit Agreement, a counterpart of this Agreement signed on behalf of such party (which, subject to Section 9.06(b), may include any Electronic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22"/>
          <w:szCs w:val="22"/>
          <w:color w:val="auto"/>
        </w:rPr>
        <w:t>Signatures transmitted by emailed .pdf or any other electronic means that reproduces an image of an actual signature page).</w:t>
      </w:r>
    </w:p>
    <w:p>
      <w:pPr>
        <w:spacing w:after="0" w:line="220" w:lineRule="exact"/>
        <w:rPr>
          <w:sz w:val="20"/>
          <w:szCs w:val="20"/>
          <w:color w:val="auto"/>
        </w:rPr>
      </w:pPr>
    </w:p>
    <w:p>
      <w:pPr>
        <w:jc w:val="both"/>
        <w:ind w:firstLine="1304"/>
        <w:spacing w:after="0" w:line="268" w:lineRule="auto"/>
        <w:tabs>
          <w:tab w:leader="none" w:pos="1629" w:val="left"/>
        </w:tabs>
        <w:numPr>
          <w:ilvl w:val="0"/>
          <w:numId w:val="3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have received favorable written opinions (addressed to the Administrative Agent, the Lenders and the Issuing Banks and dated the Restatement Date) of (i) Covington &amp; Burling LLP, counsel for the Borrower, and (ii) the General Counsel, an Associate General Counsel or a Senior Legal Counsel of the Borrower, in each case in form and substance reasonably satisfactory to the Administrative Agent, and covering such other matters relating to the Credit Parties, the Credit Documents or the Transactions as the Administrative Agent or the Majority Lenders shall reasonably request.</w:t>
      </w:r>
    </w:p>
    <w:p>
      <w:pPr>
        <w:spacing w:after="0" w:line="163" w:lineRule="exact"/>
        <w:rPr>
          <w:rFonts w:ascii="Times New Roman" w:cs="Times New Roman" w:eastAsia="Times New Roman" w:hAnsi="Times New Roman"/>
          <w:sz w:val="21"/>
          <w:szCs w:val="21"/>
          <w:color w:val="auto"/>
        </w:rPr>
      </w:pPr>
    </w:p>
    <w:p>
      <w:pPr>
        <w:jc w:val="both"/>
        <w:ind w:firstLine="1304"/>
        <w:spacing w:after="0" w:line="253" w:lineRule="auto"/>
        <w:tabs>
          <w:tab w:leader="none" w:pos="1590" w:val="left"/>
        </w:tabs>
        <w:numPr>
          <w:ilvl w:val="0"/>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such documents and certificates as the Administrative Agent or its counsel may reasonably request relating to the organization, existence and good standing of each Credit Party, the authorization by the Credit Parties of the Transactions and any other legal matters relating to the Borrower, the other Credit Parties, the Credit Documents or the Transactions, all in form and substance reasonably satisfactory to the Administrative Agent and its counsel.</w:t>
      </w:r>
    </w:p>
    <w:p>
      <w:pPr>
        <w:spacing w:after="0" w:line="178" w:lineRule="exact"/>
        <w:rPr>
          <w:rFonts w:ascii="Times New Roman" w:cs="Times New Roman" w:eastAsia="Times New Roman" w:hAnsi="Times New Roman"/>
          <w:sz w:val="22"/>
          <w:szCs w:val="22"/>
          <w:color w:val="auto"/>
        </w:rPr>
      </w:pPr>
    </w:p>
    <w:p>
      <w:pPr>
        <w:jc w:val="both"/>
        <w:ind w:firstLine="1304"/>
        <w:spacing w:after="0" w:line="257" w:lineRule="auto"/>
        <w:tabs>
          <w:tab w:leader="none" w:pos="1656" w:val="left"/>
        </w:tabs>
        <w:numPr>
          <w:ilvl w:val="0"/>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Lenders shall have received all documentation and other information required by bank regulatory authorities under applicable “know your customer” and anti-money laundering rules and regulations, including the USA PATRIOT Act and the Beneficial Ownership Regulation.</w:t>
      </w:r>
    </w:p>
    <w:p>
      <w:pPr>
        <w:spacing w:after="0" w:line="186" w:lineRule="exact"/>
        <w:rPr>
          <w:rFonts w:ascii="Times New Roman" w:cs="Times New Roman" w:eastAsia="Times New Roman" w:hAnsi="Times New Roman"/>
          <w:sz w:val="22"/>
          <w:szCs w:val="22"/>
          <w:color w:val="auto"/>
        </w:rPr>
      </w:pPr>
    </w:p>
    <w:p>
      <w:pPr>
        <w:ind w:right="20" w:firstLine="1304"/>
        <w:spacing w:after="0" w:line="271" w:lineRule="auto"/>
        <w:tabs>
          <w:tab w:leader="none" w:pos="1603" w:val="left"/>
        </w:tabs>
        <w:numPr>
          <w:ilvl w:val="0"/>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representations and warranties set forth in Article III shall be true and correct in all material respects on the Restatement Date and the Administrative Agent shall have received a certificate signed by a Financial Officer to that effect.</w:t>
      </w:r>
    </w:p>
    <w:p>
      <w:pPr>
        <w:spacing w:after="0" w:line="157" w:lineRule="exact"/>
        <w:rPr>
          <w:rFonts w:ascii="Times New Roman" w:cs="Times New Roman" w:eastAsia="Times New Roman" w:hAnsi="Times New Roman"/>
          <w:sz w:val="22"/>
          <w:szCs w:val="22"/>
          <w:color w:val="auto"/>
        </w:rPr>
      </w:pPr>
    </w:p>
    <w:p>
      <w:pPr>
        <w:jc w:val="both"/>
        <w:ind w:firstLine="1304"/>
        <w:spacing w:after="0" w:line="256" w:lineRule="auto"/>
        <w:tabs>
          <w:tab w:leader="none" w:pos="1579" w:val="left"/>
        </w:tabs>
        <w:numPr>
          <w:ilvl w:val="0"/>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and the other Credit Parties shall be in compliance with all the terms and provisions set forth herein and in the other Credit Documents in all material respects on their part to be observed or performed, and at the time of and immediately after the Restatement Date, no Default shall have occurred and be continuing, and the Administrative Agent shall have received a certificate signed by a Financial Officer to that effect.</w:t>
      </w:r>
    </w:p>
    <w:p>
      <w:pPr>
        <w:spacing w:after="0" w:line="176" w:lineRule="exact"/>
        <w:rPr>
          <w:rFonts w:ascii="Times New Roman" w:cs="Times New Roman" w:eastAsia="Times New Roman" w:hAnsi="Times New Roman"/>
          <w:sz w:val="22"/>
          <w:szCs w:val="22"/>
          <w:color w:val="auto"/>
        </w:rPr>
      </w:pPr>
    </w:p>
    <w:p>
      <w:pPr>
        <w:jc w:val="both"/>
        <w:ind w:firstLine="1304"/>
        <w:spacing w:after="0" w:line="249" w:lineRule="auto"/>
        <w:tabs>
          <w:tab w:leader="none" w:pos="1615" w:val="left"/>
        </w:tabs>
        <w:numPr>
          <w:ilvl w:val="0"/>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(i) all fees, interest and other amounts due and payable on or prior to, or accrued to, the Restatement Date under the Existing Credit Agreement, (ii) an amount equal to (A) the principal of all outstanding loans and letter of credit disbursements under the Existing Credit Agreement held by lenders under the Existing Credit Agreement that will not be Lenders under this Agreement, or the outstanding loans and letter of credit disbursements of which under the Existing Credit Agreement exceed their Applicable Percentages of the Loans and LC Disbursements to remain outstanding after giving effect to the amendment and restatement of the Existing Credit Agreement in the form of this Agreement on the Restatement Date, minus (B) the amounts to be remitted to such Lenders by the Administrative Agent on the Restatement Date pursuant to the last sentence of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19" w:name="page320"/>
    <w:bookmarkEnd w:id="319"/>
    <w:p>
      <w:pPr>
        <w:jc w:val="both"/>
        <w:spacing w:after="0" w:line="257" w:lineRule="auto"/>
        <w:rPr>
          <w:sz w:val="20"/>
          <w:szCs w:val="20"/>
          <w:color w:val="auto"/>
        </w:rPr>
      </w:pPr>
      <w:r>
        <w:rPr>
          <w:rFonts w:ascii="Times New Roman" w:cs="Times New Roman" w:eastAsia="Times New Roman" w:hAnsi="Times New Roman"/>
          <w:sz w:val="22"/>
          <w:szCs w:val="22"/>
          <w:color w:val="auto"/>
        </w:rPr>
        <w:t>2.05(a) and (iii) all fees and other amounts due and payable in connection with the effectiveness of this Agreement, including, to the extent invoiced, reimbursement or payment of all out-of-pocket expenses required to be reimbursed or paid by the Borrower hereunder.</w:t>
      </w:r>
    </w:p>
    <w:p>
      <w:pPr>
        <w:spacing w:after="0" w:line="186" w:lineRule="exact"/>
        <w:rPr>
          <w:sz w:val="20"/>
          <w:szCs w:val="20"/>
          <w:color w:val="auto"/>
        </w:rPr>
      </w:pPr>
    </w:p>
    <w:p>
      <w:pPr>
        <w:jc w:val="both"/>
        <w:ind w:firstLine="1304"/>
        <w:spacing w:after="0" w:line="250" w:lineRule="auto"/>
        <w:tabs>
          <w:tab w:leader="none" w:pos="1615" w:val="left"/>
        </w:tabs>
        <w:numPr>
          <w:ilvl w:val="0"/>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the results of a search of the Uniform Commercial Code (or equivalent) filings or registrations made with respect to the Credit Parties in the jurisdictions referred to in paragraph 1 of the Perfection Certificate (as defined in the Existing Guarantee and Collateral Agreement) most recently delivered under Section 5.04(c) of the Existing Guarantee and Collateral Agreement and copies of the financing statements (or similar documents) disclosed by such search.</w:t>
      </w:r>
    </w:p>
    <w:p>
      <w:pPr>
        <w:spacing w:after="0" w:line="194" w:lineRule="exact"/>
        <w:rPr>
          <w:rFonts w:ascii="Times New Roman" w:cs="Times New Roman" w:eastAsia="Times New Roman" w:hAnsi="Times New Roman"/>
          <w:sz w:val="22"/>
          <w:szCs w:val="22"/>
          <w:color w:val="auto"/>
        </w:rPr>
      </w:pPr>
    </w:p>
    <w:p>
      <w:pPr>
        <w:jc w:val="both"/>
        <w:ind w:firstLine="1304"/>
        <w:spacing w:after="0" w:line="252" w:lineRule="auto"/>
        <w:tabs>
          <w:tab w:leader="none" w:pos="1567" w:val="left"/>
        </w:tabs>
        <w:numPr>
          <w:ilvl w:val="0"/>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from the Borrower and each Subsidiary Guarantor (other than the Excluded Subsidiaries and the Consent Subsidiaries) a counterpart of the Reaffirmation Agreement duly executed and delivered on behalf of the Borrower or such Subsidiary as a Guarantor and (in the case of each Subsidiary that is a Grantor under the Guarantee and Collateral Agreement or a Canadian Grantor under any Canadian Security Agreement) a Grantor.</w:t>
      </w:r>
    </w:p>
    <w:p>
      <w:pPr>
        <w:spacing w:after="0" w:line="179" w:lineRule="exact"/>
        <w:rPr>
          <w:rFonts w:ascii="Times New Roman" w:cs="Times New Roman" w:eastAsia="Times New Roman" w:hAnsi="Times New Roman"/>
          <w:sz w:val="22"/>
          <w:szCs w:val="22"/>
          <w:color w:val="auto"/>
        </w:rPr>
      </w:pPr>
    </w:p>
    <w:p>
      <w:pPr>
        <w:jc w:val="both"/>
        <w:ind w:firstLine="1304"/>
        <w:spacing w:after="0" w:line="263" w:lineRule="auto"/>
        <w:tabs>
          <w:tab w:leader="none" w:pos="1635" w:val="left"/>
        </w:tabs>
        <w:numPr>
          <w:ilvl w:val="0"/>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Agent shall have received certificates representing all Capital Stock (other than any uncertificated Capital Stock) pledged pursuant to the Guarantee and Collateral Agreement, together with undated stock powers or other instruments of transfer with respect thereto endorsed in blank.</w:t>
      </w:r>
    </w:p>
    <w:p>
      <w:pPr>
        <w:spacing w:after="0" w:line="167" w:lineRule="exact"/>
        <w:rPr>
          <w:rFonts w:ascii="Times New Roman" w:cs="Times New Roman" w:eastAsia="Times New Roman" w:hAnsi="Times New Roman"/>
          <w:sz w:val="22"/>
          <w:szCs w:val="22"/>
          <w:color w:val="auto"/>
        </w:rPr>
      </w:pPr>
    </w:p>
    <w:p>
      <w:pPr>
        <w:jc w:val="both"/>
        <w:ind w:firstLine="1304"/>
        <w:spacing w:after="0" w:line="250" w:lineRule="auto"/>
        <w:tabs>
          <w:tab w:leader="none" w:pos="1683" w:val="left"/>
        </w:tabs>
        <w:numPr>
          <w:ilvl w:val="0"/>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Uniform Commercial Code financing statements or other personal property security filings and recordations with the United States Patent and Trademark Office, the Canadian Intellectual Property Office and the Federal Aviation Administration required by law or reasonably requested by the Collateral Agent to be filed or recorded to perfect or continue the Liens intended to be created on the Collateral (to the extent such Liens may be perfected or continued by filings under the Uniform Commercial Code as in effect in any applicable jurisdiction or by filings or registrations under applicable Canadian personal property security legislation or by filings with the United States Patent and Trademark Office or the Federal Aviation Administration) shall have been filed or recorded or delivered to the Collateral Agent for filing or recording.</w:t>
      </w:r>
    </w:p>
    <w:p>
      <w:pPr>
        <w:spacing w:after="0" w:line="180" w:lineRule="exact"/>
        <w:rPr>
          <w:rFonts w:ascii="Times New Roman" w:cs="Times New Roman" w:eastAsia="Times New Roman" w:hAnsi="Times New Roman"/>
          <w:sz w:val="22"/>
          <w:szCs w:val="22"/>
          <w:color w:val="auto"/>
        </w:rPr>
      </w:pPr>
    </w:p>
    <w:p>
      <w:pPr>
        <w:jc w:val="both"/>
        <w:ind w:firstLine="1304"/>
        <w:spacing w:after="0" w:line="250" w:lineRule="auto"/>
        <w:tabs>
          <w:tab w:leader="none" w:pos="1554" w:val="left"/>
        </w:tabs>
        <w:numPr>
          <w:ilvl w:val="0"/>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Agent shall have received (i) either (x) counterparts of an amended and restated Mortgage with respect to each Mortgaged Property, duly executed and delivered by the record owner of such Mortgaged Property or (y) confirmation satisfactory to the Collateral Agent, for each applicable Mortgaged Property, that such amendment and restatement is not necessary to reflect its continuing security interests therein, (ii) endorsements issued by the applicable nationally recognized title insurance company to each applicable policy of title insurance insuring the Lien of each such Mortgage as amended and restated as a valid first Lien on the Mortgaged Property described therein, free of any other Liens (other than Liens referred to in such policies of title insurance and acceptable to the Administrative Agent and Liens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20" w:name="page321"/>
    <w:bookmarkEnd w:id="320"/>
    <w:p>
      <w:pPr>
        <w:spacing w:after="0"/>
        <w:rPr>
          <w:sz w:val="20"/>
          <w:szCs w:val="20"/>
          <w:color w:val="auto"/>
        </w:rPr>
      </w:pPr>
      <w:r>
        <w:rPr>
          <w:rFonts w:ascii="Times New Roman" w:cs="Times New Roman" w:eastAsia="Times New Roman" w:hAnsi="Times New Roman"/>
          <w:sz w:val="21"/>
          <w:szCs w:val="21"/>
          <w:color w:val="auto"/>
        </w:rPr>
        <w:t>by Section 6.06), together with such other endorsements as the Collateral Agent or the Majority Lenders may reasonably request,</w:t>
      </w:r>
    </w:p>
    <w:p>
      <w:pPr>
        <w:spacing w:after="0" w:line="39" w:lineRule="exact"/>
        <w:rPr>
          <w:sz w:val="20"/>
          <w:szCs w:val="20"/>
          <w:color w:val="auto"/>
        </w:rPr>
      </w:pPr>
    </w:p>
    <w:p>
      <w:pPr>
        <w:jc w:val="both"/>
        <w:ind w:firstLine="8"/>
        <w:spacing w:after="0" w:line="249" w:lineRule="auto"/>
        <w:tabs>
          <w:tab w:leader="none" w:pos="388" w:val="left"/>
        </w:tabs>
        <w:numPr>
          <w:ilvl w:val="0"/>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Mortgaged Property is located in an area determined by the Federal Emergency Management Agency to have special flood hazards, evidence of such flood insurance as may be required under applicable law, including Regulation H of the Board, and (iv) such legal opinions and other documents as shall reasonably have been requested by the Collateral Agent with respect to any such amended and restated Mortgage or Mortgaged Property.</w:t>
      </w:r>
    </w:p>
    <w:p>
      <w:pPr>
        <w:spacing w:after="0" w:line="181" w:lineRule="exact"/>
        <w:rPr>
          <w:rFonts w:ascii="Times New Roman" w:cs="Times New Roman" w:eastAsia="Times New Roman" w:hAnsi="Times New Roman"/>
          <w:sz w:val="22"/>
          <w:szCs w:val="22"/>
          <w:color w:val="auto"/>
        </w:rPr>
      </w:pPr>
    </w:p>
    <w:p>
      <w:pPr>
        <w:jc w:val="both"/>
        <w:ind w:firstLine="1304"/>
        <w:spacing w:after="0" w:line="253" w:lineRule="auto"/>
        <w:tabs>
          <w:tab w:leader="none" w:pos="1675" w:val="left"/>
        </w:tabs>
        <w:numPr>
          <w:ilvl w:val="1"/>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evidence from (i) each “Deposit Account Institution” that is required to be party to an “Account Control Agreement” (as such terms are defined in the Guarantee and Collateral Agreement) and (ii) each securities intermediary that is required by Section 5.09 of the Guarantee and Collateral Agreement to be a party to a “Securities Account Control Agreement” (as such term is defined in the Guarantee and Collateral Agreement) that such agreement has been duly executed by all requisite parties and has become effective.</w:t>
      </w:r>
    </w:p>
    <w:p>
      <w:pPr>
        <w:spacing w:after="0" w:line="178" w:lineRule="exact"/>
        <w:rPr>
          <w:rFonts w:ascii="Times New Roman" w:cs="Times New Roman" w:eastAsia="Times New Roman" w:hAnsi="Times New Roman"/>
          <w:sz w:val="22"/>
          <w:szCs w:val="22"/>
          <w:color w:val="auto"/>
        </w:rPr>
      </w:pPr>
    </w:p>
    <w:p>
      <w:pPr>
        <w:jc w:val="both"/>
        <w:ind w:firstLine="1304"/>
        <w:spacing w:after="0" w:line="251" w:lineRule="auto"/>
        <w:tabs>
          <w:tab w:leader="none" w:pos="1615" w:val="left"/>
        </w:tabs>
        <w:numPr>
          <w:ilvl w:val="1"/>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the Borrowing Base Certificate and the related certificate of a Financial Officer most recently delivered under Section 5.09 of the Existing Credit Agreement, as well as copies of (i) the collateral evaluation and appraisal most recently furnished pursuant to Section 5.05(b) of the Existing Credit Agreement and (ii) a collateral appraisal with respect to the Goodyear Equipment of the Borrower and the other Credit Parties conducted by a third party appraiser selected by the Administrative Agent and the Borrower and engaged by the Administrative Agent at locations to be agreed by the Administrative Agent and the Borrower.</w:t>
      </w:r>
    </w:p>
    <w:p>
      <w:pPr>
        <w:spacing w:after="0" w:line="181"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The Collateral Agent may enter into agreements with the Borrower to grant extensions of time for the perfection of security interests in or the delivery of surveys, title insurance, legal opinions or other documents with respect to particular assets where it determines that perfection cannot be accomplished or such documents cannot be delivered without undue effort or expense by the Restatement Date or any later date on which they are required to be accomplished or delivered under this Agreement or the Security Documents. Any failure of the Borrower to satisfy a requirement of any such agreement by the date specified therein (or any later date to which the Collateral Agent may agree) shall constitute a breach of the provision of this Agreement or the Security Document under which the original requirement was applicable. Without limiting the foregoing, it is anticipated that the actions listed on Annex I to the Disclosure Letter will not have been completed by the Restatement Date, and the Borrower covenants and agrees that each of such actions will be completed by the date specified for such action in such Annex I (or any later date to which the Collateral Agent may agree) and that the Borrower will comply with all of the undertakings set forth in such Annex I.</w:t>
      </w:r>
    </w:p>
    <w:p>
      <w:pPr>
        <w:spacing w:after="0" w:line="189"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The Administrative Agent shall notify the Borrower and the Lenders of the Restatement Date in writing, and such notice shall be conclusive and binding.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21" w:name="page322"/>
    <w:bookmarkEnd w:id="321"/>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4.02. </w:t>
      </w:r>
      <w:r>
        <w:rPr>
          <w:rFonts w:ascii="Times New Roman" w:cs="Times New Roman" w:eastAsia="Times New Roman" w:hAnsi="Times New Roman"/>
          <w:sz w:val="22"/>
          <w:szCs w:val="22"/>
          <w:u w:val="single" w:color="auto"/>
          <w:color w:val="auto"/>
        </w:rPr>
        <w:t>Each Credit Event.</w:t>
      </w:r>
      <w:r>
        <w:rPr>
          <w:rFonts w:ascii="Times New Roman" w:cs="Times New Roman" w:eastAsia="Times New Roman" w:hAnsi="Times New Roman"/>
          <w:sz w:val="22"/>
          <w:szCs w:val="22"/>
          <w:color w:val="auto"/>
        </w:rPr>
        <w:t xml:space="preserve"> (a) The obligation of each Lender to make a Loan on the occasion of any Borrowing (other than a conversion or continuation of an outstanding Borrowing and other than a Borrowing to reimburse an LC Disbursement made pursuant to Section 2.03(e)) and of each Issuing Bank to issue, amend, renew or extend any Letter of Credit, shall be subject to the satisfaction of the following conditions:</w:t>
      </w:r>
    </w:p>
    <w:p>
      <w:pPr>
        <w:spacing w:after="0" w:line="176" w:lineRule="exact"/>
        <w:rPr>
          <w:sz w:val="20"/>
          <w:szCs w:val="20"/>
          <w:color w:val="auto"/>
        </w:rPr>
      </w:pPr>
    </w:p>
    <w:p>
      <w:pPr>
        <w:jc w:val="both"/>
        <w:ind w:left="1300" w:firstLine="652"/>
        <w:spacing w:after="0" w:line="249" w:lineRule="auto"/>
        <w:tabs>
          <w:tab w:leader="none" w:pos="2308" w:val="left"/>
        </w:tabs>
        <w:numPr>
          <w:ilvl w:val="1"/>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representations and warranties of the Borrower set forth in this Agreement (including the representation in Section </w:t>
      </w:r>
      <w:r>
        <w:rPr>
          <w:rFonts w:ascii="Times New Roman" w:cs="Times New Roman" w:eastAsia="Times New Roman" w:hAnsi="Times New Roman"/>
          <w:sz w:val="22"/>
          <w:szCs w:val="22"/>
          <w:b w:val="1"/>
          <w:bCs w:val="1"/>
          <w:color w:val="auto"/>
        </w:rPr>
        <w:t>3.03(a)</w:t>
      </w:r>
      <w:r>
        <w:rPr>
          <w:rFonts w:ascii="Times New Roman" w:cs="Times New Roman" w:eastAsia="Times New Roman" w:hAnsi="Times New Roman"/>
          <w:sz w:val="22"/>
          <w:szCs w:val="22"/>
          <w:color w:val="auto"/>
        </w:rPr>
        <w:t>(iii)) and of each Credit Party in the other Credit Documents (insofar as the representations and warranties in such other Credit Documents relate to the transactions provided for herein or to the Collateral securing the Obligations) shall be true and correct in all respects material to the rights or interests of the Lenders or the Issuing Banks under the Credit Documents on and as of the date of such Borrowing or the date of issuance, amendment, renewal or extension of such Letter of Credit, as applicable, with the same effect as though made on and as of such date, except to the extent such representations and warranties expressly relate to an earlier date.</w:t>
      </w:r>
    </w:p>
    <w:p>
      <w:pPr>
        <w:spacing w:after="0" w:line="181" w:lineRule="exact"/>
        <w:rPr>
          <w:rFonts w:ascii="Times New Roman" w:cs="Times New Roman" w:eastAsia="Times New Roman" w:hAnsi="Times New Roman"/>
          <w:sz w:val="22"/>
          <w:szCs w:val="22"/>
          <w:color w:val="auto"/>
        </w:rPr>
      </w:pPr>
    </w:p>
    <w:p>
      <w:pPr>
        <w:jc w:val="both"/>
        <w:ind w:left="1300" w:firstLine="652"/>
        <w:spacing w:after="0" w:line="263" w:lineRule="auto"/>
        <w:tabs>
          <w:tab w:leader="none" w:pos="2254" w:val="left"/>
        </w:tabs>
        <w:numPr>
          <w:ilvl w:val="1"/>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giving effect to such Borrowing or the issuance, amendment, renewal or extension of such Letter of Credit, as applicable, the aggregate Credit Exposures shall not exceed the Borrowing Base Availability then in effect.</w:t>
      </w:r>
    </w:p>
    <w:p>
      <w:pPr>
        <w:spacing w:after="0" w:line="167" w:lineRule="exact"/>
        <w:rPr>
          <w:rFonts w:ascii="Times New Roman" w:cs="Times New Roman" w:eastAsia="Times New Roman" w:hAnsi="Times New Roman"/>
          <w:sz w:val="22"/>
          <w:szCs w:val="22"/>
          <w:color w:val="auto"/>
        </w:rPr>
      </w:pPr>
    </w:p>
    <w:p>
      <w:pPr>
        <w:jc w:val="both"/>
        <w:ind w:left="1300" w:firstLine="652"/>
        <w:spacing w:after="0" w:line="252" w:lineRule="auto"/>
        <w:tabs>
          <w:tab w:leader="none" w:pos="2281" w:val="left"/>
        </w:tabs>
        <w:numPr>
          <w:ilvl w:val="1"/>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time of and immediately after giving effect to such Borrowing or the issuance, amendment, renewal or extension of such Letter of Credit, as applicable, no Default or Event of Default shall have occurred and be continuing and no breach of the delivery requirements of Section 5.01(a) or (b) shall have occurred and be continuing.</w:t>
      </w:r>
    </w:p>
    <w:p>
      <w:pPr>
        <w:spacing w:after="0" w:line="192" w:lineRule="exact"/>
        <w:rPr>
          <w:rFonts w:ascii="Times New Roman" w:cs="Times New Roman" w:eastAsia="Times New Roman" w:hAnsi="Times New Roman"/>
          <w:sz w:val="22"/>
          <w:szCs w:val="22"/>
          <w:color w:val="auto"/>
        </w:rPr>
      </w:pPr>
    </w:p>
    <w:p>
      <w:pPr>
        <w:jc w:val="both"/>
        <w:ind w:firstLine="1304"/>
        <w:spacing w:after="0" w:line="250" w:lineRule="auto"/>
        <w:tabs>
          <w:tab w:leader="none" w:pos="1629" w:val="left"/>
        </w:tabs>
        <w:numPr>
          <w:ilvl w:val="0"/>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 of each Lender to make a Loan on the occasion of any Borrowing deemed to have been requested by the Borrower to reimburse an LC Disbursement pursuant to Section 2.03(e) shall be subject to the satisfaction of the conditions that (i) at the time of and immediately after giving effect to such Borrowing, no Event of Default shall have occurred and be continuing, and (ii) after giving effect to such Borrowing, the aggregate Credit Exposures shall not exceed the Borrowing Base Availability then in effect.</w:t>
      </w:r>
    </w:p>
    <w:p>
      <w:pPr>
        <w:spacing w:after="0" w:line="194" w:lineRule="exact"/>
        <w:rPr>
          <w:rFonts w:ascii="Times New Roman" w:cs="Times New Roman" w:eastAsia="Times New Roman" w:hAnsi="Times New Roman"/>
          <w:sz w:val="22"/>
          <w:szCs w:val="22"/>
          <w:color w:val="auto"/>
        </w:rPr>
      </w:pPr>
    </w:p>
    <w:p>
      <w:pPr>
        <w:jc w:val="both"/>
        <w:ind w:right="20" w:firstLine="1304"/>
        <w:spacing w:after="0" w:line="257" w:lineRule="auto"/>
        <w:tabs>
          <w:tab w:leader="none" w:pos="1590" w:val="left"/>
        </w:tabs>
        <w:numPr>
          <w:ilvl w:val="0"/>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Borrowing and each issuance, amendment, renewal or extension of a Letter of Credit shall be deemed to constitute a representation and warranty by the Borrower on the date thereof as to the matters specified in clauses </w:t>
      </w:r>
      <w:r>
        <w:rPr>
          <w:rFonts w:ascii="Times New Roman" w:cs="Times New Roman" w:eastAsia="Times New Roman" w:hAnsi="Times New Roman"/>
          <w:sz w:val="22"/>
          <w:szCs w:val="22"/>
          <w:b w:val="1"/>
          <w:bCs w:val="1"/>
          <w:color w:val="auto"/>
        </w:rPr>
        <w:t>(1)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(3)</w:t>
      </w:r>
      <w:r>
        <w:rPr>
          <w:rFonts w:ascii="Times New Roman" w:cs="Times New Roman" w:eastAsia="Times New Roman" w:hAnsi="Times New Roman"/>
          <w:sz w:val="22"/>
          <w:szCs w:val="22"/>
          <w:color w:val="auto"/>
        </w:rPr>
        <w:t xml:space="preserve"> of paragraph </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22"/>
          <w:szCs w:val="22"/>
          <w:color w:val="auto"/>
        </w:rPr>
        <w:t xml:space="preserve"> above or in paragraph </w:t>
      </w: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22"/>
          <w:szCs w:val="22"/>
          <w:color w:val="auto"/>
        </w:rPr>
        <w:t xml:space="preserve"> above,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22" w:name="page323"/>
    <w:bookmarkEnd w:id="322"/>
    <w:p>
      <w:pPr>
        <w:jc w:val="center"/>
        <w:spacing w:after="0"/>
        <w:rPr>
          <w:sz w:val="20"/>
          <w:szCs w:val="20"/>
          <w:color w:val="auto"/>
        </w:rPr>
      </w:pPr>
      <w:r>
        <w:rPr>
          <w:rFonts w:ascii="Times New Roman" w:cs="Times New Roman" w:eastAsia="Times New Roman" w:hAnsi="Times New Roman"/>
          <w:sz w:val="22"/>
          <w:szCs w:val="22"/>
          <w:color w:val="auto"/>
        </w:rPr>
        <w:t>ARTICLE V</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Affirmative Covenants</w:t>
      </w:r>
    </w:p>
    <w:p>
      <w:pPr>
        <w:spacing w:after="0" w:line="22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Until the Commitments shall have been terminated and the principal of and interest on each Loan and all fees payable hereunder shall have been paid in full and all Letters of Credit shall have expired or terminated and all LC Disbursements shall have been reimbursed, the Borrower covenants and agrees with the Administrative Agent, the Lenders and the Issuing Banks that:</w:t>
      </w:r>
    </w:p>
    <w:p>
      <w:pPr>
        <w:spacing w:after="0" w:line="17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5.01. </w:t>
      </w:r>
      <w:r>
        <w:rPr>
          <w:rFonts w:ascii="Times New Roman" w:cs="Times New Roman" w:eastAsia="Times New Roman" w:hAnsi="Times New Roman"/>
          <w:sz w:val="22"/>
          <w:szCs w:val="22"/>
          <w:u w:val="single" w:color="auto"/>
          <w:color w:val="auto"/>
        </w:rPr>
        <w:t>Financial Statements and Other Information.</w:t>
      </w:r>
      <w:r>
        <w:rPr>
          <w:rFonts w:ascii="Times New Roman" w:cs="Times New Roman" w:eastAsia="Times New Roman" w:hAnsi="Times New Roman"/>
          <w:sz w:val="22"/>
          <w:szCs w:val="22"/>
          <w:color w:val="auto"/>
        </w:rPr>
        <w:t xml:space="preserve"> The Borrower will furnish to the Administrative Agent and each Lender and Issuing Bank:</w:t>
      </w:r>
    </w:p>
    <w:p>
      <w:pPr>
        <w:spacing w:after="0" w:line="171" w:lineRule="exact"/>
        <w:rPr>
          <w:sz w:val="20"/>
          <w:szCs w:val="20"/>
          <w:color w:val="auto"/>
        </w:rPr>
      </w:pPr>
    </w:p>
    <w:p>
      <w:pPr>
        <w:jc w:val="both"/>
        <w:ind w:left="660" w:firstLine="644"/>
        <w:spacing w:after="0" w:line="249" w:lineRule="auto"/>
        <w:tabs>
          <w:tab w:leader="none" w:pos="1626" w:val="left"/>
        </w:tabs>
        <w:numPr>
          <w:ilvl w:val="0"/>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available and in any event within 110 days after the end of each fiscal year of the Borrower, its audited consolidated balance sheet and related statements of operations, shareholders’ equity and cash flows as of the end of and for such year, setting forth in each case in comparative form the figures for the previous fiscal year, reported on by PricewaterhouseCoopers or other independent registered public accounting firm of recognized national standing (without any qualification in any material respect or exception as to the scope of such audit) to the effect that such consolidated financial statements present fairly in all material respects the consolidated financial condition and consolidated results of operations of the Borrower and its Consolidated Subsidiaries as of the end of and for such fiscal year in accordance with GAAP consistently applied;</w:t>
      </w:r>
    </w:p>
    <w:p>
      <w:pPr>
        <w:spacing w:after="0" w:line="181" w:lineRule="exact"/>
        <w:rPr>
          <w:rFonts w:ascii="Times New Roman" w:cs="Times New Roman" w:eastAsia="Times New Roman" w:hAnsi="Times New Roman"/>
          <w:sz w:val="22"/>
          <w:szCs w:val="22"/>
          <w:color w:val="auto"/>
        </w:rPr>
      </w:pPr>
    </w:p>
    <w:p>
      <w:pPr>
        <w:jc w:val="both"/>
        <w:ind w:left="660" w:firstLine="644"/>
        <w:spacing w:after="0" w:line="249" w:lineRule="auto"/>
        <w:tabs>
          <w:tab w:leader="none" w:pos="1629" w:val="left"/>
        </w:tabs>
        <w:numPr>
          <w:ilvl w:val="0"/>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available and in any event within 60 days after the end of each of the first three fiscal quarters of each fiscal year of the Borrower, its consolidated balance sheet and related statements of operations,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consolidated financial condition and consolidated results of operations of the Borrower and its Consolidated Subsidiaries as of the end of and for such fiscal quarter in accordance with GAAP consistently applied, subject to normal year-end audit adjustments and the absence of footnotes;</w:t>
      </w:r>
    </w:p>
    <w:p>
      <w:pPr>
        <w:spacing w:after="0" w:line="191" w:lineRule="exact"/>
        <w:rPr>
          <w:rFonts w:ascii="Times New Roman" w:cs="Times New Roman" w:eastAsia="Times New Roman" w:hAnsi="Times New Roman"/>
          <w:sz w:val="22"/>
          <w:szCs w:val="22"/>
          <w:color w:val="auto"/>
        </w:rPr>
      </w:pPr>
    </w:p>
    <w:p>
      <w:pPr>
        <w:jc w:val="both"/>
        <w:ind w:left="660" w:firstLine="644"/>
        <w:spacing w:after="0" w:line="249" w:lineRule="auto"/>
        <w:tabs>
          <w:tab w:leader="none" w:pos="1620" w:val="left"/>
        </w:tabs>
        <w:numPr>
          <w:ilvl w:val="0"/>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 later than five Business Days after each delivery of financial statements under clause </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22"/>
          <w:szCs w:val="22"/>
          <w:color w:val="auto"/>
        </w:rPr>
        <w:t xml:space="preserve"> above, a certificate of a Financial Officer (i) certifying as to whether a Default has occurred and, if a Default has occurred, specifying the details thereof and any action taken or proposed to be taken with respect thereto, (ii) demonstrating compliance with Section 6.09 at the end of the period to which such financial statements relate and for each applicable period then ended, and (iii) stating whether any change in GAAP or in the application thereof has occurred since the date of the most recent 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23" w:name="page324"/>
    <w:bookmarkEnd w:id="323"/>
    <w:p>
      <w:pPr>
        <w:jc w:val="both"/>
        <w:ind w:left="660"/>
        <w:spacing w:after="0" w:line="259" w:lineRule="auto"/>
        <w:rPr>
          <w:sz w:val="20"/>
          <w:szCs w:val="20"/>
          <w:color w:val="auto"/>
        </w:rPr>
      </w:pPr>
      <w:r>
        <w:rPr>
          <w:rFonts w:ascii="Times New Roman" w:cs="Times New Roman" w:eastAsia="Times New Roman" w:hAnsi="Times New Roman"/>
          <w:sz w:val="22"/>
          <w:szCs w:val="22"/>
          <w:color w:val="auto"/>
        </w:rPr>
        <w:t xml:space="preserve">delivered under clause </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22"/>
          <w:szCs w:val="22"/>
          <w:color w:val="auto"/>
        </w:rPr>
        <w:t xml:space="preserve"> above (or, prior to the delivery of any such financial statements, since December 31, 2024) and, if any such change has occurred, specifying the effect of such change on the financial statements accompanying such certificate;</w:t>
      </w:r>
    </w:p>
    <w:p>
      <w:pPr>
        <w:spacing w:after="0" w:line="184" w:lineRule="exact"/>
        <w:rPr>
          <w:sz w:val="20"/>
          <w:szCs w:val="20"/>
          <w:color w:val="auto"/>
        </w:rPr>
      </w:pPr>
    </w:p>
    <w:p>
      <w:pPr>
        <w:jc w:val="both"/>
        <w:ind w:left="660" w:firstLine="644"/>
        <w:spacing w:after="0" w:line="252" w:lineRule="auto"/>
        <w:tabs>
          <w:tab w:leader="none" w:pos="1628" w:val="left"/>
        </w:tabs>
        <w:numPr>
          <w:ilvl w:val="0"/>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the same become publicly available, copies of all periodic and other reports, proxy statements and other materials filed by the Borrower or any Subsidiary with the SEC, or any Governmental Authority succeeding to any or all of the functions of the SEC, or with any national securities exchange, or distributed by the Borrower to its shareholders generally, as the case may be;</w:t>
      </w:r>
    </w:p>
    <w:p>
      <w:pPr>
        <w:spacing w:after="0" w:line="175" w:lineRule="exact"/>
        <w:rPr>
          <w:rFonts w:ascii="Times New Roman" w:cs="Times New Roman" w:eastAsia="Times New Roman" w:hAnsi="Times New Roman"/>
          <w:sz w:val="22"/>
          <w:szCs w:val="22"/>
          <w:color w:val="auto"/>
        </w:rPr>
      </w:pPr>
    </w:p>
    <w:p>
      <w:pPr>
        <w:jc w:val="both"/>
        <w:ind w:left="660" w:firstLine="644"/>
        <w:spacing w:after="0" w:line="269" w:lineRule="auto"/>
        <w:tabs>
          <w:tab w:leader="none" w:pos="1608" w:val="left"/>
        </w:tabs>
        <w:numPr>
          <w:ilvl w:val="0"/>
          <w:numId w:val="3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 later than five Business Days after each delivery of financial statements under clause </w:t>
      </w:r>
      <w:r>
        <w:rPr>
          <w:rFonts w:ascii="Times New Roman" w:cs="Times New Roman" w:eastAsia="Times New Roman" w:hAnsi="Times New Roman"/>
          <w:sz w:val="21"/>
          <w:szCs w:val="21"/>
          <w:b w:val="1"/>
          <w:bCs w:val="1"/>
          <w:color w:val="auto"/>
        </w:rPr>
        <w:t>(a)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b w:val="1"/>
          <w:bCs w:val="1"/>
          <w:color w:val="auto"/>
        </w:rPr>
        <w:t>(b)</w:t>
      </w:r>
      <w:r>
        <w:rPr>
          <w:rFonts w:ascii="Times New Roman" w:cs="Times New Roman" w:eastAsia="Times New Roman" w:hAnsi="Times New Roman"/>
          <w:sz w:val="21"/>
          <w:szCs w:val="21"/>
          <w:color w:val="auto"/>
        </w:rPr>
        <w:t xml:space="preserve"> above, and at such other times as the Borrower may determine, a certificate of a Financial Officer identifying each Domestic Subsidiary formed or acquired after the Restatement Date and not previously identified in a certificate delivered pursuant to this paragraph, stating whether each such Domestic Subsidiary is an Excluded Subsidiary or a Consent Subsidiary and describing the factors that shall have led to the identification of any such Domestic Subsidiary as a Consent Subsidiary;</w:t>
      </w:r>
    </w:p>
    <w:p>
      <w:pPr>
        <w:spacing w:after="0" w:line="162" w:lineRule="exact"/>
        <w:rPr>
          <w:rFonts w:ascii="Times New Roman" w:cs="Times New Roman" w:eastAsia="Times New Roman" w:hAnsi="Times New Roman"/>
          <w:sz w:val="21"/>
          <w:szCs w:val="21"/>
          <w:color w:val="auto"/>
        </w:rPr>
      </w:pPr>
    </w:p>
    <w:p>
      <w:pPr>
        <w:ind w:left="660" w:firstLine="644"/>
        <w:spacing w:after="0" w:line="271" w:lineRule="auto"/>
        <w:tabs>
          <w:tab w:leader="none" w:pos="1619" w:val="left"/>
        </w:tabs>
        <w:numPr>
          <w:ilvl w:val="0"/>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time to time, all information and documentation required to be delivered under Section 5.04 of the Guarantee and Collateral Agreement;</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59" w:lineRule="auto"/>
        <w:tabs>
          <w:tab w:leader="none" w:pos="1631" w:val="left"/>
        </w:tabs>
        <w:numPr>
          <w:ilvl w:val="0"/>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 later than five Business Days after each delivery of financial statements under clause </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22"/>
          <w:szCs w:val="22"/>
          <w:color w:val="auto"/>
        </w:rPr>
        <w:t xml:space="preserve"> above, a certificate of a Financial Officer of the Borrower certifying that the requirements of Section 5.08 have been satisfied in all material respects;</w:t>
      </w:r>
    </w:p>
    <w:p>
      <w:pPr>
        <w:spacing w:after="0" w:line="170"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620" w:val="left"/>
        </w:tabs>
        <w:numPr>
          <w:ilvl w:val="0"/>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any date on which (i) either (A) any Grantor shall withdraw cash constituting Eligible Cash from a Deposit Account in which such cash shall have been held or (B) the Borrower shall request any Borrowing, or any issuance or amendment of a Letter of Credit, and (ii) after giving effect to such withdrawal or such Borrowing, issuance or amendment, the aggregate Credit Exposures would exceed the Borrowing Base Availability then in effect, determined without giving effect to clause </w:t>
      </w: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22"/>
          <w:szCs w:val="22"/>
          <w:color w:val="auto"/>
        </w:rPr>
        <w:t xml:space="preserve"> of the definition of “Borrowing Base”, a certificate of a Financial Officer setting forth the amount of Eligible Cash after giving effect to any such withdrawal, Borrowing or issuance or amendment of a Letter of Credit;</w:t>
      </w:r>
    </w:p>
    <w:p>
      <w:pPr>
        <w:spacing w:after="0" w:line="193"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573" w:val="left"/>
        </w:tabs>
        <w:numPr>
          <w:ilvl w:val="0"/>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when the aggregate solvency deficiency in respect of Defined Benefit CPPs, as set out on the most recent actuarial valuation reports filed with the applicable Governmental Authority, is greater than $75,000,000, (i) not later than 60 days after filing with any applicable Governmental Authority, copies of each annual and other return, report or valuation with respect to each Defined Benefit CPP as filed with such Governmental Authority; (ii) promptly and in any event within 30 days after receipt thereof, a copy of any direction,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18" w:right="339" w:bottom="1440" w:gutter="0" w:footer="0" w:header="0"/>
        </w:sectPr>
      </w:pPr>
    </w:p>
    <w:bookmarkStart w:id="324" w:name="page325"/>
    <w:bookmarkEnd w:id="324"/>
    <w:p>
      <w:pPr>
        <w:jc w:val="both"/>
        <w:ind w:left="660"/>
        <w:spacing w:after="0" w:line="275" w:lineRule="auto"/>
        <w:rPr>
          <w:sz w:val="20"/>
          <w:szCs w:val="20"/>
          <w:color w:val="auto"/>
        </w:rPr>
      </w:pPr>
      <w:r>
        <w:rPr>
          <w:rFonts w:ascii="Times New Roman" w:cs="Times New Roman" w:eastAsia="Times New Roman" w:hAnsi="Times New Roman"/>
          <w:sz w:val="21"/>
          <w:szCs w:val="21"/>
          <w:color w:val="auto"/>
        </w:rPr>
        <w:t>order, notice, ruling or opinion that any Credit Party may receive from any applicable Governmental Authority with respect to any Defined Benefit CPP (other than ordinary course correspondence regarding plan amendments); and (iii) notification within 30 days of any voluntary or involuntary termination of, or participation in, a Defined Benefit CPP; and</w:t>
      </w:r>
    </w:p>
    <w:p>
      <w:pPr>
        <w:spacing w:after="0" w:line="169" w:lineRule="exact"/>
        <w:rPr>
          <w:sz w:val="20"/>
          <w:szCs w:val="20"/>
          <w:color w:val="auto"/>
        </w:rPr>
      </w:pPr>
    </w:p>
    <w:p>
      <w:pPr>
        <w:jc w:val="both"/>
        <w:ind w:left="660" w:firstLine="644"/>
        <w:spacing w:after="0" w:line="251" w:lineRule="auto"/>
        <w:tabs>
          <w:tab w:leader="none" w:pos="1586" w:val="left"/>
        </w:tabs>
        <w:numPr>
          <w:ilvl w:val="0"/>
          <w:numId w:val="3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any request therefor, (i) such other information regarding the operations, business affairs and financial condition of the Borrower or any Subsidiary, or compliance with the terms of this Agreement or the other Credit Documents, or the perfection of the security interests created by the Security Documents, as the Administrative Agent or any Lender may reasonably request and (ii) information and documentation reasonably requested by the Administrative Agent or any Lender for purposes of compliance with applicable “know your customer” and anti-money laundering rules and regulations, including the USA PATRIOT Act and the Beneficial Ownership Regulation.</w:t>
      </w:r>
    </w:p>
    <w:p>
      <w:pPr>
        <w:spacing w:after="0" w:line="181"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Information required to be delivered pursuant to this Section 5.01 shall be deemed to have been delivered if such information, or one or more annual or quarterly reports containing such information, shall have been posted by the Administrative Agent on an IntraLinks or similar site to which the Lenders have been granted access or shall be available on the website of the SEC at http://www.sec.gov;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shall deliver paper copies of such information to any Lender that requests such delivery. Information required to be delivered pursuant to this Section 5.01 may also be delivered by electronic communications pursuant to procedures approved by the Administrative Agent.</w:t>
      </w:r>
    </w:p>
    <w:p>
      <w:pPr>
        <w:spacing w:after="0" w:line="18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SECTION 5.02. </w:t>
      </w:r>
      <w:r>
        <w:rPr>
          <w:rFonts w:ascii="Times New Roman" w:cs="Times New Roman" w:eastAsia="Times New Roman" w:hAnsi="Times New Roman"/>
          <w:sz w:val="22"/>
          <w:szCs w:val="22"/>
          <w:u w:val="single" w:color="auto"/>
          <w:color w:val="auto"/>
        </w:rPr>
        <w:t>Notices of Defaults.</w:t>
      </w:r>
      <w:r>
        <w:rPr>
          <w:rFonts w:ascii="Times New Roman" w:cs="Times New Roman" w:eastAsia="Times New Roman" w:hAnsi="Times New Roman"/>
          <w:sz w:val="22"/>
          <w:szCs w:val="22"/>
          <w:color w:val="auto"/>
        </w:rPr>
        <w:t xml:space="preserve"> The Borrower will furnish to the Administrative Agent, each Issuing Bank and each Lender prompt written notice of the occurrence of any Default, together with a statement of a Financial Officer or other executive officer of the Borrower setting forth the details of the event or development requiring such notice and any action taken or proposed to be taken with respect thereto.</w:t>
      </w:r>
    </w:p>
    <w:p>
      <w:pPr>
        <w:spacing w:after="0" w:line="193"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5.03. </w:t>
      </w:r>
      <w:r>
        <w:rPr>
          <w:rFonts w:ascii="Times New Roman" w:cs="Times New Roman" w:eastAsia="Times New Roman" w:hAnsi="Times New Roman"/>
          <w:sz w:val="22"/>
          <w:szCs w:val="22"/>
          <w:u w:val="single" w:color="auto"/>
          <w:color w:val="auto"/>
        </w:rPr>
        <w:t>Existence; Conduct of Business.</w:t>
      </w:r>
      <w:r>
        <w:rPr>
          <w:rFonts w:ascii="Times New Roman" w:cs="Times New Roman" w:eastAsia="Times New Roman" w:hAnsi="Times New Roman"/>
          <w:sz w:val="22"/>
          <w:szCs w:val="22"/>
          <w:color w:val="auto"/>
        </w:rPr>
        <w:t xml:space="preserve"> The Borrower will, and will cause each of the Subsidiaries to, do or cause to be done all things necessary to preserve, renew and keep in full force and effect its legal existence and the rights, licenses, permits, privileges and franchises material to the conduct of its business, except to the extent that failures to keep in effect such rights, licenses, permits, privileges and franchises would not be materially likely, individually or in the aggregate for all such failures, to result in a Material Adverse Change;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shall not prohibit any merger, consolidation, liquidation or dissolution permitted under Section 6.08.</w:t>
      </w:r>
    </w:p>
    <w:p>
      <w:pPr>
        <w:spacing w:after="0" w:line="18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5.04. </w:t>
      </w:r>
      <w:r>
        <w:rPr>
          <w:rFonts w:ascii="Times New Roman" w:cs="Times New Roman" w:eastAsia="Times New Roman" w:hAnsi="Times New Roman"/>
          <w:sz w:val="22"/>
          <w:szCs w:val="22"/>
          <w:u w:val="single" w:color="auto"/>
          <w:color w:val="auto"/>
        </w:rPr>
        <w:t>Maintenance of Properties.</w:t>
      </w:r>
      <w:r>
        <w:rPr>
          <w:rFonts w:ascii="Times New Roman" w:cs="Times New Roman" w:eastAsia="Times New Roman" w:hAnsi="Times New Roman"/>
          <w:sz w:val="22"/>
          <w:szCs w:val="22"/>
          <w:color w:val="auto"/>
        </w:rPr>
        <w:t xml:space="preserve"> The Borrower will, and will cause each of the Subsidiaries to, keep and maintain all its property in good working order and condition, ordinary wear and tear excepted, except to the extent any failure to do so would not, individually or in the aggregate, be materially likely to result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25" w:name="page326"/>
    <w:bookmarkEnd w:id="325"/>
    <w:p>
      <w:pPr>
        <w:jc w:val="both"/>
        <w:spacing w:after="0" w:line="271" w:lineRule="auto"/>
        <w:rPr>
          <w:sz w:val="20"/>
          <w:szCs w:val="20"/>
          <w:color w:val="auto"/>
        </w:rPr>
      </w:pPr>
      <w:r>
        <w:rPr>
          <w:rFonts w:ascii="Times New Roman" w:cs="Times New Roman" w:eastAsia="Times New Roman" w:hAnsi="Times New Roman"/>
          <w:sz w:val="22"/>
          <w:szCs w:val="22"/>
          <w:color w:val="auto"/>
        </w:rPr>
        <w:t>Material Adverse Change (it being understood that the foregoing shall not prohibit any sale of any assets permitted by Section 6.04).</w:t>
      </w:r>
    </w:p>
    <w:p>
      <w:pPr>
        <w:spacing w:after="0" w:line="158"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5.05. </w:t>
      </w:r>
      <w:r>
        <w:rPr>
          <w:rFonts w:ascii="Times New Roman" w:cs="Times New Roman" w:eastAsia="Times New Roman" w:hAnsi="Times New Roman"/>
          <w:sz w:val="22"/>
          <w:szCs w:val="22"/>
          <w:u w:val="single" w:color="auto"/>
          <w:color w:val="auto"/>
        </w:rPr>
        <w:t>Books and Records; Inspection and Audit Rights</w:t>
      </w:r>
      <w:r>
        <w:rPr>
          <w:rFonts w:ascii="Times New Roman" w:cs="Times New Roman" w:eastAsia="Times New Roman" w:hAnsi="Times New Roman"/>
          <w:sz w:val="22"/>
          <w:szCs w:val="22"/>
          <w:color w:val="auto"/>
        </w:rPr>
        <w:t>. (a) The Borrower will, and will cause each of the Subsidiaries to, keep books of record and account sufficient to enable the Borrower to prepare the financial statements and other information required to be delivered under Section 5.01. The Borrower will, and will cause each of the Subsidiaries to, permit any representatives designated by the Administrative Agent (or by any Lender acting through the Administrative Agent), upon reasonable prior notice, to visit and inspect its properties (accompanied by a representative of the Borrower) and to discuss its affairs, finances and condition with its officers, all at such reasonable times and as often as reasonably requested.</w:t>
      </w:r>
    </w:p>
    <w:p>
      <w:pPr>
        <w:spacing w:after="0" w:line="195" w:lineRule="exact"/>
        <w:rPr>
          <w:sz w:val="20"/>
          <w:szCs w:val="20"/>
          <w:color w:val="auto"/>
        </w:rPr>
      </w:pPr>
    </w:p>
    <w:p>
      <w:pPr>
        <w:jc w:val="both"/>
        <w:ind w:firstLine="1304"/>
        <w:spacing w:after="0" w:line="258" w:lineRule="auto"/>
        <w:tabs>
          <w:tab w:leader="none" w:pos="1602" w:val="left"/>
        </w:tabs>
        <w:numPr>
          <w:ilvl w:val="0"/>
          <w:numId w:val="3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will, and will cause each of the other Grantors to, permit any representatives designated by the Administrative Agent (including any consultants, accountants, lawyers and appraisers retained by the Administrative Agent) (or by any Lender acting through the Administrative Agent) to conduct one evaluation and one appraisal in any fiscal year of the Borrower’s computation of the Borrowing Base and the assets included in the Borrowing Base and such other assets and properties of the Borrower or the Subsidiaries as the Administrative Agent or Majority Lenders may reasonably require, all at reasonable times and upon reasonable advance notice to the Borrower and, if reasonably requested at any time when the aggregate amount of the Credit Exposures exceeds 80% of the aggregate amount of the Commitments in effect or when a Default or Event of Default shall have occurred and shall be continuing, up to one additional evaluation and up to one additional appraisal in any fiscal year. The Borrower shall pay the reasonable fees (including reasonable and customary internally allocated fees and expenses of employees of the Administrative Agent as to which invoices have been furnished) and expenses of any third party representatives retained by the Administrative Agent as to which invoices have been furnished to conduct any such evaluation or appraisal (and the field evaluation and appraisal referred to in the second proviso to the penultimate paragraph of the definition of “Borrowing Base”), including the reasonable fees and expenses associated with collateral monitoring services performed by the IB ABL Portfolio Management Group of the Administrative Agent to the extent not otherwise agreed in writing by the Borrower and the Administrative Agent. To the extent required by the Administrative Agent or the Majority Lenders in their discretion (not to be exercised unreasonably) as a result of any such evaluation, appraisal or monitoring, the Borrower also agrees to modify or adjust the computation of the Borrowing Base (which may include maintaining additional reserves or modifying the eligibility criteria for the components of the Borrowing Base, but not modifying the specifically enumerated advance rates specified in the definition of the “</w:t>
      </w:r>
      <w:r>
        <w:rPr>
          <w:rFonts w:ascii="Times New Roman" w:cs="Times New Roman" w:eastAsia="Times New Roman" w:hAnsi="Times New Roman"/>
          <w:sz w:val="21"/>
          <w:szCs w:val="21"/>
          <w:u w:val="single" w:color="auto"/>
          <w:color w:val="auto"/>
        </w:rPr>
        <w:t>Borrowing Base</w:t>
      </w:r>
      <w:r>
        <w:rPr>
          <w:rFonts w:ascii="Times New Roman" w:cs="Times New Roman" w:eastAsia="Times New Roman" w:hAnsi="Times New Roman"/>
          <w:sz w:val="21"/>
          <w:szCs w:val="21"/>
          <w:color w:val="auto"/>
        </w:rPr>
        <w:t>”). Any such modification or adjustment required by the Administrative Agent or the Majority Lenders shall be made by written notice to the Borrower setting forth in reasonable detail the basis for such modification or adjustment, and shall become effective for purposes of the first Borrowing Base Certificate that is delivered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26" w:name="page327"/>
    <w:bookmarkEnd w:id="326"/>
    <w:p>
      <w:pPr>
        <w:spacing w:after="0"/>
        <w:rPr>
          <w:sz w:val="20"/>
          <w:szCs w:val="20"/>
          <w:color w:val="auto"/>
        </w:rPr>
      </w:pPr>
      <w:r>
        <w:rPr>
          <w:rFonts w:ascii="Times New Roman" w:cs="Times New Roman" w:eastAsia="Times New Roman" w:hAnsi="Times New Roman"/>
          <w:sz w:val="22"/>
          <w:szCs w:val="22"/>
          <w:color w:val="auto"/>
        </w:rPr>
        <w:t>Section 5.09 at least five Business Days after the date of receipt by the Borrower of such written notice.</w:t>
      </w:r>
    </w:p>
    <w:p>
      <w:pPr>
        <w:spacing w:after="0" w:line="220" w:lineRule="exact"/>
        <w:rPr>
          <w:sz w:val="20"/>
          <w:szCs w:val="20"/>
          <w:color w:val="auto"/>
        </w:rPr>
      </w:pPr>
    </w:p>
    <w:p>
      <w:pPr>
        <w:jc w:val="both"/>
        <w:ind w:firstLine="1304"/>
        <w:spacing w:after="0" w:line="251" w:lineRule="auto"/>
        <w:tabs>
          <w:tab w:leader="none" w:pos="1644" w:val="left"/>
        </w:tabs>
        <w:numPr>
          <w:ilvl w:val="0"/>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historical accounting practices, systems or reserves relating to the components of the Borrowing Base are modified in a manner that is adverse to the Lenders in any material respect, the Borrower will agree to maintain such additional reserves (for purposes of computing the Borrowing Base) in respect of the components of the Borrowing Base and make such other adjustments to its parameters for including the components of the Borrowing Base as the Administrative Agent or the Majority Lenders in their discretion (not to be exercised unreasonably) shall reasonably require based upon such modifications.</w:t>
      </w:r>
    </w:p>
    <w:p>
      <w:pPr>
        <w:spacing w:after="0" w:line="181"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5.06. </w:t>
      </w: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22"/>
          <w:szCs w:val="22"/>
          <w:color w:val="auto"/>
        </w:rPr>
        <w:t xml:space="preserve"> (a) The Borrower will, and will cause each of the Subsidiaries to, comply with all laws, including Environmental Laws, rules, regulations and orders of any Governmental Authority applicable to it or its property, except where the failure to do so, individually or in the aggregate, would not be materially likely to result in a Material Adverse Change.</w:t>
      </w:r>
    </w:p>
    <w:p>
      <w:pPr>
        <w:spacing w:after="0" w:line="176" w:lineRule="exact"/>
        <w:rPr>
          <w:sz w:val="20"/>
          <w:szCs w:val="20"/>
          <w:color w:val="auto"/>
        </w:rPr>
      </w:pPr>
    </w:p>
    <w:p>
      <w:pPr>
        <w:ind w:right="20" w:firstLine="1304"/>
        <w:spacing w:after="0" w:line="271" w:lineRule="auto"/>
        <w:tabs>
          <w:tab w:leader="none" w:pos="1615" w:val="left"/>
        </w:tabs>
        <w:numPr>
          <w:ilvl w:val="0"/>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will maintain in effect policies and procedures reasonably designed to promote compliance by the Borrower and its Subsidiaries, and their respective directors, officers and employees, with Anti-Corruption Laws.</w:t>
      </w:r>
    </w:p>
    <w:p>
      <w:pPr>
        <w:spacing w:after="0" w:line="157" w:lineRule="exact"/>
        <w:rPr>
          <w:rFonts w:ascii="Times New Roman" w:cs="Times New Roman" w:eastAsia="Times New Roman" w:hAnsi="Times New Roman"/>
          <w:sz w:val="22"/>
          <w:szCs w:val="22"/>
          <w:color w:val="auto"/>
        </w:rPr>
      </w:pPr>
    </w:p>
    <w:p>
      <w:pPr>
        <w:ind w:right="20" w:firstLine="1304"/>
        <w:spacing w:after="0" w:line="284" w:lineRule="auto"/>
        <w:tabs>
          <w:tab w:leader="none" w:pos="1603" w:val="left"/>
        </w:tabs>
        <w:numPr>
          <w:ilvl w:val="0"/>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will maintain in effect policies and procedures reasonably designed to promote compliance by the Borrower and its Subsidiaries, and their respective directors, officers and employees, with applicable Sanctions.</w:t>
      </w:r>
    </w:p>
    <w:p>
      <w:pPr>
        <w:spacing w:after="0" w:line="144"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5.07. </w:t>
      </w: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xml:space="preserve"> The Borrower will, and will cause each of the Subsidiaries to, maintain, with financially sound and reputable insurance companies, insurance in such amounts and against such risks as are customary among companies of established reputation engaged in the same or similar businesses and operating in the same or similar locations, except to the extent the failure to do so would not be materially likely to result in a Material Adverse Change. The Borrower will furnish to the Administrative Agent or any Lender, upon request, information in reasonable detail as to the insurance so maintained.</w:t>
      </w:r>
    </w:p>
    <w:p>
      <w:pPr>
        <w:spacing w:after="0" w:line="181"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5.08. </w:t>
      </w:r>
      <w:r>
        <w:rPr>
          <w:rFonts w:ascii="Times New Roman" w:cs="Times New Roman" w:eastAsia="Times New Roman" w:hAnsi="Times New Roman"/>
          <w:sz w:val="22"/>
          <w:szCs w:val="22"/>
          <w:u w:val="single" w:color="auto"/>
          <w:color w:val="auto"/>
        </w:rPr>
        <w:t>Guarantees and Collateral.</w:t>
      </w:r>
      <w:r>
        <w:rPr>
          <w:rFonts w:ascii="Times New Roman" w:cs="Times New Roman" w:eastAsia="Times New Roman" w:hAnsi="Times New Roman"/>
          <w:sz w:val="22"/>
          <w:szCs w:val="22"/>
          <w:color w:val="auto"/>
        </w:rPr>
        <w:t xml:space="preserve"> (a) In the event that there shall at any time exist any North American Subsidiary (other than an Excluded Subsidiary or Consent Subsidiary) that shall not be a party to the Guarantee and Collateral Agreement or the Canadian Security Agreements, as the case may be, the Borrower will promptly notify the Collateral Agent (including in such notice the information that would have been required to be set forth with respect to such Subsidiary in the Restatement Date Perfection Certificate if such Subsidiary had been one of the Grantors listed therein) and will, within 30 days (or such longer period as may be reasonable under the circumstances) after such notification, deliver to the Collateral Agent a supplement to the Guarantee and Collateral Agreement or the Canadian Security Agreements, as the case may be, in substantially the form specified therein, duly executed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27" w:name="page328"/>
    <w:bookmarkEnd w:id="327"/>
    <w:p>
      <w:pPr>
        <w:jc w:val="both"/>
        <w:spacing w:after="0" w:line="253" w:lineRule="auto"/>
        <w:rPr>
          <w:sz w:val="20"/>
          <w:szCs w:val="20"/>
          <w:color w:val="auto"/>
        </w:rPr>
      </w:pPr>
      <w:r>
        <w:rPr>
          <w:rFonts w:ascii="Times New Roman" w:cs="Times New Roman" w:eastAsia="Times New Roman" w:hAnsi="Times New Roman"/>
          <w:sz w:val="22"/>
          <w:szCs w:val="22"/>
          <w:color w:val="auto"/>
        </w:rPr>
        <w:t>and delivered on behalf of such North American Subsidiary, pursuant to which such North American Subsidiary will become a party to the Guarantee and Collateral Agreement and a Subsidiary Guarantor and, if it elects to become a Grantor or if its Total Assets are greater than $10,000,000 as of March 31, 2025, or if later, as of the end of the most recent fiscal quarter for which financial statements have been delivered pursuant to Section 5.01(a) or (b), a Grantor, in each case as defined in the Guarantee and Collateral Agreement.</w:t>
      </w:r>
    </w:p>
    <w:p>
      <w:pPr>
        <w:spacing w:after="0" w:line="179" w:lineRule="exact"/>
        <w:rPr>
          <w:sz w:val="20"/>
          <w:szCs w:val="20"/>
          <w:color w:val="auto"/>
        </w:rPr>
      </w:pPr>
    </w:p>
    <w:p>
      <w:pPr>
        <w:jc w:val="both"/>
        <w:ind w:firstLine="1304"/>
        <w:spacing w:after="0" w:line="247" w:lineRule="auto"/>
        <w:tabs>
          <w:tab w:leader="none" w:pos="1615" w:val="left"/>
        </w:tabs>
        <w:numPr>
          <w:ilvl w:val="0"/>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the Borrower or any other Grantor shall at any time directly own any Capital Stock of any Subsidiary (other than (i) Capital Stock in any Subsidiary with Total Assets not greater than $10,000,000 as of March 31, 2025, or if later, as of the end of the most recent fiscal quarter for which financial statements have been delivered pursuant to Section 5.01(a) or (b),(ii) Capital Stock in any Excluded Subsidiary or Consent Subsidiary and (iii) Capital Stock already pledged in accordance with this paragraph or Section 4.01(j)), the Borrower will promptly notify the Collateral Agent and will, within 30 days (or such longer period as may be reasonable under the circumstances) after such notification, cause such Capital Stock to be pledged under the Guarantee and Collateral Agreement and cause to be delivered to the Collateral Agent any certificates representing such Capital Stock, together with undated stock powers or other instruments of transfer with respect thereto endorsed in blank;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 no Grantor shall be required to pledge more than 65% of outstanding voting Capital Stock of any Foreign Subsidiary and (B) no Grantor shall be required to pledge any Capital Stock in any Foreign Subsidiary if a Financial Officer shall have delivered a certificate to the Administrative Agent certifying that the Borrower has determined, on the basis of reasonable inquiries in the jurisdiction of such Person, that such pledge would affect materially and adversely the ability of such Person to conduct its business in such jurisdiction.</w:t>
      </w:r>
    </w:p>
    <w:p>
      <w:pPr>
        <w:spacing w:after="0" w:line="192" w:lineRule="exact"/>
        <w:rPr>
          <w:rFonts w:ascii="Times New Roman" w:cs="Times New Roman" w:eastAsia="Times New Roman" w:hAnsi="Times New Roman"/>
          <w:sz w:val="22"/>
          <w:szCs w:val="22"/>
          <w:color w:val="auto"/>
        </w:rPr>
      </w:pPr>
    </w:p>
    <w:p>
      <w:pPr>
        <w:jc w:val="both"/>
        <w:ind w:firstLine="1304"/>
        <w:spacing w:after="0" w:line="248" w:lineRule="auto"/>
        <w:tabs>
          <w:tab w:leader="none" w:pos="1603" w:val="left"/>
        </w:tabs>
        <w:numPr>
          <w:ilvl w:val="0"/>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the Borrower or any other Grantor shall at any time directly own any Capital Stock of any Material Foreign Subsidiary (other than Capital Stock already pledged in accordance with this paragraph and Capital Stock in any Consent Subsidiary), the Borrower will promptly notify the Collateral Agent and will take all such actions as the Collateral Agent shall reasonably request and as shall be available under applicable law to cause such Capital Stock to be pledged under a Foreign Pledge Agreement and cause to be delivered to the Collateral Agent any certificates representing such Capital Stock, together with undated stock powers or other instruments of transfer with respect thereto endorsed in blank;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 no Grantor shall be required to pledge more than 65% of outstanding voting Capital Stock of any Foreign Subsidiary, (B) no Grantor shall be required to pledge any Capital Stock in any Person if a Financial Officer shall have delivered a certificate to the Administrative Agent certifying that the Borrower has determined, on the basis of reasonable inquiries in the jurisdiction of such Person, that such pledge would affect materially and adversely the ability of such Person to conduct its business in such jurisdiction and (C) no Grantor shall be required to pledge any Capital Stock in Goodyear Argentina, Goodyear Canada, Goodyear Luxembourg or Goodyear Venezuela.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28" w:name="page329"/>
    <w:bookmarkEnd w:id="328"/>
    <w:p>
      <w:pPr>
        <w:jc w:val="both"/>
        <w:ind w:firstLine="1304"/>
        <w:spacing w:after="0" w:line="248" w:lineRule="auto"/>
        <w:tabs>
          <w:tab w:leader="none" w:pos="1615" w:val="left"/>
        </w:tabs>
        <w:numPr>
          <w:ilvl w:val="0"/>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the Borrower or any other Grantor shall at any time own any Material Intellectual Property (other than Material Intellectual Property as to which the actions required by this paragraph have already been taken), the Borrower will promptly notify the Collateral Agent and will file all Uniform Commercial Code financing statements or other applicable personal property security law filings and recordations with the Patent and Trademark Office or the Canadian Intellectual Property Office as shall be required by law or reasonably requested by the Collateral Agent to be filed or recorded to perfect the Liens intended to be created on the Collateral (to the extent such Liens may be perfected by filings under the Uniform Commercial Code or other personal property security legislation as in effect in any applicable jurisdiction or by filings with the United States Patent and Trademark Office or the Canadian Intellectual Property Office);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the consents of Persons other than the Borrower and the Wholly Owned Subsidiaries would be required under applicable law or the terms of any agreement in order for a security interest to be created in any Material Intellectual Property under the Guarantee and Collateral Agreement or the Canadian Security Agreements, as the case may be, a security interest shall not be required to be created in such Material Intellectual Property prior to the obtaining of such consents.</w:t>
      </w:r>
    </w:p>
    <w:p>
      <w:pPr>
        <w:spacing w:after="0" w:line="184" w:lineRule="exact"/>
        <w:rPr>
          <w:rFonts w:ascii="Times New Roman" w:cs="Times New Roman" w:eastAsia="Times New Roman" w:hAnsi="Times New Roman"/>
          <w:sz w:val="22"/>
          <w:szCs w:val="22"/>
          <w:color w:val="auto"/>
        </w:rPr>
      </w:pPr>
    </w:p>
    <w:p>
      <w:pPr>
        <w:jc w:val="both"/>
        <w:ind w:firstLine="1304"/>
        <w:spacing w:after="0" w:line="256" w:lineRule="auto"/>
        <w:tabs>
          <w:tab w:leader="none" w:pos="1630" w:val="left"/>
        </w:tabs>
        <w:numPr>
          <w:ilvl w:val="0"/>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will, and will cause each Subsidiary to, execute any and all further documents, financing statements, agreements and instruments, and take all such further actions, as may be reasonably requested by the Collateral Agent in order to cause the security interests purported to be created by the Security Documents or required to be created under the terms of this Agreement to constitute valid security interests, perfected in accordance with this Agreement.</w:t>
      </w:r>
    </w:p>
    <w:p>
      <w:pPr>
        <w:spacing w:after="0" w:line="176"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5.09. </w:t>
      </w:r>
      <w:r>
        <w:rPr>
          <w:rFonts w:ascii="Times New Roman" w:cs="Times New Roman" w:eastAsia="Times New Roman" w:hAnsi="Times New Roman"/>
          <w:sz w:val="22"/>
          <w:szCs w:val="22"/>
          <w:u w:val="single" w:color="auto"/>
          <w:color w:val="auto"/>
        </w:rPr>
        <w:t>Borrowing Base Certificate.</w:t>
      </w:r>
      <w:r>
        <w:rPr>
          <w:rFonts w:ascii="Times New Roman" w:cs="Times New Roman" w:eastAsia="Times New Roman" w:hAnsi="Times New Roman"/>
          <w:sz w:val="22"/>
          <w:szCs w:val="22"/>
          <w:color w:val="auto"/>
        </w:rPr>
        <w:t xml:space="preserve"> (a) The Borrower will furnish to the Administrative Agent, no later than (i) 15 days following the end of each fiscal month (or, if such day is not a Business Day, the next succeeding Business Day), a completed Borrowing Base Certificate showing the Borrowing Base as of the close of business on the last day of such immediately preceding fiscal month as outlined in Exhibit C, (ii) if Available Commitments shall be $275,000,000 or less for each of five consecutive Business Days, on the Wednesday (or if such Wednesday is not a Business Day, on the next succeeding Business Day) of the next succeeding week following the last day of such five consecutive Business Day period a Borrowing Base Certificate calculating “Available accounts receivable”, Eligible Cash and Available Cash as of Saturday of the immediately preceding week, specifying the then applicable value for clause </w:t>
      </w: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22"/>
          <w:szCs w:val="22"/>
          <w:color w:val="auto"/>
        </w:rPr>
        <w:t xml:space="preserve"> of the definition of “Borrowing Base” and showing “Available inventory”, “Available in-transit inventory” and Eligible Machinery and Equipment as of the most recently delivered month-end Borrowing Base Certificate, and (iii) if requested by the Administrative Agent, at any other time when the Administrative Agent reasonably believes that the then existing Borrowing Base Certificate is materially inaccurate, as soon as reasonably practicable but in no event later than five Business Days after such request, a completed Borrowing Base Certificate showing the Borrowing Base and Available Cash as of the date so requested, in each case with such supporting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29" w:name="page330"/>
    <w:bookmarkEnd w:id="329"/>
    <w:p>
      <w:pPr>
        <w:spacing w:after="0"/>
        <w:rPr>
          <w:sz w:val="20"/>
          <w:szCs w:val="20"/>
          <w:color w:val="auto"/>
        </w:rPr>
      </w:pPr>
      <w:r>
        <w:rPr>
          <w:rFonts w:ascii="Times New Roman" w:cs="Times New Roman" w:eastAsia="Times New Roman" w:hAnsi="Times New Roman"/>
          <w:sz w:val="22"/>
          <w:szCs w:val="22"/>
          <w:color w:val="auto"/>
        </w:rPr>
        <w:t>documentation and additional reports with respect to the Borrowing Base as the Administrative Agent may reasonably request.</w:t>
      </w:r>
    </w:p>
    <w:p>
      <w:pPr>
        <w:spacing w:after="0" w:line="220" w:lineRule="exact"/>
        <w:rPr>
          <w:sz w:val="20"/>
          <w:szCs w:val="20"/>
          <w:color w:val="auto"/>
        </w:rPr>
      </w:pPr>
    </w:p>
    <w:p>
      <w:pPr>
        <w:jc w:val="both"/>
        <w:ind w:firstLine="1304"/>
        <w:spacing w:after="0" w:line="250" w:lineRule="auto"/>
        <w:tabs>
          <w:tab w:leader="none" w:pos="1615"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will furnish to the Administrative Agent at the time of each delivery of the Borrowing Base Certificate under clause </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22"/>
          <w:szCs w:val="22"/>
          <w:color w:val="auto"/>
        </w:rPr>
        <w:t xml:space="preserve"> above (and in any event not later than 15 days following the end of each fiscal month (or, if such day is not a Business Day, the next succeeding Business Day)), a certificate of a Financial Officer in the form attached as Annex I to Exhibit C hereto specifying, to the best of such Financial Officer’s knowledge, as of the date of the information reported in such Borrowing Base Certificate (i) the aggregate cash and cash equivalents of the Borrower and its Subsidiaries held in the United States, (ii) the aggregate cash and cash equivalents of the Borrower and its Subsidiaries held other than in the United States, (iii) for each of this Agreement and the European Facilities Agreement, the undrawn amount available to be drawn hereunder and thereunder, respectively, (iv) the aggregate accounts payable position of the Borrower and the Domestic Subsidiaries and (v) Available Cash.</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Negative Covenants</w:t>
      </w:r>
    </w:p>
    <w:p>
      <w:pPr>
        <w:spacing w:after="0" w:line="22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Until the Commitments shall have been terminated and the principal of and interest on each Loan and all fees payable hereunder shall have been paid in full and all Letters of Credit shall have expired or terminated and all LC Disbursements shall have been reimbursed, the Borrower covenants and agrees with the Administrative Agent, the Lenders and the Issuing Banks that:</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6.01. </w:t>
      </w:r>
      <w:r>
        <w:rPr>
          <w:rFonts w:ascii="Times New Roman" w:cs="Times New Roman" w:eastAsia="Times New Roman" w:hAnsi="Times New Roman"/>
          <w:sz w:val="22"/>
          <w:szCs w:val="22"/>
          <w:u w:val="single" w:color="auto"/>
          <w:color w:val="auto"/>
        </w:rPr>
        <w:t>Limitation on Indebtedness.</w:t>
      </w:r>
      <w:r>
        <w:rPr>
          <w:rFonts w:ascii="Times New Roman" w:cs="Times New Roman" w:eastAsia="Times New Roman" w:hAnsi="Times New Roman"/>
          <w:sz w:val="22"/>
          <w:szCs w:val="22"/>
          <w:color w:val="auto"/>
        </w:rPr>
        <w:t xml:space="preserve"> (a) The Borrower shall not, and shall not permit any Restricted Subsidiary to, Incur, directly or indirectly, any Indebtedness;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Borrower or any Subsidiary Guarantor may Incur Indebtedness if on the date of such Incurrence and after giving effect thereto and to the application of the proceeds therefrom the Consolidated Coverage Ratio would be greater than 2.0:1.0.</w:t>
      </w:r>
    </w:p>
    <w:p>
      <w:pPr>
        <w:spacing w:after="0" w:line="172" w:lineRule="exact"/>
        <w:rPr>
          <w:sz w:val="20"/>
          <w:szCs w:val="20"/>
          <w:color w:val="auto"/>
        </w:rPr>
      </w:pPr>
    </w:p>
    <w:p>
      <w:pPr>
        <w:ind w:firstLine="1304"/>
        <w:spacing w:after="0" w:line="275" w:lineRule="auto"/>
        <w:tabs>
          <w:tab w:leader="none" w:pos="1642" w:val="left"/>
        </w:tabs>
        <w:numPr>
          <w:ilvl w:val="0"/>
          <w:numId w:val="3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foregoing paragraph </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22"/>
          <w:szCs w:val="22"/>
          <w:color w:val="auto"/>
        </w:rPr>
        <w:t>, the Borrower and its Restricted Subsidiaries may Incur the following Indebtedness:</w:t>
      </w:r>
    </w:p>
    <w:p>
      <w:pPr>
        <w:spacing w:after="0" w:line="153" w:lineRule="exact"/>
        <w:rPr>
          <w:rFonts w:ascii="Times New Roman" w:cs="Times New Roman" w:eastAsia="Times New Roman" w:hAnsi="Times New Roman"/>
          <w:sz w:val="22"/>
          <w:szCs w:val="22"/>
          <w:color w:val="auto"/>
        </w:rPr>
      </w:pPr>
    </w:p>
    <w:p>
      <w:pPr>
        <w:jc w:val="both"/>
        <w:ind w:left="1300" w:firstLine="652"/>
        <w:spacing w:after="0" w:line="261" w:lineRule="auto"/>
        <w:tabs>
          <w:tab w:leader="none" w:pos="2308" w:val="left"/>
        </w:tabs>
        <w:numPr>
          <w:ilvl w:val="1"/>
          <w:numId w:val="3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(x) U.S. Bank Indebtedness in an aggregate principal amount not to exceed the greater of (A) $3,500,000,000 and (B) the sum of (i) 60% of the book value of the inventory of the Borrower and its Restricted Subsidiaries plus (ii) 80% of the book value of the accounts receivable of the Borrower and its Restricted Subsidiaries (other than any accounts receivable pledged, sold or otherwise transferred or encumbered by the Borrower or any Restricted Subsidiary in connection with a Qualified Receivables Transaction), in each case, as of the end of the most recent fiscal quarter for which financial statements have been filed with the SEC;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w:t>
      </w:r>
    </w:p>
    <w:p>
      <w:pPr>
        <w:ind w:left="1560" w:hanging="256"/>
        <w:spacing w:after="0"/>
        <w:tabs>
          <w:tab w:leader="none" w:pos="1560" w:val="left"/>
        </w:tabs>
        <w:numPr>
          <w:ilvl w:val="0"/>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more than $3,000,000,000 of the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30" w:name="page331"/>
    <w:bookmarkEnd w:id="330"/>
    <w:p>
      <w:pPr>
        <w:ind w:left="1300"/>
        <w:spacing w:after="0"/>
        <w:rPr>
          <w:sz w:val="20"/>
          <w:szCs w:val="20"/>
          <w:color w:val="auto"/>
        </w:rPr>
      </w:pPr>
      <w:r>
        <w:rPr>
          <w:rFonts w:ascii="Times New Roman" w:cs="Times New Roman" w:eastAsia="Times New Roman" w:hAnsi="Times New Roman"/>
          <w:sz w:val="21"/>
          <w:szCs w:val="21"/>
          <w:color w:val="auto"/>
        </w:rPr>
        <w:t>outstanding at any time under this clause (x) shall benefit from first priority security interests in the Collateral and</w:t>
      </w:r>
    </w:p>
    <w:p>
      <w:pPr>
        <w:spacing w:after="0" w:line="39" w:lineRule="exact"/>
        <w:rPr>
          <w:sz w:val="20"/>
          <w:szCs w:val="20"/>
          <w:color w:val="auto"/>
        </w:rPr>
      </w:pPr>
    </w:p>
    <w:p>
      <w:pPr>
        <w:jc w:val="both"/>
        <w:ind w:left="1300" w:firstLine="4"/>
        <w:spacing w:after="0" w:line="246" w:lineRule="auto"/>
        <w:tabs>
          <w:tab w:leader="none" w:pos="1630" w:val="left"/>
        </w:tabs>
        <w:numPr>
          <w:ilvl w:val="0"/>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Indebtedness outstanding at any time under this clause (x) that is secured by any Liens on any Collateral (other than the Obligations) shall be subject to an intercreditor or subordination agreement or arrangement reasonably acceptable to the Administrative Agent, and (y) European Bank Indebtedness in an aggregate principal amount not to exceed €800,000,000;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amount of Indebtedness that may be Incurred pursuant to this clause (1) shall be reduced by any amount of Indebtedness Incurred and then outstanding pursuant to the election provision of clause (10)(A)(ii) below;</w:t>
      </w:r>
    </w:p>
    <w:p>
      <w:pPr>
        <w:spacing w:after="0" w:line="188" w:lineRule="exact"/>
        <w:rPr>
          <w:rFonts w:ascii="Times New Roman" w:cs="Times New Roman" w:eastAsia="Times New Roman" w:hAnsi="Times New Roman"/>
          <w:sz w:val="22"/>
          <w:szCs w:val="22"/>
          <w:color w:val="auto"/>
        </w:rPr>
      </w:pPr>
    </w:p>
    <w:p>
      <w:pPr>
        <w:jc w:val="both"/>
        <w:ind w:left="1300" w:firstLine="652"/>
        <w:spacing w:after="0" w:line="253" w:lineRule="auto"/>
        <w:tabs>
          <w:tab w:leader="none" w:pos="2281" w:val="left"/>
        </w:tabs>
        <w:numPr>
          <w:ilvl w:val="1"/>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of the Borrower owed to and held by any Restricted Subsidiary or Indebtedness of a Restricted Subsidiary owed to and held by the Borrower or any Restricted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subsequent event that results in any such Restricted Subsidiary ceasing to be a Restricted Subsidiary or any subsequent transfer of any such Indebtedness (except to the Borrower or a Restricted Subsidiary) shall be deemed, in each case, to constitute the Incurrence of such Indebtedness by the issuer thereof;</w:t>
      </w:r>
    </w:p>
    <w:p>
      <w:pPr>
        <w:spacing w:after="0" w:line="178" w:lineRule="exact"/>
        <w:rPr>
          <w:rFonts w:ascii="Times New Roman" w:cs="Times New Roman" w:eastAsia="Times New Roman" w:hAnsi="Times New Roman"/>
          <w:sz w:val="22"/>
          <w:szCs w:val="22"/>
          <w:color w:val="auto"/>
        </w:rPr>
      </w:pPr>
    </w:p>
    <w:p>
      <w:pPr>
        <w:jc w:val="both"/>
        <w:ind w:left="1300" w:firstLine="652"/>
        <w:spacing w:after="0" w:line="256" w:lineRule="auto"/>
        <w:tabs>
          <w:tab w:leader="none" w:pos="2294" w:val="left"/>
        </w:tabs>
        <w:numPr>
          <w:ilvl w:val="1"/>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(A) outstanding on the Restatement Date (other than the Indebtedness described in clauses (1) and (2)above and clause (12) below), and (B) consisting of Refinancing Indebtedness Incurred in respect of any Indebtedness described in this clause (3) (including Indebtedness that is Refinancing Indebtedness) or the foregoing paragraph (a);</w:t>
      </w:r>
    </w:p>
    <w:p>
      <w:pPr>
        <w:spacing w:after="0" w:line="176" w:lineRule="exact"/>
        <w:rPr>
          <w:rFonts w:ascii="Times New Roman" w:cs="Times New Roman" w:eastAsia="Times New Roman" w:hAnsi="Times New Roman"/>
          <w:sz w:val="22"/>
          <w:szCs w:val="22"/>
          <w:color w:val="auto"/>
        </w:rPr>
      </w:pPr>
    </w:p>
    <w:p>
      <w:pPr>
        <w:jc w:val="both"/>
        <w:ind w:left="1300" w:firstLine="652"/>
        <w:spacing w:after="0" w:line="248" w:lineRule="auto"/>
        <w:tabs>
          <w:tab w:leader="none" w:pos="2254" w:val="left"/>
        </w:tabs>
        <w:numPr>
          <w:ilvl w:val="1"/>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Indebtedness of a Restricted Subsidiary Incurred and outstanding on or prior to the date on which such Restricted Subsidiary was acquired by the Borrower or a Restricted Subsidiary (other than Indebtedness Incurred in contemplation of, in connection with, as consideration in, or to provide all or any portion of the funds or credit support utilized to consummate, the transaction or series of related transactions pursuant to which such Restricted Subsidiary became a Subsidiary of or was otherwise acquired by the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on the date that such Restricted Subsidiary is acquired by the Borrower, (i) the Borrower would have been able to Incur $1.00 of additional Indebtedness pursuant to the foregoing paragraph </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22"/>
          <w:szCs w:val="22"/>
          <w:color w:val="auto"/>
        </w:rPr>
        <w:t xml:space="preserve"> after giving effect to the Incurrence of such Indebtedness pursuant to this clause (4) or (ii) the Consolidated Coverage Ratio immediately after giving effect to such Incurrence and acquisition would be greater than such ratio immediately prior to such transaction and (B) Refinancing Indebtedness Incurred by a Restricted Subsidiary in respect of Indebtedness Incurred by such Restricted Subsidiary pursuant to this clause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31" w:name="page332"/>
    <w:bookmarkEnd w:id="331"/>
    <w:p>
      <w:pPr>
        <w:jc w:val="both"/>
        <w:ind w:left="1300" w:firstLine="652"/>
        <w:spacing w:after="0" w:line="253" w:lineRule="auto"/>
        <w:tabs>
          <w:tab w:leader="none" w:pos="2294" w:val="left"/>
        </w:tabs>
        <w:numPr>
          <w:ilvl w:val="0"/>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(A) in respect of performance bonds, Trade Acceptances, bank guarantees, letters of credit and surety or appeal bonds entered into by the Borrower or any Restricted Subsidiary in the ordinary course of business, and (B) Hedging Obligations entered into in the ordinary course of business to hedge risks with respect to the Borrower’s or a Restricted Subsidiary’s interest rate, currency or raw materials pricing exposure and not entered into for speculative purposes;</w:t>
      </w:r>
    </w:p>
    <w:p>
      <w:pPr>
        <w:spacing w:after="0" w:line="178" w:lineRule="exact"/>
        <w:rPr>
          <w:rFonts w:ascii="Times New Roman" w:cs="Times New Roman" w:eastAsia="Times New Roman" w:hAnsi="Times New Roman"/>
          <w:sz w:val="22"/>
          <w:szCs w:val="22"/>
          <w:color w:val="auto"/>
        </w:rPr>
      </w:pPr>
    </w:p>
    <w:p>
      <w:pPr>
        <w:jc w:val="both"/>
        <w:ind w:left="1300" w:firstLine="652"/>
        <w:spacing w:after="0" w:line="253" w:lineRule="auto"/>
        <w:tabs>
          <w:tab w:leader="none" w:pos="2294" w:val="left"/>
        </w:tabs>
        <w:numPr>
          <w:ilvl w:val="0"/>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Purchase Money Indebtedness, Finance Lease Obligations and Attributable Debt and Refinancing Indebtedness in respect thereof in an aggregate principal amount on the date of Incurrence that, when added to all other Indebtedness Incurred pursuant to this clause </w:t>
      </w:r>
      <w:r>
        <w:rPr>
          <w:rFonts w:ascii="Times New Roman" w:cs="Times New Roman" w:eastAsia="Times New Roman" w:hAnsi="Times New Roman"/>
          <w:sz w:val="22"/>
          <w:szCs w:val="22"/>
          <w:b w:val="1"/>
          <w:bCs w:val="1"/>
          <w:color w:val="auto"/>
        </w:rPr>
        <w:t>(6)</w:t>
      </w:r>
      <w:r>
        <w:rPr>
          <w:rFonts w:ascii="Times New Roman" w:cs="Times New Roman" w:eastAsia="Times New Roman" w:hAnsi="Times New Roman"/>
          <w:sz w:val="22"/>
          <w:szCs w:val="22"/>
          <w:color w:val="auto"/>
        </w:rPr>
        <w:t xml:space="preserve"> and then outstanding, will not exceed the greater of (A) $800,000,000 and (B) 5.0% of Consolidated assets of the Borrower as of the end of the most recent fiscal quarter for which financial statements have been filed with the SEC;</w:t>
      </w:r>
    </w:p>
    <w:p>
      <w:pPr>
        <w:spacing w:after="0" w:line="178" w:lineRule="exact"/>
        <w:rPr>
          <w:rFonts w:ascii="Times New Roman" w:cs="Times New Roman" w:eastAsia="Times New Roman" w:hAnsi="Times New Roman"/>
          <w:sz w:val="22"/>
          <w:szCs w:val="22"/>
          <w:color w:val="auto"/>
        </w:rPr>
      </w:pPr>
    </w:p>
    <w:p>
      <w:pPr>
        <w:ind w:left="2260" w:hanging="308"/>
        <w:spacing w:after="0"/>
        <w:tabs>
          <w:tab w:leader="none" w:pos="2260" w:val="left"/>
        </w:tabs>
        <w:numPr>
          <w:ilvl w:val="0"/>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Incurred by a Receivables Entity in a Qualified Receivables Transaction;</w:t>
      </w:r>
    </w:p>
    <w:p>
      <w:pPr>
        <w:spacing w:after="0" w:line="219" w:lineRule="exact"/>
        <w:rPr>
          <w:rFonts w:ascii="Times New Roman" w:cs="Times New Roman" w:eastAsia="Times New Roman" w:hAnsi="Times New Roman"/>
          <w:sz w:val="22"/>
          <w:szCs w:val="22"/>
          <w:color w:val="auto"/>
        </w:rPr>
      </w:pPr>
    </w:p>
    <w:p>
      <w:pPr>
        <w:jc w:val="both"/>
        <w:ind w:left="1300" w:firstLine="652"/>
        <w:spacing w:after="0" w:line="256" w:lineRule="auto"/>
        <w:tabs>
          <w:tab w:leader="none" w:pos="2281" w:val="left"/>
        </w:tabs>
        <w:numPr>
          <w:ilvl w:val="0"/>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arising from the honoring by a bank or other financial institution of a check, draft or similar instrument drawn against insufficient funds in the ordinary course of business;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such Indebtedness is extinguished within five Business Days of a Financial Officer’s becoming aware of its Incurrence;</w:t>
      </w:r>
    </w:p>
    <w:p>
      <w:pPr>
        <w:spacing w:after="0" w:line="176" w:lineRule="exact"/>
        <w:rPr>
          <w:rFonts w:ascii="Times New Roman" w:cs="Times New Roman" w:eastAsia="Times New Roman" w:hAnsi="Times New Roman"/>
          <w:sz w:val="22"/>
          <w:szCs w:val="22"/>
          <w:color w:val="auto"/>
        </w:rPr>
      </w:pPr>
    </w:p>
    <w:p>
      <w:pPr>
        <w:jc w:val="both"/>
        <w:ind w:left="1300" w:firstLine="652"/>
        <w:spacing w:after="0" w:line="252" w:lineRule="auto"/>
        <w:tabs>
          <w:tab w:leader="none" w:pos="2267" w:val="left"/>
        </w:tabs>
        <w:numPr>
          <w:ilvl w:val="0"/>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Guarantee by the Borrower or a Restricted Subsidiary of Indebtedness or other obligations of the Borrower or any Restricted Subsidiary so long as the Incurrence of such Indebtedness or other obligations by the Borrower or such Restricted Subsidiary is permitted under the terms of this Agreement (other than Indebtedness Incurred pursuant to clause (4) above);</w:t>
      </w:r>
    </w:p>
    <w:p>
      <w:pPr>
        <w:spacing w:after="0" w:line="192" w:lineRule="exact"/>
        <w:rPr>
          <w:rFonts w:ascii="Times New Roman" w:cs="Times New Roman" w:eastAsia="Times New Roman" w:hAnsi="Times New Roman"/>
          <w:sz w:val="22"/>
          <w:szCs w:val="22"/>
          <w:color w:val="auto"/>
        </w:rPr>
      </w:pPr>
    </w:p>
    <w:p>
      <w:pPr>
        <w:jc w:val="both"/>
        <w:ind w:left="1300" w:firstLine="652"/>
        <w:spacing w:after="0" w:line="252" w:lineRule="auto"/>
        <w:tabs>
          <w:tab w:leader="none" w:pos="2402" w:val="left"/>
        </w:tabs>
        <w:numPr>
          <w:ilvl w:val="0"/>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Indebtedness of Foreign Restricted Subsidiaries in an aggregate principal amount that, when added to all other Indebtedness Incurred pursuant to this clause (10)(A) and then outstanding, will not exceed (i) $2,000,000,000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 any amount then permitted to be Incurred pursuant to clause (1) above that the Borrower instead elects to Incur pursuant to this clause (10)(A); and</w:t>
      </w:r>
    </w:p>
    <w:p>
      <w:pPr>
        <w:spacing w:after="0" w:line="179" w:lineRule="exact"/>
        <w:rPr>
          <w:rFonts w:ascii="Times New Roman" w:cs="Times New Roman" w:eastAsia="Times New Roman" w:hAnsi="Times New Roman"/>
          <w:sz w:val="22"/>
          <w:szCs w:val="22"/>
          <w:color w:val="auto"/>
        </w:rPr>
      </w:pPr>
    </w:p>
    <w:p>
      <w:pPr>
        <w:ind w:left="1960" w:firstLine="640"/>
        <w:spacing w:after="0" w:line="284" w:lineRule="auto"/>
        <w:tabs>
          <w:tab w:leader="none" w:pos="3004" w:val="left"/>
        </w:tabs>
        <w:numPr>
          <w:ilvl w:val="1"/>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Foreign Restricted Subsidiaries Incurred in connection with a Qualified Receivables Transaction in an amount not to exceed €600,000,000 at any one time outstanding;</w:t>
      </w:r>
    </w:p>
    <w:p>
      <w:pPr>
        <w:spacing w:after="0" w:line="143" w:lineRule="exact"/>
        <w:rPr>
          <w:rFonts w:ascii="Times New Roman" w:cs="Times New Roman" w:eastAsia="Times New Roman" w:hAnsi="Times New Roman"/>
          <w:sz w:val="22"/>
          <w:szCs w:val="22"/>
          <w:color w:val="auto"/>
        </w:rPr>
      </w:pPr>
    </w:p>
    <w:p>
      <w:pPr>
        <w:ind w:left="1300" w:firstLine="652"/>
        <w:spacing w:after="0" w:line="271" w:lineRule="auto"/>
        <w:tabs>
          <w:tab w:leader="none" w:pos="2354" w:val="left"/>
        </w:tabs>
        <w:numPr>
          <w:ilvl w:val="0"/>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constituting unsecured Indebtedness or Secured Indebtedness in an amount not to exceed $1,300,000,000 and Refinancing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32" w:name="page333"/>
    <w:bookmarkEnd w:id="332"/>
    <w:p>
      <w:pPr>
        <w:ind w:left="1300"/>
        <w:spacing w:after="0" w:line="271" w:lineRule="auto"/>
        <w:rPr>
          <w:sz w:val="20"/>
          <w:szCs w:val="20"/>
          <w:color w:val="auto"/>
        </w:rPr>
      </w:pPr>
      <w:r>
        <w:rPr>
          <w:rFonts w:ascii="Times New Roman" w:cs="Times New Roman" w:eastAsia="Times New Roman" w:hAnsi="Times New Roman"/>
          <w:sz w:val="22"/>
          <w:szCs w:val="22"/>
          <w:color w:val="auto"/>
        </w:rPr>
        <w:t xml:space="preserve">Indebtedness in respect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Secured Indebtedness may be secured solely with assets that do not constitute Collateral;</w:t>
      </w:r>
    </w:p>
    <w:p>
      <w:pPr>
        <w:spacing w:after="0" w:line="158" w:lineRule="exact"/>
        <w:rPr>
          <w:sz w:val="20"/>
          <w:szCs w:val="20"/>
          <w:color w:val="auto"/>
        </w:rPr>
      </w:pPr>
    </w:p>
    <w:p>
      <w:pPr>
        <w:ind w:left="1300" w:firstLine="652"/>
        <w:spacing w:after="0" w:line="284" w:lineRule="auto"/>
        <w:tabs>
          <w:tab w:leader="none" w:pos="2375" w:val="left"/>
        </w:tabs>
        <w:numPr>
          <w:ilvl w:val="1"/>
          <w:numId w:val="3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Senior Subordinated-Lien Indebtedness and the related Guarantees by Subsidiaries of the Borrower and Refinancing Indebtedness in respect thereof; and</w:t>
      </w:r>
    </w:p>
    <w:p>
      <w:pPr>
        <w:spacing w:after="0" w:line="143" w:lineRule="exact"/>
        <w:rPr>
          <w:rFonts w:ascii="Times New Roman" w:cs="Times New Roman" w:eastAsia="Times New Roman" w:hAnsi="Times New Roman"/>
          <w:sz w:val="22"/>
          <w:szCs w:val="22"/>
          <w:color w:val="auto"/>
        </w:rPr>
      </w:pPr>
    </w:p>
    <w:p>
      <w:pPr>
        <w:jc w:val="both"/>
        <w:ind w:left="1300" w:right="20" w:firstLine="652"/>
        <w:spacing w:after="0" w:line="257" w:lineRule="auto"/>
        <w:tabs>
          <w:tab w:leader="none" w:pos="2362" w:val="left"/>
        </w:tabs>
        <w:numPr>
          <w:ilvl w:val="1"/>
          <w:numId w:val="3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of the Borrower and the Restricted Subsidiaries in an aggregate principal amount on the date of Incurrence that, when added to all other Indebtedness Incurred pursuant to this clause </w:t>
      </w:r>
      <w:r>
        <w:rPr>
          <w:rFonts w:ascii="Times New Roman" w:cs="Times New Roman" w:eastAsia="Times New Roman" w:hAnsi="Times New Roman"/>
          <w:sz w:val="22"/>
          <w:szCs w:val="22"/>
          <w:b w:val="1"/>
          <w:bCs w:val="1"/>
          <w:color w:val="auto"/>
        </w:rPr>
        <w:t>(13)</w:t>
      </w:r>
      <w:r>
        <w:rPr>
          <w:rFonts w:ascii="Times New Roman" w:cs="Times New Roman" w:eastAsia="Times New Roman" w:hAnsi="Times New Roman"/>
          <w:sz w:val="22"/>
          <w:szCs w:val="22"/>
          <w:color w:val="auto"/>
        </w:rPr>
        <w:t xml:space="preserve"> and then outstanding, will not exceed $150,000,000.</w:t>
      </w:r>
    </w:p>
    <w:p>
      <w:pPr>
        <w:spacing w:after="0" w:line="172" w:lineRule="exact"/>
        <w:rPr>
          <w:rFonts w:ascii="Times New Roman" w:cs="Times New Roman" w:eastAsia="Times New Roman" w:hAnsi="Times New Roman"/>
          <w:sz w:val="22"/>
          <w:szCs w:val="22"/>
          <w:color w:val="auto"/>
        </w:rPr>
      </w:pPr>
    </w:p>
    <w:p>
      <w:pPr>
        <w:ind w:right="20" w:firstLine="1304"/>
        <w:spacing w:after="0" w:line="284" w:lineRule="auto"/>
        <w:tabs>
          <w:tab w:leader="none" w:pos="1590" w:val="left"/>
        </w:tabs>
        <w:numPr>
          <w:ilvl w:val="0"/>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determining the outstanding principal amount of any particular Indebtedness Incurred pursuant to this Section 6.01:</w:t>
      </w:r>
    </w:p>
    <w:p>
      <w:pPr>
        <w:spacing w:after="0" w:line="143" w:lineRule="exact"/>
        <w:rPr>
          <w:rFonts w:ascii="Times New Roman" w:cs="Times New Roman" w:eastAsia="Times New Roman" w:hAnsi="Times New Roman"/>
          <w:sz w:val="22"/>
          <w:szCs w:val="22"/>
          <w:color w:val="auto"/>
        </w:rPr>
      </w:pPr>
    </w:p>
    <w:p>
      <w:pPr>
        <w:jc w:val="both"/>
        <w:ind w:left="1300" w:firstLine="652"/>
        <w:spacing w:after="0" w:line="257" w:lineRule="auto"/>
        <w:tabs>
          <w:tab w:leader="none" w:pos="2267" w:val="left"/>
        </w:tabs>
        <w:numPr>
          <w:ilvl w:val="1"/>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Outstanding Indebtedness Incurred pursuant to this Agreement or the European Facilities Agreement prior to or on the Restatement Date shall be deemed to have been Incurred pursuant to clause </w:t>
      </w:r>
      <w:r>
        <w:rPr>
          <w:rFonts w:ascii="Times New Roman" w:cs="Times New Roman" w:eastAsia="Times New Roman" w:hAnsi="Times New Roman"/>
          <w:sz w:val="22"/>
          <w:szCs w:val="22"/>
          <w:b w:val="1"/>
          <w:bCs w:val="1"/>
          <w:color w:val="auto"/>
        </w:rPr>
        <w:t>(1)</w:t>
      </w:r>
      <w:r>
        <w:rPr>
          <w:rFonts w:ascii="Times New Roman" w:cs="Times New Roman" w:eastAsia="Times New Roman" w:hAnsi="Times New Roman"/>
          <w:sz w:val="22"/>
          <w:szCs w:val="22"/>
          <w:color w:val="auto"/>
        </w:rPr>
        <w:t xml:space="preserve"> of paragraph </w:t>
      </w: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22"/>
          <w:szCs w:val="22"/>
          <w:color w:val="auto"/>
        </w:rPr>
        <w:t xml:space="preserve"> above;</w:t>
      </w:r>
    </w:p>
    <w:p>
      <w:pPr>
        <w:spacing w:after="0" w:line="172" w:lineRule="exact"/>
        <w:rPr>
          <w:rFonts w:ascii="Times New Roman" w:cs="Times New Roman" w:eastAsia="Times New Roman" w:hAnsi="Times New Roman"/>
          <w:sz w:val="22"/>
          <w:szCs w:val="22"/>
          <w:color w:val="auto"/>
        </w:rPr>
      </w:pPr>
    </w:p>
    <w:p>
      <w:pPr>
        <w:jc w:val="both"/>
        <w:ind w:left="1300" w:firstLine="652"/>
        <w:spacing w:after="0" w:line="263" w:lineRule="auto"/>
        <w:tabs>
          <w:tab w:leader="none" w:pos="2254" w:val="left"/>
        </w:tabs>
        <w:numPr>
          <w:ilvl w:val="1"/>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permitted by this Section 6.01 need not be permitted solely by reference to one provision permitting such Indebtedness but may be permitted in part by one such provision and in part by one or more other provisions of this covenant permitting such Indebtedness; and</w:t>
      </w:r>
    </w:p>
    <w:p>
      <w:pPr>
        <w:spacing w:after="0" w:line="167" w:lineRule="exact"/>
        <w:rPr>
          <w:rFonts w:ascii="Times New Roman" w:cs="Times New Roman" w:eastAsia="Times New Roman" w:hAnsi="Times New Roman"/>
          <w:sz w:val="22"/>
          <w:szCs w:val="22"/>
          <w:color w:val="auto"/>
        </w:rPr>
      </w:pPr>
    </w:p>
    <w:p>
      <w:pPr>
        <w:jc w:val="both"/>
        <w:ind w:left="1300" w:firstLine="652"/>
        <w:spacing w:after="0" w:line="249" w:lineRule="auto"/>
        <w:tabs>
          <w:tab w:leader="none" w:pos="2294" w:val="left"/>
        </w:tabs>
        <w:numPr>
          <w:ilvl w:val="1"/>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Indebtedness meets the criteria of more than one of the types of Indebtedness described in this Section 6.01, the Borrower, in its sole discretion, shall classify such Indebtedness (or any portion thereof) as of the time of Incurrence and will only be required to include the amount of such Indebtedness in one of such clauses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Indebtedness originally classified as Incurred pursuant to Sections 6.01(b)(2) through (b)(13) may later be reclassified as having been Incurred pursuant to Section 6.01(a) or any other of Sections 6.01(b)(2) through (b)(13) to the extent that such reclassified Indebtedness could be Incurred pursuant to Section 6.01(a) or one of Sections 6.01(b)(2) through (b)(13), as the case may be, if it were Incurred at the time of such reclassification).</w:t>
      </w:r>
    </w:p>
    <w:p>
      <w:pPr>
        <w:spacing w:after="0" w:line="181" w:lineRule="exact"/>
        <w:rPr>
          <w:rFonts w:ascii="Times New Roman" w:cs="Times New Roman" w:eastAsia="Times New Roman" w:hAnsi="Times New Roman"/>
          <w:sz w:val="22"/>
          <w:szCs w:val="22"/>
          <w:color w:val="auto"/>
        </w:rPr>
      </w:pPr>
    </w:p>
    <w:p>
      <w:pPr>
        <w:jc w:val="both"/>
        <w:ind w:firstLine="1304"/>
        <w:spacing w:after="0" w:line="253" w:lineRule="auto"/>
        <w:tabs>
          <w:tab w:leader="none" w:pos="1602" w:val="left"/>
        </w:tabs>
        <w:numPr>
          <w:ilvl w:val="0"/>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determining compliance as of any date with any dollar or Euro denominated restriction on the Incurrence of Indebtedness where the Indebtedness Incurred is denominated in a different currency, the amount of such Indebtedness will be the U.S. Dollar Equivalent or Euro Equivalent, as the case may be, determined on the date of the Incurrence of such Indebtedness;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any such Indebtedness denominated in a different currency is subject to a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33" w:name="page334"/>
    <w:bookmarkEnd w:id="333"/>
    <w:p>
      <w:pPr>
        <w:jc w:val="both"/>
        <w:spacing w:after="0" w:line="250" w:lineRule="auto"/>
        <w:rPr>
          <w:sz w:val="20"/>
          <w:szCs w:val="20"/>
          <w:color w:val="auto"/>
        </w:rPr>
      </w:pPr>
      <w:r>
        <w:rPr>
          <w:rFonts w:ascii="Times New Roman" w:cs="Times New Roman" w:eastAsia="Times New Roman" w:hAnsi="Times New Roman"/>
          <w:sz w:val="22"/>
          <w:szCs w:val="22"/>
          <w:color w:val="auto"/>
        </w:rPr>
        <w:t>Agreement with respect to dollars or Euros, as the case may be, covering all principal, premium, if any, and interest payable on such Indebtedness, the amount of such Indebtedness expressed in dollars or Euros will be as provided in such Currency Agreement. The principal amount of any Refinancing Indebtedness Incurred in the same currency as the Indebtedness being Refinanced will be the U.S. Dollar Equivalent or Euro Equivalent, as appropriate, of the Indebtedness Refinanced determined on the date of the Incurrence of such Indebtedness, except to the extent that (i) such U.S. Dollar Equivalent or Euro Equivalent was determined based on a Currency Agreement, in which case the Refinancing Indebtedness will be determined in accordance with the immediately preceding sentence, and (ii) the principal amount of the Refinancing Indebtedness exceeds the principal amount of the Indebtedness being Refinanced, in which case the U.S. Dollar Equivalent or Euro Equivalent, as appropriate, of such excess will be determined on the date such Refinancing Indebtedness is Incurred.</w:t>
      </w:r>
    </w:p>
    <w:p>
      <w:pPr>
        <w:spacing w:after="0" w:line="18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6.02. </w:t>
      </w:r>
      <w:r>
        <w:rPr>
          <w:rFonts w:ascii="Times New Roman" w:cs="Times New Roman" w:eastAsia="Times New Roman" w:hAnsi="Times New Roman"/>
          <w:sz w:val="22"/>
          <w:szCs w:val="22"/>
          <w:u w:val="single" w:color="auto"/>
          <w:color w:val="auto"/>
        </w:rPr>
        <w:t>Limitation on Restricted Payments.</w:t>
      </w:r>
      <w:r>
        <w:rPr>
          <w:rFonts w:ascii="Times New Roman" w:cs="Times New Roman" w:eastAsia="Times New Roman" w:hAnsi="Times New Roman"/>
          <w:sz w:val="22"/>
          <w:szCs w:val="22"/>
          <w:color w:val="auto"/>
        </w:rPr>
        <w:t xml:space="preserve"> (a) The Borrower shall not, and shall not permit any Restricted Subsidiary, directly or indirectly, to make any Restricted Payment if at the time the Borrower or such Restricted Subsidiary makes any Restricted Payment:</w:t>
      </w:r>
    </w:p>
    <w:p>
      <w:pPr>
        <w:spacing w:after="0" w:line="173" w:lineRule="exact"/>
        <w:rPr>
          <w:sz w:val="20"/>
          <w:szCs w:val="20"/>
          <w:color w:val="auto"/>
        </w:rPr>
      </w:pPr>
    </w:p>
    <w:p>
      <w:pPr>
        <w:ind w:left="2260" w:hanging="308"/>
        <w:spacing w:after="0"/>
        <w:tabs>
          <w:tab w:leader="none" w:pos="2260" w:val="left"/>
        </w:tabs>
        <w:numPr>
          <w:ilvl w:val="0"/>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Default will have occurred and be continuing (or would result therefrom);</w:t>
      </w:r>
    </w:p>
    <w:p>
      <w:pPr>
        <w:spacing w:after="0" w:line="219" w:lineRule="exact"/>
        <w:rPr>
          <w:rFonts w:ascii="Times New Roman" w:cs="Times New Roman" w:eastAsia="Times New Roman" w:hAnsi="Times New Roman"/>
          <w:sz w:val="22"/>
          <w:szCs w:val="22"/>
          <w:color w:val="auto"/>
        </w:rPr>
      </w:pPr>
    </w:p>
    <w:p>
      <w:pPr>
        <w:ind w:left="2260" w:hanging="308"/>
        <w:spacing w:after="0"/>
        <w:tabs>
          <w:tab w:leader="none" w:pos="2260" w:val="left"/>
        </w:tabs>
        <w:numPr>
          <w:ilvl w:val="0"/>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could not Incur at least $1.00 of additional Indebtedness under Section 6.01(a); or</w:t>
      </w:r>
    </w:p>
    <w:p>
      <w:pPr>
        <w:spacing w:after="0" w:line="233" w:lineRule="exact"/>
        <w:rPr>
          <w:rFonts w:ascii="Times New Roman" w:cs="Times New Roman" w:eastAsia="Times New Roman" w:hAnsi="Times New Roman"/>
          <w:sz w:val="22"/>
          <w:szCs w:val="22"/>
          <w:color w:val="auto"/>
        </w:rPr>
      </w:pPr>
    </w:p>
    <w:p>
      <w:pPr>
        <w:jc w:val="both"/>
        <w:ind w:left="1300" w:firstLine="652"/>
        <w:spacing w:after="0" w:line="252" w:lineRule="auto"/>
        <w:tabs>
          <w:tab w:leader="none" w:pos="2267" w:val="left"/>
        </w:tabs>
        <w:numPr>
          <w:ilvl w:val="0"/>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 of such Restricted Payment and all other Restricted Payments (the amount so expended, if other than in cash, to be determined in good faith by a Financial Officer of the Borrower, whose determination will be conclusive) declared or made subsequent to the Reference Date would exceed the sum, without duplication, of:</w:t>
      </w:r>
    </w:p>
    <w:p>
      <w:pPr>
        <w:spacing w:after="0" w:line="179" w:lineRule="exact"/>
        <w:rPr>
          <w:sz w:val="20"/>
          <w:szCs w:val="20"/>
          <w:color w:val="auto"/>
        </w:rPr>
      </w:pPr>
    </w:p>
    <w:p>
      <w:pPr>
        <w:jc w:val="both"/>
        <w:ind w:left="1300" w:firstLine="652"/>
        <w:spacing w:after="0" w:line="253" w:lineRule="auto"/>
        <w:tabs>
          <w:tab w:leader="none" w:pos="2211" w:val="left"/>
        </w:tabs>
        <w:numPr>
          <w:ilvl w:val="0"/>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50% of the Consolidated Net Income accrued during the period (treated as one accounting period) from the beginning of the fiscal quarter immediately following the fiscal quarter during which the Reference Date occurs to the end of the most recent fiscal quarter for which financial statements have been filed with the SEC prior to the date of such Restricted Payment (or, in case such Consolidated Net Income will be a deficit, minus 100% of such deficit);</w:t>
      </w:r>
    </w:p>
    <w:p>
      <w:pPr>
        <w:spacing w:after="0" w:line="178" w:lineRule="exact"/>
        <w:rPr>
          <w:rFonts w:ascii="Times New Roman" w:cs="Times New Roman" w:eastAsia="Times New Roman" w:hAnsi="Times New Roman"/>
          <w:sz w:val="22"/>
          <w:szCs w:val="22"/>
          <w:color w:val="auto"/>
        </w:rPr>
      </w:pPr>
    </w:p>
    <w:p>
      <w:pPr>
        <w:jc w:val="both"/>
        <w:ind w:left="1300" w:firstLine="652"/>
        <w:spacing w:after="0" w:line="256" w:lineRule="auto"/>
        <w:tabs>
          <w:tab w:leader="none" w:pos="2287" w:val="left"/>
        </w:tabs>
        <w:numPr>
          <w:ilvl w:val="0"/>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 of the aggregate Net Cash Proceeds received by the Borrower from the issuance or sale of its Capital Stock (other than Disqualified Stock) subsequent to the Reference Date (other than an issuance or sale to a Subsidiary of the Borrower and other than an issuance or sale to an employee stock ownership plan or to a trust established by the Borrower or any of its Subsidiaries for the benefit of their employees)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34" w:name="page335"/>
    <w:bookmarkEnd w:id="334"/>
    <w:p>
      <w:pPr>
        <w:ind w:left="1300" w:right="20"/>
        <w:spacing w:after="0" w:line="271" w:lineRule="auto"/>
        <w:rPr>
          <w:sz w:val="20"/>
          <w:szCs w:val="20"/>
          <w:color w:val="auto"/>
        </w:rPr>
      </w:pPr>
      <w:r>
        <w:rPr>
          <w:rFonts w:ascii="Times New Roman" w:cs="Times New Roman" w:eastAsia="Times New Roman" w:hAnsi="Times New Roman"/>
          <w:sz w:val="22"/>
          <w:szCs w:val="22"/>
          <w:color w:val="auto"/>
        </w:rPr>
        <w:t>100% of any cash capital contribution received by the Borrower from its shareholders subsequent to the Reference Date;</w:t>
      </w:r>
    </w:p>
    <w:p>
      <w:pPr>
        <w:spacing w:after="0" w:line="158" w:lineRule="exact"/>
        <w:rPr>
          <w:sz w:val="20"/>
          <w:szCs w:val="20"/>
          <w:color w:val="auto"/>
        </w:rPr>
      </w:pPr>
    </w:p>
    <w:p>
      <w:pPr>
        <w:jc w:val="both"/>
        <w:ind w:left="1300" w:firstLine="652"/>
        <w:spacing w:after="0" w:line="251" w:lineRule="auto"/>
        <w:tabs>
          <w:tab w:leader="none" w:pos="2352" w:val="left"/>
        </w:tabs>
        <w:numPr>
          <w:ilvl w:val="1"/>
          <w:numId w:val="3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by which Indebtedness of the Borrower or its Restricted Subsidiaries is reduced on the Borrower’s Consolidated balance sheet upon the conversion or exchange (other than by a Subsidiary of the Borrower) subsequent to the Reference Date of any Indebtedness of the Borrower or its Restricted Subsidiaries issued after the Reference Date which is convertible or exchangeable for Capital Stock (other than Disqualified Stock) of the Borrower (less the amount of any cash or the Fair Market Value of other property distributed by the Borrower or any Restricted Subsidiary upon such conversion or exchange); and</w:t>
      </w:r>
    </w:p>
    <w:p>
      <w:pPr>
        <w:spacing w:after="0" w:line="194" w:lineRule="exact"/>
        <w:rPr>
          <w:rFonts w:ascii="Times New Roman" w:cs="Times New Roman" w:eastAsia="Times New Roman" w:hAnsi="Times New Roman"/>
          <w:sz w:val="22"/>
          <w:szCs w:val="22"/>
          <w:color w:val="auto"/>
        </w:rPr>
      </w:pPr>
    </w:p>
    <w:p>
      <w:pPr>
        <w:jc w:val="both"/>
        <w:ind w:left="1300" w:firstLine="652"/>
        <w:spacing w:after="0" w:line="260" w:lineRule="auto"/>
        <w:tabs>
          <w:tab w:leader="none" w:pos="2370" w:val="left"/>
        </w:tabs>
        <w:numPr>
          <w:ilvl w:val="1"/>
          <w:numId w:val="3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 amount equal to the sum of (x) the net reduction in the Investments (other than Permitted Investments) made by the Borrower or any Restricted Subsidiary in any Person resulting from repurchases, repayments or redemptions of such Investments by such Person, proceeds realized on the sale of such Investments and proceeds representing the return of capital (excluding dividends and distributions), in each case realized by the Borrower or any Restricted Subsidiary, and (y) to the extent such Person is an Unrestricted Subsidiary, the portion (proportionate to the Borrower’s Capital Stock in such Subsidiary) of the Fair Market Value of the net assets of such Unrestricted Subsidiary at the time such Unrestricted Subsidiary is designated a Restricted Subsidiary;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foregoing sum shall not exceed, in the case of any such Person or Unrestricted Subsidiary, the amount of Investments (excluding Permitted Investments) previously made (and treated as a Restricted Payment) by the Borrower or any Restricted Subsidiary in such Person or Unrestricted Subsidiary.</w:t>
      </w:r>
    </w:p>
    <w:p>
      <w:pPr>
        <w:spacing w:after="0" w:line="178" w:lineRule="exact"/>
        <w:rPr>
          <w:rFonts w:ascii="Times New Roman" w:cs="Times New Roman" w:eastAsia="Times New Roman" w:hAnsi="Times New Roman"/>
          <w:sz w:val="21"/>
          <w:szCs w:val="21"/>
          <w:color w:val="auto"/>
        </w:rPr>
      </w:pPr>
    </w:p>
    <w:p>
      <w:pPr>
        <w:ind w:left="1600" w:hanging="296"/>
        <w:spacing w:after="0"/>
        <w:tabs>
          <w:tab w:leader="none" w:pos="1600" w:val="left"/>
        </w:tabs>
        <w:numPr>
          <w:ilvl w:val="0"/>
          <w:numId w:val="3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Section 6.02(a) shall not prohibit:</w:t>
      </w:r>
    </w:p>
    <w:p>
      <w:pPr>
        <w:spacing w:after="0" w:line="233" w:lineRule="exact"/>
        <w:rPr>
          <w:sz w:val="20"/>
          <w:szCs w:val="20"/>
          <w:color w:val="auto"/>
        </w:rPr>
      </w:pPr>
    </w:p>
    <w:p>
      <w:pPr>
        <w:jc w:val="both"/>
        <w:ind w:left="1300" w:firstLine="652"/>
        <w:spacing w:after="0" w:line="263" w:lineRule="auto"/>
        <w:tabs>
          <w:tab w:leader="none" w:pos="2267" w:val="left"/>
        </w:tabs>
        <w:numPr>
          <w:ilvl w:val="0"/>
          <w:numId w:val="3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Restricted Payment made out of the Net Cash Proceeds of the substantially concurrent sale of, or made by exchange for, Capital Stock of the Borrower (other than Disqualified Stock and other than Capital Stock issued or sold to a Subsidiary of the Borrower or an employee stock ownership plan or to a trust established by the Borrower or any of its Subsidiaries for the benefit of their employees to the extent such sale to such an employee stock ownership plan or trust is financed by loans from or guaranteed by the Borrower or any Restricted Subsidiary unless such loans have been repaid with cash on or prior to the date of determination) or a substantially concurrent cash capital contribution received by the Borrower from its shareholders;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35" w:name="page336"/>
    <w:bookmarkEnd w:id="335"/>
    <w:p>
      <w:pPr>
        <w:ind w:left="1960" w:firstLine="640"/>
        <w:spacing w:after="0" w:line="271" w:lineRule="auto"/>
        <w:tabs>
          <w:tab w:leader="none" w:pos="3002" w:val="left"/>
        </w:tabs>
        <w:numPr>
          <w:ilvl w:val="1"/>
          <w:numId w:val="3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Restricted Payment shall be excluded in the calculation of the amount of Restricted Payments under Section 6.02(a)(3), and</w:t>
      </w:r>
    </w:p>
    <w:p>
      <w:pPr>
        <w:spacing w:after="0" w:line="157" w:lineRule="exact"/>
        <w:rPr>
          <w:rFonts w:ascii="Times New Roman" w:cs="Times New Roman" w:eastAsia="Times New Roman" w:hAnsi="Times New Roman"/>
          <w:sz w:val="22"/>
          <w:szCs w:val="22"/>
          <w:color w:val="auto"/>
        </w:rPr>
      </w:pPr>
    </w:p>
    <w:p>
      <w:pPr>
        <w:ind w:left="1960" w:firstLine="640"/>
        <w:spacing w:after="0" w:line="284" w:lineRule="auto"/>
        <w:tabs>
          <w:tab w:leader="none" w:pos="2950" w:val="left"/>
        </w:tabs>
        <w:numPr>
          <w:ilvl w:val="1"/>
          <w:numId w:val="3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Net Cash Proceeds from such sale applied in the manner set forth in Section 6.02(b)(1) shall be excluded from the calculation of amounts under Section 6.02(a)(3)(ii);</w:t>
      </w:r>
    </w:p>
    <w:p>
      <w:pPr>
        <w:spacing w:after="0" w:line="143" w:lineRule="exact"/>
        <w:rPr>
          <w:rFonts w:ascii="Times New Roman" w:cs="Times New Roman" w:eastAsia="Times New Roman" w:hAnsi="Times New Roman"/>
          <w:sz w:val="22"/>
          <w:szCs w:val="22"/>
          <w:color w:val="auto"/>
        </w:rPr>
      </w:pPr>
    </w:p>
    <w:p>
      <w:pPr>
        <w:jc w:val="both"/>
        <w:ind w:left="1300" w:firstLine="652"/>
        <w:spacing w:after="0" w:line="260" w:lineRule="auto"/>
        <w:tabs>
          <w:tab w:leader="none" w:pos="2281" w:val="left"/>
        </w:tabs>
        <w:numPr>
          <w:ilvl w:val="0"/>
          <w:numId w:val="3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prepayment, repayment or Purchase for value of Subordinated Obligations (i) that are made by exchange for, or out of the proceeds of the sale of, other Subordinated Obligations (which (x) satisfy each of clauses </w:t>
      </w:r>
      <w:r>
        <w:rPr>
          <w:rFonts w:ascii="Times New Roman" w:cs="Times New Roman" w:eastAsia="Times New Roman" w:hAnsi="Times New Roman"/>
          <w:sz w:val="21"/>
          <w:szCs w:val="21"/>
          <w:b w:val="1"/>
          <w:bCs w:val="1"/>
          <w:color w:val="auto"/>
        </w:rPr>
        <w:t>(4)</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b w:val="1"/>
          <w:bCs w:val="1"/>
          <w:color w:val="auto"/>
        </w:rPr>
        <w:t>(5)</w:t>
      </w:r>
      <w:r>
        <w:rPr>
          <w:rFonts w:ascii="Times New Roman" w:cs="Times New Roman" w:eastAsia="Times New Roman" w:hAnsi="Times New Roman"/>
          <w:sz w:val="21"/>
          <w:szCs w:val="21"/>
          <w:color w:val="auto"/>
        </w:rPr>
        <w:t xml:space="preserve"> of the definition of Refinancing Indebtedness in respect of the Subordinated Obligations being prepaid, repaid or Purchased and (y) may include Indebtedness Incurred under Section 6.01(a)) or the Net Cash Proceeds of a sale of Capital Stock of the Borrower;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in each case, that the public announcement of the launch of such prepayment, repayment or Purchase for value is made within three months of such sale of Subordinated Obligations or Capital Stock, or (ii) if, at the time thereof, the Borrower shall, on a pro forma basis after giving effect to such prepayment, repayment or Purchase for value, have $150,000,000 or more of Available Commitments;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each such prepayment, repayment or Purchase for value under this paragraph </w:t>
      </w:r>
      <w:r>
        <w:rPr>
          <w:rFonts w:ascii="Times New Roman" w:cs="Times New Roman" w:eastAsia="Times New Roman" w:hAnsi="Times New Roman"/>
          <w:sz w:val="21"/>
          <w:szCs w:val="21"/>
          <w:b w:val="1"/>
          <w:bCs w:val="1"/>
          <w:color w:val="auto"/>
        </w:rPr>
        <w:t>(2)</w:t>
      </w:r>
      <w:r>
        <w:rPr>
          <w:rFonts w:ascii="Times New Roman" w:cs="Times New Roman" w:eastAsia="Times New Roman" w:hAnsi="Times New Roman"/>
          <w:sz w:val="21"/>
          <w:szCs w:val="21"/>
          <w:color w:val="auto"/>
        </w:rPr>
        <w:t xml:space="preserve"> shall be excluded in the calculation of the amount of Restricted Payments under Section 6.02(a)(3);</w:t>
      </w:r>
    </w:p>
    <w:p>
      <w:pPr>
        <w:spacing w:after="0" w:line="191" w:lineRule="exact"/>
        <w:rPr>
          <w:rFonts w:ascii="Times New Roman" w:cs="Times New Roman" w:eastAsia="Times New Roman" w:hAnsi="Times New Roman"/>
          <w:sz w:val="21"/>
          <w:szCs w:val="21"/>
          <w:color w:val="auto"/>
        </w:rPr>
      </w:pPr>
    </w:p>
    <w:p>
      <w:pPr>
        <w:jc w:val="both"/>
        <w:ind w:left="1300" w:firstLine="652"/>
        <w:spacing w:after="0" w:line="257" w:lineRule="auto"/>
        <w:tabs>
          <w:tab w:leader="none" w:pos="2267" w:val="left"/>
        </w:tabs>
        <w:numPr>
          <w:ilvl w:val="0"/>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dividends paid within 60 days after the date of declaration thereof if at such date of declaration such dividends would have complied with this covenant;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dividends shall be included in the calculation of the amount of Restricted Payments under Section 6.02(a)(3);</w:t>
      </w:r>
    </w:p>
    <w:p>
      <w:pPr>
        <w:spacing w:after="0" w:line="172" w:lineRule="exact"/>
        <w:rPr>
          <w:rFonts w:ascii="Times New Roman" w:cs="Times New Roman" w:eastAsia="Times New Roman" w:hAnsi="Times New Roman"/>
          <w:sz w:val="22"/>
          <w:szCs w:val="22"/>
          <w:color w:val="auto"/>
        </w:rPr>
      </w:pPr>
    </w:p>
    <w:p>
      <w:pPr>
        <w:jc w:val="both"/>
        <w:ind w:left="1300" w:firstLine="652"/>
        <w:spacing w:after="0" w:line="250" w:lineRule="auto"/>
        <w:tabs>
          <w:tab w:leader="none" w:pos="2267" w:val="left"/>
        </w:tabs>
        <w:numPr>
          <w:ilvl w:val="0"/>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Purchase for value of Capital Stock of the Borrower or any of its Subsidiaries from employees, former employees, directors or former directors of the Borrower or any of its Subsidiaries (or permitted transferees of such employees, former employees, directors or former directors), pursuant to the terms of agreements (including employment agreements) or plans (or amendments thereto) approved by the Board of Directors under which such individuals purchase or sell or are granted the option to purchase or sell, shares of such Capital Stock;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aggregate amount of such Purchases for value will not exceed $10,000,000 in any calendar year;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w:t>
      </w:r>
      <w:r>
        <w:rPr>
          <w:rFonts w:ascii="Times New Roman" w:cs="Times New Roman" w:eastAsia="Times New Roman" w:hAnsi="Times New Roman"/>
          <w:sz w:val="22"/>
          <w:szCs w:val="22"/>
          <w:color w:val="auto"/>
        </w:rPr>
        <w:t xml:space="preserve">r, that any of the $10,000,000 permitted to be applied for Purchases under this Section 6.02(b)(4) in a calendar year (and not so applied) may be carried forward for use in the following two calendar years;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36" w:name="page337"/>
    <w:bookmarkEnd w:id="336"/>
    <w:p>
      <w:pPr>
        <w:ind w:left="1300" w:right="20"/>
        <w:spacing w:after="0" w:line="271" w:lineRule="auto"/>
        <w:rPr>
          <w:sz w:val="20"/>
          <w:szCs w:val="20"/>
          <w:color w:val="auto"/>
        </w:rPr>
      </w:pP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Purchases for value shall be excluded in the calculation of the amount of Restricted Payments under Section 6.02(a)(3);</w:t>
      </w:r>
    </w:p>
    <w:p>
      <w:pPr>
        <w:spacing w:after="0" w:line="158" w:lineRule="exact"/>
        <w:rPr>
          <w:sz w:val="20"/>
          <w:szCs w:val="20"/>
          <w:color w:val="auto"/>
        </w:rPr>
      </w:pPr>
    </w:p>
    <w:p>
      <w:pPr>
        <w:jc w:val="both"/>
        <w:ind w:left="1300" w:firstLine="652"/>
        <w:spacing w:after="0" w:line="263" w:lineRule="auto"/>
        <w:tabs>
          <w:tab w:leader="none" w:pos="2281" w:val="left"/>
        </w:tabs>
        <w:numPr>
          <w:ilvl w:val="0"/>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so long as no Default has occurred and is continuing, payments of dividends on Disqualified Stock issued after the Reference Date pursuant to Section 6.01;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dividends shall be included in the calculation of the amount of Restricted Payments under Section 6.02(a)(3);</w:t>
      </w:r>
    </w:p>
    <w:p>
      <w:pPr>
        <w:spacing w:after="0" w:line="167" w:lineRule="exact"/>
        <w:rPr>
          <w:rFonts w:ascii="Times New Roman" w:cs="Times New Roman" w:eastAsia="Times New Roman" w:hAnsi="Times New Roman"/>
          <w:sz w:val="22"/>
          <w:szCs w:val="22"/>
          <w:color w:val="auto"/>
        </w:rPr>
      </w:pPr>
    </w:p>
    <w:p>
      <w:pPr>
        <w:jc w:val="both"/>
        <w:ind w:left="1300" w:firstLine="652"/>
        <w:spacing w:after="0" w:line="253" w:lineRule="auto"/>
        <w:tabs>
          <w:tab w:leader="none" w:pos="2254" w:val="left"/>
        </w:tabs>
        <w:numPr>
          <w:ilvl w:val="0"/>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repurchases of Capital Stock deemed to occur upon the vesting or exercise of stock options, restricted stock or similar equity awards if such Capital Stock represents a portion of the exercise price of such stock options, restricted stock or similar equity awards and the withholding Tax related thereto;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Restricted Payments shall be excluded in the calculation of the amount of Restricted Payments under Section 6.02(a)(3);</w:t>
      </w:r>
    </w:p>
    <w:p>
      <w:pPr>
        <w:spacing w:after="0" w:line="178" w:lineRule="exact"/>
        <w:rPr>
          <w:rFonts w:ascii="Times New Roman" w:cs="Times New Roman" w:eastAsia="Times New Roman" w:hAnsi="Times New Roman"/>
          <w:sz w:val="22"/>
          <w:szCs w:val="22"/>
          <w:color w:val="auto"/>
        </w:rPr>
      </w:pPr>
    </w:p>
    <w:p>
      <w:pPr>
        <w:jc w:val="both"/>
        <w:ind w:left="1300" w:firstLine="652"/>
        <w:spacing w:after="0" w:line="262" w:lineRule="auto"/>
        <w:tabs>
          <w:tab w:leader="none" w:pos="2254" w:val="left"/>
        </w:tabs>
        <w:numPr>
          <w:ilvl w:val="0"/>
          <w:numId w:val="3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so long as no Default has occurred and is continuing, any prepayment, repayment or Purchase for value of Subordinated Obligations from Net Available Cash;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such prepayment, repayment or Purchase for value shall be excluded in the calculation of the amount of Restricted Payments under Section 6.02(a)</w:t>
      </w:r>
    </w:p>
    <w:p>
      <w:pPr>
        <w:spacing w:after="0" w:line="2" w:lineRule="exact"/>
        <w:rPr>
          <w:rFonts w:ascii="Times New Roman" w:cs="Times New Roman" w:eastAsia="Times New Roman" w:hAnsi="Times New Roman"/>
          <w:sz w:val="21"/>
          <w:szCs w:val="21"/>
          <w:color w:val="auto"/>
        </w:rPr>
      </w:pPr>
    </w:p>
    <w:p>
      <w:pPr>
        <w:ind w:left="13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(3);</w:t>
      </w:r>
    </w:p>
    <w:p>
      <w:pPr>
        <w:spacing w:after="0" w:line="209" w:lineRule="exact"/>
        <w:rPr>
          <w:rFonts w:ascii="Times New Roman" w:cs="Times New Roman" w:eastAsia="Times New Roman" w:hAnsi="Times New Roman"/>
          <w:sz w:val="21"/>
          <w:szCs w:val="21"/>
          <w:color w:val="auto"/>
        </w:rPr>
      </w:pPr>
    </w:p>
    <w:p>
      <w:pPr>
        <w:ind w:left="2260" w:hanging="308"/>
        <w:spacing w:after="0"/>
        <w:tabs>
          <w:tab w:leader="none" w:pos="2260" w:val="left"/>
        </w:tabs>
        <w:numPr>
          <w:ilvl w:val="0"/>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[intentionally omitted];</w:t>
      </w:r>
    </w:p>
    <w:p>
      <w:pPr>
        <w:spacing w:after="0" w:line="219" w:lineRule="exact"/>
        <w:rPr>
          <w:rFonts w:ascii="Times New Roman" w:cs="Times New Roman" w:eastAsia="Times New Roman" w:hAnsi="Times New Roman"/>
          <w:sz w:val="22"/>
          <w:szCs w:val="22"/>
          <w:color w:val="auto"/>
        </w:rPr>
      </w:pPr>
    </w:p>
    <w:p>
      <w:pPr>
        <w:jc w:val="both"/>
        <w:ind w:left="1300" w:firstLine="652"/>
        <w:spacing w:after="0" w:line="252" w:lineRule="auto"/>
        <w:tabs>
          <w:tab w:leader="none" w:pos="2254" w:val="left"/>
        </w:tabs>
        <w:numPr>
          <w:ilvl w:val="0"/>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so long as no Default has occurred and is continuing, any prepayment, repayment or Purchase for value of any Indebtedness within 365 days of the Stated Maturity of such Indebtedness;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prepayment, repayment or Purchase for value shall be excluded in the calculation of the amount of Restricted Payments under Section 6.02(a)(3);</w:t>
      </w:r>
    </w:p>
    <w:p>
      <w:pPr>
        <w:spacing w:after="0" w:line="192" w:lineRule="exact"/>
        <w:rPr>
          <w:rFonts w:ascii="Times New Roman" w:cs="Times New Roman" w:eastAsia="Times New Roman" w:hAnsi="Times New Roman"/>
          <w:sz w:val="22"/>
          <w:szCs w:val="22"/>
          <w:color w:val="auto"/>
        </w:rPr>
      </w:pPr>
    </w:p>
    <w:p>
      <w:pPr>
        <w:jc w:val="both"/>
        <w:ind w:left="1300" w:firstLine="652"/>
        <w:spacing w:after="0" w:line="252" w:lineRule="auto"/>
        <w:tabs>
          <w:tab w:leader="none" w:pos="2389" w:val="left"/>
        </w:tabs>
        <w:numPr>
          <w:ilvl w:val="0"/>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payments to holders of Capital Stock (or to the holders of Indebtedness that is convertible into or exchangeable for Capital Stock upon such conversion or exchange) in lieu of the issuance of fractional shares;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payments shall be excluded in the calculation of the amount of Restricted Payments under Section 6.02(a)(3);</w:t>
      </w:r>
    </w:p>
    <w:p>
      <w:pPr>
        <w:spacing w:after="0" w:line="179" w:lineRule="exact"/>
        <w:rPr>
          <w:rFonts w:ascii="Times New Roman" w:cs="Times New Roman" w:eastAsia="Times New Roman" w:hAnsi="Times New Roman"/>
          <w:sz w:val="22"/>
          <w:szCs w:val="22"/>
          <w:color w:val="auto"/>
        </w:rPr>
      </w:pPr>
    </w:p>
    <w:p>
      <w:pPr>
        <w:ind w:left="2360" w:hanging="408"/>
        <w:spacing w:after="0"/>
        <w:tabs>
          <w:tab w:leader="none" w:pos="2360" w:val="left"/>
        </w:tabs>
        <w:numPr>
          <w:ilvl w:val="0"/>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[intentionally omitted]; or</w:t>
      </w:r>
    </w:p>
    <w:p>
      <w:pPr>
        <w:spacing w:after="0" w:line="233" w:lineRule="exact"/>
        <w:rPr>
          <w:rFonts w:ascii="Times New Roman" w:cs="Times New Roman" w:eastAsia="Times New Roman" w:hAnsi="Times New Roman"/>
          <w:sz w:val="22"/>
          <w:szCs w:val="22"/>
          <w:color w:val="auto"/>
        </w:rPr>
      </w:pPr>
    </w:p>
    <w:p>
      <w:pPr>
        <w:jc w:val="both"/>
        <w:ind w:left="1300" w:firstLine="652"/>
        <w:spacing w:after="0" w:line="257" w:lineRule="auto"/>
        <w:tabs>
          <w:tab w:leader="none" w:pos="2362" w:val="left"/>
        </w:tabs>
        <w:numPr>
          <w:ilvl w:val="0"/>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Restricted Payment in an amount which, when taken together with all Restricted Payments made after the Reference Date pursuant to this Section 6.02(b)(12), does not exceed $800,000,000;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37" w:name="page338"/>
    <w:bookmarkEnd w:id="337"/>
    <w:p>
      <w:pPr>
        <w:ind w:left="1960" w:firstLine="640"/>
        <w:spacing w:after="0" w:line="271" w:lineRule="auto"/>
        <w:tabs>
          <w:tab w:leader="none" w:pos="2962" w:val="left"/>
        </w:tabs>
        <w:numPr>
          <w:ilvl w:val="0"/>
          <w:numId w:val="3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time of each such Restricted Payment, no Default shall have occurred and be continuing (or result therefrom); and</w:t>
      </w:r>
    </w:p>
    <w:p>
      <w:pPr>
        <w:spacing w:after="0" w:line="157" w:lineRule="exact"/>
        <w:rPr>
          <w:rFonts w:ascii="Times New Roman" w:cs="Times New Roman" w:eastAsia="Times New Roman" w:hAnsi="Times New Roman"/>
          <w:sz w:val="22"/>
          <w:szCs w:val="22"/>
          <w:color w:val="auto"/>
        </w:rPr>
      </w:pPr>
    </w:p>
    <w:p>
      <w:pPr>
        <w:ind w:left="1960" w:right="20" w:firstLine="640"/>
        <w:spacing w:after="0" w:line="284" w:lineRule="auto"/>
        <w:tabs>
          <w:tab w:leader="none" w:pos="2977" w:val="left"/>
        </w:tabs>
        <w:numPr>
          <w:ilvl w:val="0"/>
          <w:numId w:val="3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Restricted Payments shall be excluded in the calculation of the amount of Restricted Payments under Section 6.02(a)(3).</w:t>
      </w:r>
    </w:p>
    <w:p>
      <w:pPr>
        <w:spacing w:after="0" w:line="14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6.03. </w:t>
      </w:r>
      <w:r>
        <w:rPr>
          <w:rFonts w:ascii="Times New Roman" w:cs="Times New Roman" w:eastAsia="Times New Roman" w:hAnsi="Times New Roman"/>
          <w:sz w:val="22"/>
          <w:szCs w:val="22"/>
          <w:u w:val="single" w:color="auto"/>
          <w:color w:val="auto"/>
        </w:rPr>
        <w:t>Limitation on Restrictions on Distributions from Restricted Subsidiaries.</w:t>
      </w:r>
      <w:r>
        <w:rPr>
          <w:rFonts w:ascii="Times New Roman" w:cs="Times New Roman" w:eastAsia="Times New Roman" w:hAnsi="Times New Roman"/>
          <w:sz w:val="22"/>
          <w:szCs w:val="22"/>
          <w:color w:val="auto"/>
        </w:rPr>
        <w:t xml:space="preserve"> The Borrower shall not, and shall not permit any Restricted Subsidiary to, create or otherwise cause or permit to exist or become effective any consensual encumbrance or restriction on the ability of any Restricted Subsidiary to:</w:t>
      </w:r>
    </w:p>
    <w:p>
      <w:pPr>
        <w:spacing w:after="0" w:line="173" w:lineRule="exact"/>
        <w:rPr>
          <w:sz w:val="20"/>
          <w:szCs w:val="20"/>
          <w:color w:val="auto"/>
        </w:rPr>
      </w:pPr>
    </w:p>
    <w:p>
      <w:pPr>
        <w:ind w:left="1300" w:firstLine="652"/>
        <w:spacing w:after="0" w:line="284" w:lineRule="auto"/>
        <w:tabs>
          <w:tab w:leader="none" w:pos="2267" w:val="left"/>
        </w:tabs>
        <w:numPr>
          <w:ilvl w:val="0"/>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 dividends or make any other distributions on its Capital Stock or pay any Indebtedness or other obligations owed to the Borrower;</w:t>
      </w:r>
    </w:p>
    <w:p>
      <w:pPr>
        <w:spacing w:after="0" w:line="143" w:lineRule="exact"/>
        <w:rPr>
          <w:rFonts w:ascii="Times New Roman" w:cs="Times New Roman" w:eastAsia="Times New Roman" w:hAnsi="Times New Roman"/>
          <w:sz w:val="22"/>
          <w:szCs w:val="22"/>
          <w:color w:val="auto"/>
        </w:rPr>
      </w:pPr>
    </w:p>
    <w:p>
      <w:pPr>
        <w:ind w:left="2260" w:hanging="308"/>
        <w:spacing w:after="0"/>
        <w:tabs>
          <w:tab w:leader="none" w:pos="2260" w:val="left"/>
        </w:tabs>
        <w:numPr>
          <w:ilvl w:val="0"/>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loans or advances to the Borrower; or</w:t>
      </w:r>
    </w:p>
    <w:p>
      <w:pPr>
        <w:spacing w:after="0" w:line="219" w:lineRule="exact"/>
        <w:rPr>
          <w:rFonts w:ascii="Times New Roman" w:cs="Times New Roman" w:eastAsia="Times New Roman" w:hAnsi="Times New Roman"/>
          <w:sz w:val="22"/>
          <w:szCs w:val="22"/>
          <w:color w:val="auto"/>
        </w:rPr>
      </w:pPr>
    </w:p>
    <w:p>
      <w:pPr>
        <w:ind w:left="2260" w:hanging="308"/>
        <w:spacing w:after="0"/>
        <w:tabs>
          <w:tab w:leader="none" w:pos="2260" w:val="left"/>
        </w:tabs>
        <w:numPr>
          <w:ilvl w:val="0"/>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 any of its property or assets to the Borrower, except:</w:t>
      </w:r>
    </w:p>
    <w:p>
      <w:pPr>
        <w:spacing w:after="0" w:line="219" w:lineRule="exact"/>
        <w:rPr>
          <w:rFonts w:ascii="Times New Roman" w:cs="Times New Roman" w:eastAsia="Times New Roman" w:hAnsi="Times New Roman"/>
          <w:sz w:val="22"/>
          <w:szCs w:val="22"/>
          <w:color w:val="auto"/>
        </w:rPr>
      </w:pPr>
    </w:p>
    <w:p>
      <w:pPr>
        <w:ind w:left="1960" w:firstLine="640"/>
        <w:spacing w:after="0" w:line="271" w:lineRule="auto"/>
        <w:tabs>
          <w:tab w:leader="none" w:pos="3002" w:val="left"/>
        </w:tabs>
        <w:numPr>
          <w:ilvl w:val="1"/>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encumbrance or restriction pursuant to applicable law, rule, regulation or order or an agreement in effect at or entered into on the Restatement Date;</w:t>
      </w:r>
    </w:p>
    <w:p>
      <w:pPr>
        <w:spacing w:after="0" w:line="157" w:lineRule="exact"/>
        <w:rPr>
          <w:rFonts w:ascii="Times New Roman" w:cs="Times New Roman" w:eastAsia="Times New Roman" w:hAnsi="Times New Roman"/>
          <w:sz w:val="22"/>
          <w:szCs w:val="22"/>
          <w:color w:val="auto"/>
        </w:rPr>
      </w:pPr>
    </w:p>
    <w:p>
      <w:pPr>
        <w:jc w:val="both"/>
        <w:ind w:left="1960" w:firstLine="640"/>
        <w:spacing w:after="0" w:line="265" w:lineRule="auto"/>
        <w:tabs>
          <w:tab w:leader="none" w:pos="2950" w:val="left"/>
        </w:tabs>
        <w:numPr>
          <w:ilvl w:val="1"/>
          <w:numId w:val="3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encumbrance or restriction with respect to a Restricted Subsidiary pursuant to an agreement relating to any Indebtedness Incurred by such Restricted Subsidiary prior to the date on which such Restricted Subsidiary was acquired by the Borrower (other than Indebtedness Incurred as consideration in, in contemplation of, or to provide all or any portion of the funds or credit support utilized to consummate the transaction or series of related transactions pursuant to which such Restricted Subsidiary became a Restricted Subsidiary or was otherwise acquired by the Borrower) and outstanding on such date;</w:t>
      </w:r>
    </w:p>
    <w:p>
      <w:pPr>
        <w:spacing w:after="0" w:line="182" w:lineRule="exact"/>
        <w:rPr>
          <w:rFonts w:ascii="Times New Roman" w:cs="Times New Roman" w:eastAsia="Times New Roman" w:hAnsi="Times New Roman"/>
          <w:sz w:val="21"/>
          <w:szCs w:val="21"/>
          <w:color w:val="auto"/>
        </w:rPr>
      </w:pPr>
    </w:p>
    <w:p>
      <w:pPr>
        <w:jc w:val="both"/>
        <w:ind w:left="1960" w:firstLine="640"/>
        <w:spacing w:after="0" w:line="265" w:lineRule="auto"/>
        <w:tabs>
          <w:tab w:leader="none" w:pos="3031" w:val="left"/>
        </w:tabs>
        <w:numPr>
          <w:ilvl w:val="1"/>
          <w:numId w:val="3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encumbrance or restriction pursuant to an agreement effecting a Refinancing of Indebtedness Incurred pursuant to an agreement referred to in Section 6.03(3)(A) or Section 6.03(3)(B) or this Section 6.03(3)(C) or contained in any amendment to an agreement referred to in Section 6.03(3)(A) or Section 6.03(3)(B) or this Section 6.03(3)(C);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encumbrances and restrictions contained in any such Refinancing agreement or amendment are no less favorable in any material respect to the Lenders than the encumbrances and restrictions contained in such predecessor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4994910</wp:posOffset>
            </wp:positionH>
            <wp:positionV relativeFrom="paragraph">
              <wp:posOffset>-380365</wp:posOffset>
            </wp:positionV>
            <wp:extent cx="3429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38" w:name="page339"/>
    <w:bookmarkEnd w:id="338"/>
    <w:p>
      <w:pPr>
        <w:ind w:left="2600"/>
        <w:spacing w:after="0"/>
        <w:rPr>
          <w:sz w:val="20"/>
          <w:szCs w:val="20"/>
          <w:color w:val="auto"/>
        </w:rPr>
      </w:pPr>
      <w:r>
        <w:rPr>
          <w:rFonts w:ascii="Times New Roman" w:cs="Times New Roman" w:eastAsia="Times New Roman" w:hAnsi="Times New Roman"/>
          <w:sz w:val="22"/>
          <w:szCs w:val="22"/>
          <w:color w:val="auto"/>
        </w:rPr>
        <w:t>(D) in the case of Section 6.03(3), any encumbrance or restriction:</w:t>
      </w:r>
    </w:p>
    <w:p>
      <w:pPr>
        <w:spacing w:after="0" w:line="220" w:lineRule="exact"/>
        <w:rPr>
          <w:sz w:val="20"/>
          <w:szCs w:val="20"/>
          <w:color w:val="auto"/>
        </w:rPr>
      </w:pPr>
    </w:p>
    <w:p>
      <w:pPr>
        <w:jc w:val="both"/>
        <w:ind w:left="1960" w:firstLine="640"/>
        <w:spacing w:after="0" w:line="263" w:lineRule="auto"/>
        <w:tabs>
          <w:tab w:leader="none" w:pos="2894" w:val="left"/>
        </w:tabs>
        <w:numPr>
          <w:ilvl w:val="0"/>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restricts in a customary manner the subletting, assignment or transfer of any property or asset that is subject to a lease, license or similar contract, or the assignment or transfer of any such lease, license or other contract; or</w:t>
      </w:r>
    </w:p>
    <w:p>
      <w:pPr>
        <w:spacing w:after="0" w:line="167" w:lineRule="exact"/>
        <w:rPr>
          <w:rFonts w:ascii="Times New Roman" w:cs="Times New Roman" w:eastAsia="Times New Roman" w:hAnsi="Times New Roman"/>
          <w:sz w:val="22"/>
          <w:szCs w:val="22"/>
          <w:color w:val="auto"/>
        </w:rPr>
      </w:pPr>
    </w:p>
    <w:p>
      <w:pPr>
        <w:jc w:val="both"/>
        <w:ind w:left="1960" w:firstLine="640"/>
        <w:spacing w:after="0" w:line="257" w:lineRule="auto"/>
        <w:tabs>
          <w:tab w:leader="none" w:pos="2971" w:val="left"/>
        </w:tabs>
        <w:numPr>
          <w:ilvl w:val="0"/>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contained in mortgages, pledges and other security agreements securing Indebtedness of a Restricted Subsidiary to the extent such encumbrance or restriction restricts the transfer of the property subject to such security agreements;</w:t>
      </w:r>
    </w:p>
    <w:p>
      <w:pPr>
        <w:spacing w:after="0" w:line="173" w:lineRule="exact"/>
        <w:rPr>
          <w:sz w:val="20"/>
          <w:szCs w:val="20"/>
          <w:color w:val="auto"/>
        </w:rPr>
      </w:pPr>
    </w:p>
    <w:p>
      <w:pPr>
        <w:jc w:val="both"/>
        <w:ind w:left="1960" w:firstLine="640"/>
        <w:spacing w:after="0" w:line="263" w:lineRule="auto"/>
        <w:tabs>
          <w:tab w:leader="none" w:pos="2978" w:val="left"/>
        </w:tabs>
        <w:numPr>
          <w:ilvl w:val="0"/>
          <w:numId w:val="3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 Restricted Subsidiary, any restriction imposed pursuant to an agreement entered into for the sale or disposition of all or substantially all the Capital Stock or assets of such Restricted Subsidiary pending the closing of such sale or disposition;</w:t>
      </w:r>
    </w:p>
    <w:p>
      <w:pPr>
        <w:spacing w:after="0" w:line="167" w:lineRule="exact"/>
        <w:rPr>
          <w:rFonts w:ascii="Times New Roman" w:cs="Times New Roman" w:eastAsia="Times New Roman" w:hAnsi="Times New Roman"/>
          <w:sz w:val="22"/>
          <w:szCs w:val="22"/>
          <w:color w:val="auto"/>
        </w:rPr>
      </w:pPr>
    </w:p>
    <w:p>
      <w:pPr>
        <w:jc w:val="both"/>
        <w:ind w:left="1960" w:firstLine="640"/>
        <w:spacing w:after="0" w:line="252" w:lineRule="auto"/>
        <w:tabs>
          <w:tab w:leader="none" w:pos="2926" w:val="left"/>
        </w:tabs>
        <w:numPr>
          <w:ilvl w:val="0"/>
          <w:numId w:val="3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encumbrance or restriction existing under or by reason of Indebtedness or other contractual requirements of a Receivables Entity or any other party to a Qualified Receivables Transaction in connection with a Qualified Receivables Transaction;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restrictions apply only to such Receivables Entity or such other party, as applicable;</w:t>
      </w:r>
    </w:p>
    <w:p>
      <w:pPr>
        <w:spacing w:after="0" w:line="192" w:lineRule="exact"/>
        <w:rPr>
          <w:rFonts w:ascii="Times New Roman" w:cs="Times New Roman" w:eastAsia="Times New Roman" w:hAnsi="Times New Roman"/>
          <w:sz w:val="22"/>
          <w:szCs w:val="22"/>
          <w:color w:val="auto"/>
        </w:rPr>
      </w:pPr>
    </w:p>
    <w:p>
      <w:pPr>
        <w:jc w:val="both"/>
        <w:ind w:left="1960" w:firstLine="640"/>
        <w:spacing w:after="0" w:line="257" w:lineRule="auto"/>
        <w:tabs>
          <w:tab w:leader="none" w:pos="3002" w:val="left"/>
        </w:tabs>
        <w:numPr>
          <w:ilvl w:val="0"/>
          <w:numId w:val="3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money obligations for property acquired in the ordinary course of business and Finance Lease Obligations that impose restrictions on the property purchased or leased of the nature described in Section 6.03(3);</w:t>
      </w:r>
    </w:p>
    <w:p>
      <w:pPr>
        <w:spacing w:after="0" w:line="172" w:lineRule="exact"/>
        <w:rPr>
          <w:rFonts w:ascii="Times New Roman" w:cs="Times New Roman" w:eastAsia="Times New Roman" w:hAnsi="Times New Roman"/>
          <w:sz w:val="22"/>
          <w:szCs w:val="22"/>
          <w:color w:val="auto"/>
        </w:rPr>
      </w:pPr>
    </w:p>
    <w:p>
      <w:pPr>
        <w:ind w:left="1960" w:firstLine="640"/>
        <w:spacing w:after="0" w:line="271" w:lineRule="auto"/>
        <w:tabs>
          <w:tab w:leader="none" w:pos="2975" w:val="left"/>
        </w:tabs>
        <w:numPr>
          <w:ilvl w:val="0"/>
          <w:numId w:val="3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provisions with respect to the disposition or distribution of assets or property in joint venture agreements, asset sale agreements, stock sale agreements and other similar agreements;</w:t>
      </w:r>
    </w:p>
    <w:p>
      <w:pPr>
        <w:spacing w:after="0" w:line="171" w:lineRule="exact"/>
        <w:rPr>
          <w:rFonts w:ascii="Times New Roman" w:cs="Times New Roman" w:eastAsia="Times New Roman" w:hAnsi="Times New Roman"/>
          <w:sz w:val="22"/>
          <w:szCs w:val="22"/>
          <w:color w:val="auto"/>
        </w:rPr>
      </w:pPr>
    </w:p>
    <w:p>
      <w:pPr>
        <w:ind w:left="1960" w:firstLine="640"/>
        <w:spacing w:after="0" w:line="271" w:lineRule="auto"/>
        <w:tabs>
          <w:tab w:leader="none" w:pos="2891" w:val="left"/>
        </w:tabs>
        <w:numPr>
          <w:ilvl w:val="0"/>
          <w:numId w:val="3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restrictions on cash or other deposits or net worth imposed by customers, suppliers or, in the ordinary course of business, other third parties; and</w:t>
      </w:r>
    </w:p>
    <w:p>
      <w:pPr>
        <w:spacing w:after="0" w:line="157" w:lineRule="exact"/>
        <w:rPr>
          <w:rFonts w:ascii="Times New Roman" w:cs="Times New Roman" w:eastAsia="Times New Roman" w:hAnsi="Times New Roman"/>
          <w:sz w:val="22"/>
          <w:szCs w:val="22"/>
          <w:color w:val="auto"/>
        </w:rPr>
      </w:pPr>
    </w:p>
    <w:p>
      <w:pPr>
        <w:ind w:left="1960" w:firstLine="640"/>
        <w:spacing w:after="0" w:line="271" w:lineRule="auto"/>
        <w:tabs>
          <w:tab w:leader="none" w:pos="2903" w:val="left"/>
        </w:tabs>
        <w:numPr>
          <w:ilvl w:val="0"/>
          <w:numId w:val="3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Foreign Restricted Subsidiary, any encumbrance or restriction contained in the terms of any Indebtedness, or any agreement pursuant to which such Indebtedness was issued,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39" w:name="page340"/>
    <w:bookmarkEnd w:id="339"/>
    <w:p>
      <w:pPr>
        <w:ind w:left="1960" w:firstLine="640"/>
        <w:spacing w:after="0" w:line="271" w:lineRule="auto"/>
        <w:tabs>
          <w:tab w:leader="none" w:pos="2882" w:val="left"/>
        </w:tabs>
        <w:numPr>
          <w:ilvl w:val="0"/>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encumbrance or restriction applies only in the event of a payment default or a default with respect to a financial covenant contained in such Indebtedness or agreement; or</w:t>
      </w:r>
    </w:p>
    <w:p>
      <w:pPr>
        <w:spacing w:after="0" w:line="157" w:lineRule="exact"/>
        <w:rPr>
          <w:rFonts w:ascii="Times New Roman" w:cs="Times New Roman" w:eastAsia="Times New Roman" w:hAnsi="Times New Roman"/>
          <w:sz w:val="22"/>
          <w:szCs w:val="22"/>
          <w:color w:val="auto"/>
        </w:rPr>
      </w:pPr>
    </w:p>
    <w:p>
      <w:pPr>
        <w:jc w:val="both"/>
        <w:ind w:left="1960" w:right="20" w:firstLine="640"/>
        <w:spacing w:after="0" w:line="281" w:lineRule="auto"/>
        <w:tabs>
          <w:tab w:leader="none" w:pos="2948" w:val="left"/>
        </w:tabs>
        <w:numPr>
          <w:ilvl w:val="0"/>
          <w:numId w:val="3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the time such Indebtedness is Incurred, such encumbrance or restriction is not expected to materially affect the Borrower’s ability to make principal or interest payments on the Obligations, as determined in good faith by a Financial Officer of the Borrower, whose determination shall be conclusive.</w:t>
      </w:r>
    </w:p>
    <w:p>
      <w:pPr>
        <w:spacing w:after="0" w:line="151" w:lineRule="exact"/>
        <w:rPr>
          <w:sz w:val="20"/>
          <w:szCs w:val="20"/>
          <w:color w:val="auto"/>
        </w:rPr>
      </w:pPr>
    </w:p>
    <w:p>
      <w:pPr>
        <w:ind w:right="2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6.04. </w:t>
      </w:r>
      <w:r>
        <w:rPr>
          <w:rFonts w:ascii="Times New Roman" w:cs="Times New Roman" w:eastAsia="Times New Roman" w:hAnsi="Times New Roman"/>
          <w:sz w:val="22"/>
          <w:szCs w:val="22"/>
          <w:u w:val="single" w:color="auto"/>
          <w:color w:val="auto"/>
        </w:rPr>
        <w:t>Limitation on Sales of Assets and Subsidiary Stock</w:t>
      </w:r>
      <w:r>
        <w:rPr>
          <w:rFonts w:ascii="Times New Roman" w:cs="Times New Roman" w:eastAsia="Times New Roman" w:hAnsi="Times New Roman"/>
          <w:sz w:val="22"/>
          <w:szCs w:val="22"/>
          <w:color w:val="auto"/>
        </w:rPr>
        <w:t>. (a) The Borrower shall not, and shall not permit any Restricted Subsidiary to, make any Asset Disposition unless:</w:t>
      </w:r>
    </w:p>
    <w:p>
      <w:pPr>
        <w:spacing w:after="0" w:line="158" w:lineRule="exact"/>
        <w:rPr>
          <w:sz w:val="20"/>
          <w:szCs w:val="20"/>
          <w:color w:val="auto"/>
        </w:rPr>
      </w:pPr>
    </w:p>
    <w:p>
      <w:pPr>
        <w:jc w:val="both"/>
        <w:ind w:left="1300" w:firstLine="652"/>
        <w:spacing w:after="0" w:line="256" w:lineRule="auto"/>
        <w:tabs>
          <w:tab w:leader="none" w:pos="2254" w:val="left"/>
        </w:tabs>
        <w:numPr>
          <w:ilvl w:val="1"/>
          <w:numId w:val="3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or such Restricted Subsidiary receives consideration (including by way of relief from, or by any other Person assuming sole responsibility for, any liabilities, contingent or otherwise) at the time of such Asset Disposition at least equal to the Fair Market Value of the shares and assets subject to such Asset Disposition; and</w:t>
      </w:r>
    </w:p>
    <w:p>
      <w:pPr>
        <w:spacing w:after="0" w:line="176" w:lineRule="exact"/>
        <w:rPr>
          <w:rFonts w:ascii="Times New Roman" w:cs="Times New Roman" w:eastAsia="Times New Roman" w:hAnsi="Times New Roman"/>
          <w:sz w:val="22"/>
          <w:szCs w:val="22"/>
          <w:color w:val="auto"/>
        </w:rPr>
      </w:pPr>
    </w:p>
    <w:p>
      <w:pPr>
        <w:ind w:left="1300" w:firstLine="652"/>
        <w:spacing w:after="0" w:line="271" w:lineRule="auto"/>
        <w:tabs>
          <w:tab w:leader="none" w:pos="2254" w:val="left"/>
        </w:tabs>
        <w:numPr>
          <w:ilvl w:val="1"/>
          <w:numId w:val="3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least 75% of the consideration therefor received by the Borrower or such Restricted Subsidiary is in the form of cash or Additional Assets.</w:t>
      </w:r>
    </w:p>
    <w:p>
      <w:pPr>
        <w:spacing w:after="0" w:line="157" w:lineRule="exact"/>
        <w:rPr>
          <w:rFonts w:ascii="Times New Roman" w:cs="Times New Roman" w:eastAsia="Times New Roman" w:hAnsi="Times New Roman"/>
          <w:sz w:val="22"/>
          <w:szCs w:val="22"/>
          <w:color w:val="auto"/>
        </w:rPr>
      </w:pPr>
    </w:p>
    <w:p>
      <w:pPr>
        <w:ind w:left="1600" w:hanging="296"/>
        <w:spacing w:after="0"/>
        <w:tabs>
          <w:tab w:leader="none" w:pos="1600" w:val="left"/>
        </w:tabs>
        <w:numPr>
          <w:ilvl w:val="0"/>
          <w:numId w:val="3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purposes of this covenant, the following are deemed to be cash:</w:t>
      </w:r>
    </w:p>
    <w:p>
      <w:pPr>
        <w:spacing w:after="0" w:line="233" w:lineRule="exact"/>
        <w:rPr>
          <w:rFonts w:ascii="Times New Roman" w:cs="Times New Roman" w:eastAsia="Times New Roman" w:hAnsi="Times New Roman"/>
          <w:sz w:val="22"/>
          <w:szCs w:val="22"/>
          <w:color w:val="auto"/>
        </w:rPr>
      </w:pPr>
    </w:p>
    <w:p>
      <w:pPr>
        <w:jc w:val="both"/>
        <w:ind w:left="1300" w:firstLine="652"/>
        <w:spacing w:after="0" w:line="250" w:lineRule="auto"/>
        <w:tabs>
          <w:tab w:leader="none" w:pos="2254" w:val="left"/>
        </w:tabs>
        <w:numPr>
          <w:ilvl w:val="1"/>
          <w:numId w:val="3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assumption of Indebtedness or other obligations of the Borrower (other than obligations in respect of Disqualified Stock of the Borrower) or any Restricted Subsidiary (other than obligations in respect of Disqualified Stock and Preferred Stock of a Restricted Subsidiary that is a Subsidiary Guarantor) and the release of the Borrower or such Restricted Subsidiary from all liability on such Indebtedness or obligations in connection with such Asset Disposition;</w:t>
      </w:r>
    </w:p>
    <w:p>
      <w:pPr>
        <w:spacing w:after="0" w:line="194" w:lineRule="exact"/>
        <w:rPr>
          <w:rFonts w:ascii="Times New Roman" w:cs="Times New Roman" w:eastAsia="Times New Roman" w:hAnsi="Times New Roman"/>
          <w:sz w:val="22"/>
          <w:szCs w:val="22"/>
          <w:color w:val="auto"/>
        </w:rPr>
      </w:pPr>
    </w:p>
    <w:p>
      <w:pPr>
        <w:jc w:val="both"/>
        <w:ind w:left="1300" w:firstLine="652"/>
        <w:spacing w:after="0" w:line="265" w:lineRule="auto"/>
        <w:tabs>
          <w:tab w:leader="none" w:pos="2294" w:val="left"/>
        </w:tabs>
        <w:numPr>
          <w:ilvl w:val="1"/>
          <w:numId w:val="3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Designated Noncash Consideration having an aggregate Fair Market Value that, when taken together with all other Designated Noncash Consideration received pursuant to this clause and then outstanding, does not exceed at the time of the receipt of such Designated Noncash Consideration (with the Fair Market Value of each item of Designated Noncash Consideration being measured at the time received and without giving effect to subsequent changes in value) the greater of (1) $200,000,000 and (2) 1.5% of the total Consolidated assets of the Borrower as shown on the most recent balance sheet of the Borrower filed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40" w:name="page341"/>
    <w:bookmarkEnd w:id="340"/>
    <w:p>
      <w:pPr>
        <w:ind w:left="1300" w:right="20" w:firstLine="652"/>
        <w:spacing w:after="0" w:line="271" w:lineRule="auto"/>
        <w:tabs>
          <w:tab w:leader="none" w:pos="2254" w:val="left"/>
        </w:tabs>
        <w:numPr>
          <w:ilvl w:val="1"/>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notes or similar obligations received by the Borrower or any Restricted Subsidiary from the transferee that are promptly converted by the Borrower or such Restricted Subsidiary into cash; and</w:t>
      </w:r>
    </w:p>
    <w:p>
      <w:pPr>
        <w:spacing w:after="0" w:line="157" w:lineRule="exact"/>
        <w:rPr>
          <w:rFonts w:ascii="Times New Roman" w:cs="Times New Roman" w:eastAsia="Times New Roman" w:hAnsi="Times New Roman"/>
          <w:sz w:val="22"/>
          <w:szCs w:val="22"/>
          <w:color w:val="auto"/>
        </w:rPr>
      </w:pPr>
    </w:p>
    <w:p>
      <w:pPr>
        <w:ind w:left="2260" w:hanging="308"/>
        <w:spacing w:after="0"/>
        <w:tabs>
          <w:tab w:leader="none" w:pos="2260" w:val="left"/>
        </w:tabs>
        <w:numPr>
          <w:ilvl w:val="1"/>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Temporary Cash Investments.</w:t>
      </w:r>
    </w:p>
    <w:p>
      <w:pPr>
        <w:spacing w:after="0" w:line="233" w:lineRule="exact"/>
        <w:rPr>
          <w:rFonts w:ascii="Times New Roman" w:cs="Times New Roman" w:eastAsia="Times New Roman" w:hAnsi="Times New Roman"/>
          <w:sz w:val="22"/>
          <w:szCs w:val="22"/>
          <w:color w:val="auto"/>
        </w:rPr>
      </w:pPr>
    </w:p>
    <w:p>
      <w:pPr>
        <w:jc w:val="both"/>
        <w:ind w:firstLine="1304"/>
        <w:spacing w:after="0" w:line="249" w:lineRule="auto"/>
        <w:tabs>
          <w:tab w:leader="none" w:pos="1617" w:val="left"/>
        </w:tabs>
        <w:numPr>
          <w:ilvl w:val="0"/>
          <w:numId w:val="3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receipt of written notice from the Borrower to the Collateral Agent, the Collateral Agent is hereby authorized and directed to release any security interest under any Security Document in any Capital Stock of any Foreign Subsidiary transferred, for tax planning or other business purposes, consistent with the Borrower’s past practices, to any Foreign Subsidiary whose Capital Stock has been pledged under any of the Security Documents if either (i) the transferor of such Capital Stock is the Borrower or a Domestic Subsidiary and such release is required in order to obtain the desired amount of consideration from such transfer, or (ii) after giving effect to such transfer, the aggregate fair value of all such Capital Stock (other than Capital Stock transferred in a transaction described in the immediately preceding clause (i)), determined as of the date of each respective transfer, does not exceed, for all such transfers, $250,000,000.</w:t>
      </w:r>
    </w:p>
    <w:p>
      <w:pPr>
        <w:spacing w:after="0" w:line="18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6.05. </w:t>
      </w:r>
      <w:r>
        <w:rPr>
          <w:rFonts w:ascii="Times New Roman" w:cs="Times New Roman" w:eastAsia="Times New Roman" w:hAnsi="Times New Roman"/>
          <w:sz w:val="22"/>
          <w:szCs w:val="22"/>
          <w:u w:val="single" w:color="auto"/>
          <w:color w:val="auto"/>
        </w:rPr>
        <w:t>Limitation on Transactions with Affiliates.</w:t>
      </w:r>
      <w:r>
        <w:rPr>
          <w:rFonts w:ascii="Times New Roman" w:cs="Times New Roman" w:eastAsia="Times New Roman" w:hAnsi="Times New Roman"/>
          <w:sz w:val="22"/>
          <w:szCs w:val="22"/>
          <w:color w:val="auto"/>
        </w:rPr>
        <w:t xml:space="preserve"> (a) The Borrower shall not, and shall not permit any Restricted Subsidiary to, directly or indirectly, enter into or conduct any transaction or series of related transactions (including the purchase, sale, lease or exchange of any property or the rendering of any service) with any Affiliate of the Borrower (an “</w:t>
      </w:r>
      <w:r>
        <w:rPr>
          <w:rFonts w:ascii="Times New Roman" w:cs="Times New Roman" w:eastAsia="Times New Roman" w:hAnsi="Times New Roman"/>
          <w:sz w:val="22"/>
          <w:szCs w:val="22"/>
          <w:u w:val="single" w:color="auto"/>
          <w:color w:val="auto"/>
        </w:rPr>
        <w:t>Affiliate Transaction</w:t>
      </w:r>
      <w:r>
        <w:rPr>
          <w:rFonts w:ascii="Times New Roman" w:cs="Times New Roman" w:eastAsia="Times New Roman" w:hAnsi="Times New Roman"/>
          <w:sz w:val="22"/>
          <w:szCs w:val="22"/>
          <w:color w:val="auto"/>
        </w:rPr>
        <w:t>”) unless such transaction is on terms:</w:t>
      </w:r>
    </w:p>
    <w:p>
      <w:pPr>
        <w:spacing w:after="0" w:line="176" w:lineRule="exact"/>
        <w:rPr>
          <w:sz w:val="20"/>
          <w:szCs w:val="20"/>
          <w:color w:val="auto"/>
        </w:rPr>
      </w:pPr>
    </w:p>
    <w:p>
      <w:pPr>
        <w:jc w:val="both"/>
        <w:ind w:left="1300" w:firstLine="652"/>
        <w:spacing w:after="0" w:line="257" w:lineRule="auto"/>
        <w:tabs>
          <w:tab w:leader="none" w:pos="2254" w:val="left"/>
        </w:tabs>
        <w:numPr>
          <w:ilvl w:val="0"/>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are no less favorable to the Borrower or such Restricted Subsidiary, as the case may be, than those that could be obtained at the time of such transaction in arm’s-length dealings with a Person who is not such an Affiliate,</w:t>
      </w:r>
    </w:p>
    <w:p>
      <w:pPr>
        <w:spacing w:after="0" w:line="172" w:lineRule="exact"/>
        <w:rPr>
          <w:rFonts w:ascii="Times New Roman" w:cs="Times New Roman" w:eastAsia="Times New Roman" w:hAnsi="Times New Roman"/>
          <w:sz w:val="22"/>
          <w:szCs w:val="22"/>
          <w:color w:val="auto"/>
        </w:rPr>
      </w:pPr>
    </w:p>
    <w:p>
      <w:pPr>
        <w:ind w:left="2260" w:hanging="308"/>
        <w:spacing w:after="0"/>
        <w:tabs>
          <w:tab w:leader="none" w:pos="2260" w:val="left"/>
        </w:tabs>
        <w:numPr>
          <w:ilvl w:val="0"/>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in the event such Affiliate Transaction involves an aggregate amount in excess of $25,000,000,</w:t>
      </w:r>
    </w:p>
    <w:p>
      <w:pPr>
        <w:spacing w:after="0" w:line="233" w:lineRule="exact"/>
        <w:rPr>
          <w:rFonts w:ascii="Times New Roman" w:cs="Times New Roman" w:eastAsia="Times New Roman" w:hAnsi="Times New Roman"/>
          <w:sz w:val="22"/>
          <w:szCs w:val="22"/>
          <w:color w:val="auto"/>
        </w:rPr>
      </w:pPr>
    </w:p>
    <w:p>
      <w:pPr>
        <w:ind w:left="2960" w:hanging="360"/>
        <w:spacing w:after="0"/>
        <w:tabs>
          <w:tab w:leader="none" w:pos="2960" w:val="left"/>
        </w:tabs>
        <w:numPr>
          <w:ilvl w:val="1"/>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set forth in writing, and</w:t>
      </w:r>
    </w:p>
    <w:p>
      <w:pPr>
        <w:spacing w:after="0" w:line="219" w:lineRule="exact"/>
        <w:rPr>
          <w:rFonts w:ascii="Times New Roman" w:cs="Times New Roman" w:eastAsia="Times New Roman" w:hAnsi="Times New Roman"/>
          <w:sz w:val="22"/>
          <w:szCs w:val="22"/>
          <w:color w:val="auto"/>
        </w:rPr>
      </w:pPr>
    </w:p>
    <w:p>
      <w:pPr>
        <w:ind w:left="1960" w:firstLine="640"/>
        <w:spacing w:after="0" w:line="271" w:lineRule="auto"/>
        <w:tabs>
          <w:tab w:leader="none" w:pos="2950" w:val="left"/>
        </w:tabs>
        <w:numPr>
          <w:ilvl w:val="1"/>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been approved by a majority of the members of the Board of Directors having no personal stake in such Affiliate Transaction; and</w:t>
      </w:r>
    </w:p>
    <w:p>
      <w:pPr>
        <w:spacing w:after="0" w:line="157" w:lineRule="exact"/>
        <w:rPr>
          <w:rFonts w:ascii="Times New Roman" w:cs="Times New Roman" w:eastAsia="Times New Roman" w:hAnsi="Times New Roman"/>
          <w:sz w:val="22"/>
          <w:szCs w:val="22"/>
          <w:color w:val="auto"/>
        </w:rPr>
      </w:pPr>
    </w:p>
    <w:p>
      <w:pPr>
        <w:jc w:val="both"/>
        <w:ind w:left="1300" w:firstLine="652"/>
        <w:spacing w:after="0" w:line="263" w:lineRule="auto"/>
        <w:tabs>
          <w:tab w:leader="none" w:pos="2267" w:val="left"/>
        </w:tabs>
        <w:numPr>
          <w:ilvl w:val="0"/>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in the event such Affiliate Transaction involves an amount in excess of $75,000,000, have been determined by a nationally recognized appraisal, accounting or investment banking firm to be fair, from a financial standpoint, to the Borrower and its Restricted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41" w:name="page342"/>
    <w:bookmarkEnd w:id="341"/>
    <w:p>
      <w:pPr>
        <w:ind w:left="1600" w:hanging="296"/>
        <w:spacing w:after="0"/>
        <w:tabs>
          <w:tab w:leader="none" w:pos="1600" w:val="left"/>
        </w:tabs>
        <w:numPr>
          <w:ilvl w:val="0"/>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Section 6.05(a) will not prohibit:</w:t>
      </w:r>
    </w:p>
    <w:p>
      <w:pPr>
        <w:spacing w:after="0" w:line="219" w:lineRule="exact"/>
        <w:rPr>
          <w:rFonts w:ascii="Times New Roman" w:cs="Times New Roman" w:eastAsia="Times New Roman" w:hAnsi="Times New Roman"/>
          <w:sz w:val="22"/>
          <w:szCs w:val="22"/>
          <w:color w:val="auto"/>
        </w:rPr>
      </w:pPr>
    </w:p>
    <w:p>
      <w:pPr>
        <w:ind w:left="2260" w:hanging="308"/>
        <w:spacing w:after="0"/>
        <w:tabs>
          <w:tab w:leader="none" w:pos="2260" w:val="left"/>
        </w:tabs>
        <w:numPr>
          <w:ilvl w:val="1"/>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Restricted Payment permitted to be paid pursuant to Section 6.02;</w:t>
      </w:r>
    </w:p>
    <w:p>
      <w:pPr>
        <w:spacing w:after="0" w:line="219" w:lineRule="exact"/>
        <w:rPr>
          <w:rFonts w:ascii="Times New Roman" w:cs="Times New Roman" w:eastAsia="Times New Roman" w:hAnsi="Times New Roman"/>
          <w:sz w:val="22"/>
          <w:szCs w:val="22"/>
          <w:color w:val="auto"/>
        </w:rPr>
      </w:pPr>
    </w:p>
    <w:p>
      <w:pPr>
        <w:jc w:val="both"/>
        <w:ind w:left="1300" w:firstLine="652"/>
        <w:spacing w:after="0" w:line="263" w:lineRule="auto"/>
        <w:tabs>
          <w:tab w:leader="none" w:pos="2254" w:val="left"/>
        </w:tabs>
        <w:numPr>
          <w:ilvl w:val="1"/>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issuance of securities, or other payments, awards or grants in cash, securities or otherwise pursuant to, or the funding of, employment arrangements, incentive compensation plans, stock options and stock ownership plans approved by the Board of Directors;</w:t>
      </w:r>
    </w:p>
    <w:p>
      <w:pPr>
        <w:spacing w:after="0" w:line="167" w:lineRule="exact"/>
        <w:rPr>
          <w:rFonts w:ascii="Times New Roman" w:cs="Times New Roman" w:eastAsia="Times New Roman" w:hAnsi="Times New Roman"/>
          <w:sz w:val="22"/>
          <w:szCs w:val="22"/>
          <w:color w:val="auto"/>
        </w:rPr>
      </w:pPr>
    </w:p>
    <w:p>
      <w:pPr>
        <w:ind w:left="1300" w:firstLine="652"/>
        <w:spacing w:after="0" w:line="271" w:lineRule="auto"/>
        <w:tabs>
          <w:tab w:leader="none" w:pos="2254" w:val="left"/>
        </w:tabs>
        <w:numPr>
          <w:ilvl w:val="1"/>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stock options or similar rights to employees and directors of the Borrower pursuant to plans approved by the Board of Directors;</w:t>
      </w:r>
    </w:p>
    <w:p>
      <w:pPr>
        <w:spacing w:after="0" w:line="157" w:lineRule="exact"/>
        <w:rPr>
          <w:rFonts w:ascii="Times New Roman" w:cs="Times New Roman" w:eastAsia="Times New Roman" w:hAnsi="Times New Roman"/>
          <w:sz w:val="22"/>
          <w:szCs w:val="22"/>
          <w:color w:val="auto"/>
        </w:rPr>
      </w:pPr>
    </w:p>
    <w:p>
      <w:pPr>
        <w:ind w:left="2260" w:hanging="308"/>
        <w:spacing w:after="0"/>
        <w:tabs>
          <w:tab w:leader="none" w:pos="2260" w:val="left"/>
        </w:tabs>
        <w:numPr>
          <w:ilvl w:val="1"/>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loans or advances to employees in the ordinary course of business of the Borrower;</w:t>
      </w:r>
    </w:p>
    <w:p>
      <w:pPr>
        <w:spacing w:after="0" w:line="233" w:lineRule="exact"/>
        <w:rPr>
          <w:rFonts w:ascii="Times New Roman" w:cs="Times New Roman" w:eastAsia="Times New Roman" w:hAnsi="Times New Roman"/>
          <w:sz w:val="22"/>
          <w:szCs w:val="22"/>
          <w:color w:val="auto"/>
        </w:rPr>
      </w:pPr>
    </w:p>
    <w:p>
      <w:pPr>
        <w:jc w:val="both"/>
        <w:ind w:left="1300" w:firstLine="652"/>
        <w:spacing w:after="0" w:line="257" w:lineRule="auto"/>
        <w:tabs>
          <w:tab w:leader="none" w:pos="2335" w:val="left"/>
        </w:tabs>
        <w:numPr>
          <w:ilvl w:val="1"/>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payment of reasonable fees and compensation to, or the provision of employee benefit arrangements and indemnity for the benefit of, directors, officers and employees of the Borrower and its Restricted Subsidiaries in the ordinary course of business;</w:t>
      </w:r>
    </w:p>
    <w:p>
      <w:pPr>
        <w:spacing w:after="0" w:line="172" w:lineRule="exact"/>
        <w:rPr>
          <w:rFonts w:ascii="Times New Roman" w:cs="Times New Roman" w:eastAsia="Times New Roman" w:hAnsi="Times New Roman"/>
          <w:sz w:val="22"/>
          <w:szCs w:val="22"/>
          <w:color w:val="auto"/>
        </w:rPr>
      </w:pPr>
    </w:p>
    <w:p>
      <w:pPr>
        <w:jc w:val="both"/>
        <w:ind w:left="1300" w:firstLine="652"/>
        <w:spacing w:after="0" w:line="256" w:lineRule="auto"/>
        <w:tabs>
          <w:tab w:leader="none" w:pos="2254" w:val="left"/>
        </w:tabs>
        <w:numPr>
          <w:ilvl w:val="1"/>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transaction between or among any of the Borrower, any Restricted Subsidiary or any joint venture or similar entity which would constitute an Affiliate Transaction solely because the Borrower or a Restricted Subsidiary owns an equity interest in or otherwise controls such Restricted Subsidiary, joint venture or similar entity;</w:t>
      </w:r>
    </w:p>
    <w:p>
      <w:pPr>
        <w:spacing w:after="0" w:line="176" w:lineRule="exact"/>
        <w:rPr>
          <w:rFonts w:ascii="Times New Roman" w:cs="Times New Roman" w:eastAsia="Times New Roman" w:hAnsi="Times New Roman"/>
          <w:sz w:val="22"/>
          <w:szCs w:val="22"/>
          <w:color w:val="auto"/>
        </w:rPr>
      </w:pPr>
    </w:p>
    <w:p>
      <w:pPr>
        <w:ind w:left="2260" w:hanging="308"/>
        <w:spacing w:after="0"/>
        <w:tabs>
          <w:tab w:leader="none" w:pos="2260" w:val="left"/>
        </w:tabs>
        <w:numPr>
          <w:ilvl w:val="1"/>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issuance or sale of any Capital Stock (other than Disqualified Stock) of the Borrower;</w:t>
      </w:r>
    </w:p>
    <w:p>
      <w:pPr>
        <w:spacing w:after="0" w:line="219" w:lineRule="exact"/>
        <w:rPr>
          <w:rFonts w:ascii="Times New Roman" w:cs="Times New Roman" w:eastAsia="Times New Roman" w:hAnsi="Times New Roman"/>
          <w:sz w:val="22"/>
          <w:szCs w:val="22"/>
          <w:color w:val="auto"/>
        </w:rPr>
      </w:pPr>
    </w:p>
    <w:p>
      <w:pPr>
        <w:jc w:val="both"/>
        <w:ind w:left="1300" w:firstLine="652"/>
        <w:spacing w:after="0" w:line="256" w:lineRule="auto"/>
        <w:tabs>
          <w:tab w:leader="none" w:pos="2281" w:val="left"/>
        </w:tabs>
        <w:numPr>
          <w:ilvl w:val="1"/>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agreement as in effect on the Restatement Date described in the Disclosure Documents, or any renewals, extensions or amendments of any such agreement (so long as such renewals, extensions or amendments are not less favorable in any material respect to the Borrower or its Restricted Subsidiaries) and the transactions evidenced thereby;</w:t>
      </w:r>
    </w:p>
    <w:p>
      <w:pPr>
        <w:spacing w:after="0" w:line="176" w:lineRule="exact"/>
        <w:rPr>
          <w:rFonts w:ascii="Times New Roman" w:cs="Times New Roman" w:eastAsia="Times New Roman" w:hAnsi="Times New Roman"/>
          <w:sz w:val="22"/>
          <w:szCs w:val="22"/>
          <w:color w:val="auto"/>
        </w:rPr>
      </w:pPr>
    </w:p>
    <w:p>
      <w:pPr>
        <w:jc w:val="both"/>
        <w:ind w:left="1300" w:firstLine="652"/>
        <w:spacing w:after="0" w:line="253" w:lineRule="auto"/>
        <w:tabs>
          <w:tab w:leader="none" w:pos="2254" w:val="left"/>
        </w:tabs>
        <w:numPr>
          <w:ilvl w:val="1"/>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with customers, clients, suppliers or purchasers or sellers of goods or services in each case in the ordinary course of business and otherwise in compliance with the terms of this Agreement which are fair to the Borrower or its Restricted Subsidiaries, in the reasonable determination of the Board of Directors or the senior management thereof, or are on terms at least as favorable as could reasonably have been obtained at such time from an unaffiliated party;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42" w:name="page343"/>
    <w:bookmarkEnd w:id="342"/>
    <w:p>
      <w:pPr>
        <w:ind w:left="1960"/>
        <w:spacing w:after="0"/>
        <w:rPr>
          <w:sz w:val="20"/>
          <w:szCs w:val="20"/>
          <w:color w:val="auto"/>
        </w:rPr>
      </w:pPr>
      <w:r>
        <w:rPr>
          <w:rFonts w:ascii="Times New Roman" w:cs="Times New Roman" w:eastAsia="Times New Roman" w:hAnsi="Times New Roman"/>
          <w:sz w:val="22"/>
          <w:szCs w:val="22"/>
          <w:color w:val="auto"/>
        </w:rPr>
        <w:t>(10) any transaction effected as part of a Qualified Receivables Transaction.</w:t>
      </w:r>
    </w:p>
    <w:p>
      <w:pPr>
        <w:spacing w:after="0" w:line="22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6.06. </w:t>
      </w:r>
      <w:r>
        <w:rPr>
          <w:rFonts w:ascii="Times New Roman" w:cs="Times New Roman" w:eastAsia="Times New Roman" w:hAnsi="Times New Roman"/>
          <w:sz w:val="22"/>
          <w:szCs w:val="22"/>
          <w:u w:val="single" w:color="auto"/>
          <w:color w:val="auto"/>
        </w:rPr>
        <w:t>Limitation on Liens.</w:t>
      </w:r>
      <w:r>
        <w:rPr>
          <w:rFonts w:ascii="Times New Roman" w:cs="Times New Roman" w:eastAsia="Times New Roman" w:hAnsi="Times New Roman"/>
          <w:sz w:val="22"/>
          <w:szCs w:val="22"/>
          <w:color w:val="auto"/>
        </w:rPr>
        <w:t xml:space="preserve"> The Borrower shall not, and shall not permit any Restricted Subsidiary to, directly or indirectly, Incur or permit to exist any Lien of any nature whatsoever on any of its property or assets (including Capital Stock of a Restricted Subsidiary), whether owned at the Restatement Date or thereafter acquired, securing any Indebtedness, except:</w:t>
      </w:r>
    </w:p>
    <w:p>
      <w:pPr>
        <w:spacing w:after="0" w:line="176" w:lineRule="exact"/>
        <w:rPr>
          <w:sz w:val="20"/>
          <w:szCs w:val="20"/>
          <w:color w:val="auto"/>
        </w:rPr>
      </w:pPr>
    </w:p>
    <w:p>
      <w:pPr>
        <w:jc w:val="both"/>
        <w:ind w:firstLine="1304"/>
        <w:spacing w:after="0" w:line="256" w:lineRule="auto"/>
        <w:tabs>
          <w:tab w:leader="none" w:pos="1603" w:val="left"/>
        </w:tabs>
        <w:numPr>
          <w:ilvl w:val="0"/>
          <w:numId w:val="3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to secure Indebtedness permitted pursuant to Section 6.01(b)(1) and Liens under the Credit Documents securing Obligations;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Lien on any Collateral that is granted in reliance on this clause (a) (other than Liens under the Credit Documents securing Obligations) shall be subject to an intercreditor or subordination agreement or arrangement reasonably acceptable to the Administrative Agent;</w:t>
      </w:r>
    </w:p>
    <w:p>
      <w:pPr>
        <w:spacing w:after="0" w:line="176" w:lineRule="exact"/>
        <w:rPr>
          <w:rFonts w:ascii="Times New Roman" w:cs="Times New Roman" w:eastAsia="Times New Roman" w:hAnsi="Times New Roman"/>
          <w:sz w:val="22"/>
          <w:szCs w:val="22"/>
          <w:color w:val="auto"/>
        </w:rPr>
      </w:pPr>
    </w:p>
    <w:p>
      <w:pPr>
        <w:jc w:val="both"/>
        <w:ind w:firstLine="1304"/>
        <w:spacing w:after="0" w:line="257" w:lineRule="auto"/>
        <w:tabs>
          <w:tab w:leader="none" w:pos="1629" w:val="left"/>
        </w:tabs>
        <w:numPr>
          <w:ilvl w:val="0"/>
          <w:numId w:val="3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to secure Indebtedness permitted pursuant to Section 6.01(b)(12);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Liens to secure Indebtedness permitted pursuant to Section 6.01(b)(12) shall be subordinate and junior to the Liens securing the Obligations on the terms set forth in the Lien Subordination and Intercreditor Agreement;</w:t>
      </w:r>
    </w:p>
    <w:p>
      <w:pPr>
        <w:spacing w:after="0" w:line="172" w:lineRule="exact"/>
        <w:rPr>
          <w:rFonts w:ascii="Times New Roman" w:cs="Times New Roman" w:eastAsia="Times New Roman" w:hAnsi="Times New Roman"/>
          <w:sz w:val="22"/>
          <w:szCs w:val="22"/>
          <w:color w:val="auto"/>
        </w:rPr>
      </w:pPr>
    </w:p>
    <w:p>
      <w:pPr>
        <w:jc w:val="both"/>
        <w:ind w:firstLine="1304"/>
        <w:spacing w:after="0" w:line="268" w:lineRule="auto"/>
        <w:tabs>
          <w:tab w:leader="none" w:pos="1630" w:val="left"/>
        </w:tabs>
        <w:numPr>
          <w:ilvl w:val="0"/>
          <w:numId w:val="3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pledges or deposits by such Person under workers’ compensation laws, unemployment insurance laws or similar legislation, or good faith deposits in connection with bids, tenders, contracts (other than for the payment of Indebtedness) or leases to which such Person is a party, or deposits to secure public or statutory obligations of such Person or deposits of cash or United States government bonds to secure surety or appeal bonds to which such Person is a party, or deposits as security for contested taxes or import duties or for the payment of rent, in each case Incurred in the ordinary course of business;</w:t>
      </w:r>
    </w:p>
    <w:p>
      <w:pPr>
        <w:spacing w:after="0" w:line="163" w:lineRule="exact"/>
        <w:rPr>
          <w:rFonts w:ascii="Times New Roman" w:cs="Times New Roman" w:eastAsia="Times New Roman" w:hAnsi="Times New Roman"/>
          <w:sz w:val="21"/>
          <w:szCs w:val="21"/>
          <w:color w:val="auto"/>
        </w:rPr>
      </w:pPr>
    </w:p>
    <w:p>
      <w:pPr>
        <w:jc w:val="both"/>
        <w:ind w:firstLine="1304"/>
        <w:spacing w:after="0" w:line="263" w:lineRule="auto"/>
        <w:tabs>
          <w:tab w:leader="none" w:pos="1602" w:val="left"/>
        </w:tabs>
        <w:numPr>
          <w:ilvl w:val="0"/>
          <w:numId w:val="3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imposed by law, such as carriers’, warehousemen’s and mechanics’ Liens, in each case for sums not yet due or being contested in good faith by appropriate proceedings or other Liens arising out of judgments or awards against such Person with respect to which such Person shall then be proceeding with an appeal or other proceedings for review;</w:t>
      </w:r>
    </w:p>
    <w:p>
      <w:pPr>
        <w:spacing w:after="0" w:line="167" w:lineRule="exact"/>
        <w:rPr>
          <w:rFonts w:ascii="Times New Roman" w:cs="Times New Roman" w:eastAsia="Times New Roman" w:hAnsi="Times New Roman"/>
          <w:sz w:val="22"/>
          <w:szCs w:val="22"/>
          <w:color w:val="auto"/>
        </w:rPr>
      </w:pPr>
    </w:p>
    <w:p>
      <w:pPr>
        <w:ind w:firstLine="1304"/>
        <w:spacing w:after="0" w:line="271" w:lineRule="auto"/>
        <w:tabs>
          <w:tab w:leader="none" w:pos="1603" w:val="left"/>
        </w:tabs>
        <w:numPr>
          <w:ilvl w:val="0"/>
          <w:numId w:val="3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for taxes, assessments or other governmental charges not yet due or payable or subject to penalties for non-payment or which are being contested in good faith by appropriate proceedings;</w:t>
      </w:r>
    </w:p>
    <w:p>
      <w:pPr>
        <w:spacing w:after="0" w:line="157" w:lineRule="exact"/>
        <w:rPr>
          <w:rFonts w:ascii="Times New Roman" w:cs="Times New Roman" w:eastAsia="Times New Roman" w:hAnsi="Times New Roman"/>
          <w:sz w:val="22"/>
          <w:szCs w:val="22"/>
          <w:color w:val="auto"/>
        </w:rPr>
      </w:pPr>
    </w:p>
    <w:p>
      <w:pPr>
        <w:jc w:val="both"/>
        <w:ind w:firstLine="1304"/>
        <w:spacing w:after="0" w:line="272" w:lineRule="auto"/>
        <w:tabs>
          <w:tab w:leader="none" w:pos="1593" w:val="left"/>
        </w:tabs>
        <w:numPr>
          <w:ilvl w:val="0"/>
          <w:numId w:val="3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Liens on assets not constituting Collateral under this Agreement which secure obligations under letters of credit, bank guarantees, Trade Acceptances or similar credit transactions or are in favor of issuers of surety or performance bonds issued pursuant to the request of and for the account of such Person in the ordinary course of its business;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such letters of credit, bank guarantees, Trade Acceptances and similar credit transactions do not constitute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43" w:name="page344"/>
    <w:bookmarkEnd w:id="343"/>
    <w:p>
      <w:pPr>
        <w:jc w:val="both"/>
        <w:ind w:firstLine="1304"/>
        <w:spacing w:after="0" w:line="253" w:lineRule="auto"/>
        <w:tabs>
          <w:tab w:leader="none" w:pos="1602" w:val="left"/>
        </w:tabs>
        <w:numPr>
          <w:ilvl w:val="0"/>
          <w:numId w:val="3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survey exceptions, encumbrances, easements or reservations of, or rights of others for, licenses, rights-of-way, sewers, electric lines, telegraph and telephone lines and other similar purposes, or zoning or other restrictions as to the use of real property or Liens incidental to the conduct of the business of such Person or to the ownership of its properties which were not Incurred in connection with Indebtedness for borrowed money and which do not in the aggregate materially adversely affect the value of said properties or materially impair their use in the operation of the business of such Person;</w:t>
      </w:r>
    </w:p>
    <w:p>
      <w:pPr>
        <w:spacing w:after="0" w:line="178" w:lineRule="exact"/>
        <w:rPr>
          <w:rFonts w:ascii="Times New Roman" w:cs="Times New Roman" w:eastAsia="Times New Roman" w:hAnsi="Times New Roman"/>
          <w:sz w:val="22"/>
          <w:szCs w:val="22"/>
          <w:color w:val="auto"/>
        </w:rPr>
      </w:pPr>
    </w:p>
    <w:p>
      <w:pPr>
        <w:jc w:val="both"/>
        <w:ind w:firstLine="1304"/>
        <w:spacing w:after="0" w:line="251" w:lineRule="auto"/>
        <w:tabs>
          <w:tab w:leader="none" w:pos="1683" w:val="left"/>
        </w:tabs>
        <w:numPr>
          <w:ilvl w:val="0"/>
          <w:numId w:val="3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Indebtedness Incurred to finance the construction, purchase or lease of, or repairs, improvements or additions to, property of such Person (including Indebtedness Incurred under Section 6.01(b)(6));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Lien may not extend to any other property (other than property related to the property being financed) owned by such Person or any of its Subsidiaries at the time the Lien is Incurred, and the Indebtedness (other than any interest thereon) secured by the Lien may not be Incurred more than 180 days after the later of the acquisition, completion of construction, repair, improvement, addition or commencement of full operation of the property subject to the Lien;</w:t>
      </w:r>
    </w:p>
    <w:p>
      <w:pPr>
        <w:spacing w:after="0" w:line="181" w:lineRule="exact"/>
        <w:rPr>
          <w:rFonts w:ascii="Times New Roman" w:cs="Times New Roman" w:eastAsia="Times New Roman" w:hAnsi="Times New Roman"/>
          <w:sz w:val="22"/>
          <w:szCs w:val="22"/>
          <w:color w:val="auto"/>
        </w:rPr>
      </w:pPr>
    </w:p>
    <w:p>
      <w:pPr>
        <w:jc w:val="both"/>
        <w:ind w:firstLine="1304"/>
        <w:spacing w:after="0" w:line="251" w:lineRule="auto"/>
        <w:tabs>
          <w:tab w:leader="none" w:pos="1554" w:val="left"/>
        </w:tabs>
        <w:numPr>
          <w:ilvl w:val="0"/>
          <w:numId w:val="3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existing on the Restatement Date (which Liens, in the case of Liens on assets of the Borrower and of each other Subsidiary that is organized under the laws of the United States or Canada or any of their territories or possessions or any political subdivision thereof, are set forth in Annex II to the Disclosure Letter);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(x) any such Lien shall not apply to any other property or asset of the Borrower or any Restricted Subsidiary and (y) any such Lien shall secure only those obligations which it secured on the date hereof and extensions, renewals and replacements thereof that do not increase the outstanding principal amount hereof (other than Liens referred to in the foregoing clauses </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jc w:val="both"/>
        <w:ind w:firstLine="1304"/>
        <w:spacing w:after="0" w:line="251" w:lineRule="auto"/>
        <w:tabs>
          <w:tab w:leader="none" w:pos="1554" w:val="left"/>
        </w:tabs>
        <w:numPr>
          <w:ilvl w:val="0"/>
          <w:numId w:val="3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on property or shares of stock of another Person at the time such other Person becomes a Subsidiary of such Person;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such Liens are not created, Incurred or assumed in connection with, or in contemplation of, such other Person becoming such a Subsidiary;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Liens do not extend to any other property owned by such Person or any of its Subsidiaries, except pursuant to after-acquired property clauses existing in the applicable agreements at the time such Person becomes a Subsidiary which do not extend to property transferred to such Person by the Borrower or a Restricted Subsidiary;</w:t>
      </w:r>
    </w:p>
    <w:p>
      <w:pPr>
        <w:spacing w:after="0" w:line="181" w:lineRule="exact"/>
        <w:rPr>
          <w:rFonts w:ascii="Times New Roman" w:cs="Times New Roman" w:eastAsia="Times New Roman" w:hAnsi="Times New Roman"/>
          <w:sz w:val="22"/>
          <w:szCs w:val="22"/>
          <w:color w:val="auto"/>
        </w:rPr>
      </w:pPr>
    </w:p>
    <w:p>
      <w:pPr>
        <w:jc w:val="both"/>
        <w:ind w:firstLine="1304"/>
        <w:spacing w:after="0" w:line="256" w:lineRule="auto"/>
        <w:tabs>
          <w:tab w:leader="none" w:pos="1629" w:val="left"/>
        </w:tabs>
        <w:numPr>
          <w:ilvl w:val="0"/>
          <w:numId w:val="3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on property at the time such Person or any of its Subsidiaries acquires the property, including any acquisition by means of a merger or consolidation with or into such Person or any Subsidiary of such Person;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such Liens are not created, Incurred or assumed in connection with, or in contemplation of, such acquisition;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Liens do not extend to any other property owned by such Person or any of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44" w:name="page345"/>
    <w:bookmarkEnd w:id="344"/>
    <w:p>
      <w:pPr>
        <w:ind w:firstLine="1304"/>
        <w:spacing w:after="0" w:line="271" w:lineRule="auto"/>
        <w:tabs>
          <w:tab w:leader="none" w:pos="1581" w:val="left"/>
        </w:tabs>
        <w:numPr>
          <w:ilvl w:val="0"/>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Indebtedness or other obligations of a Subsidiary of such Person owing to such Person or a Restricted Subsidiary of such Person;</w:t>
      </w:r>
    </w:p>
    <w:p>
      <w:pPr>
        <w:spacing w:after="0" w:line="157" w:lineRule="exact"/>
        <w:rPr>
          <w:rFonts w:ascii="Times New Roman" w:cs="Times New Roman" w:eastAsia="Times New Roman" w:hAnsi="Times New Roman"/>
          <w:sz w:val="22"/>
          <w:szCs w:val="22"/>
          <w:color w:val="auto"/>
        </w:rPr>
      </w:pPr>
    </w:p>
    <w:p>
      <w:pPr>
        <w:ind w:left="1660" w:hanging="356"/>
        <w:spacing w:after="0"/>
        <w:tabs>
          <w:tab w:leader="none" w:pos="1660" w:val="left"/>
        </w:tabs>
        <w:numPr>
          <w:ilvl w:val="0"/>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Hedging Obligations so long as such Hedging Obligations are permitted to be Incurred under</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w:t>
      </w:r>
    </w:p>
    <w:p>
      <w:pPr>
        <w:spacing w:after="0" w:line="207" w:lineRule="exact"/>
        <w:rPr>
          <w:rFonts w:ascii="Times New Roman" w:cs="Times New Roman" w:eastAsia="Times New Roman" w:hAnsi="Times New Roman"/>
          <w:sz w:val="22"/>
          <w:szCs w:val="22"/>
          <w:color w:val="auto"/>
        </w:rPr>
      </w:pPr>
    </w:p>
    <w:p>
      <w:pPr>
        <w:ind w:firstLine="1304"/>
        <w:spacing w:after="0" w:line="271" w:lineRule="auto"/>
        <w:tabs>
          <w:tab w:leader="none" w:pos="1615" w:val="left"/>
        </w:tabs>
        <w:numPr>
          <w:ilvl w:val="0"/>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assets not constituting Collateral under this Agreement which secure Indebtedness of any Foreign Restricted Subsidiary Incurred under Section 6.01(b)(10);</w:t>
      </w:r>
    </w:p>
    <w:p>
      <w:pPr>
        <w:spacing w:after="0" w:line="157" w:lineRule="exact"/>
        <w:rPr>
          <w:rFonts w:ascii="Times New Roman" w:cs="Times New Roman" w:eastAsia="Times New Roman" w:hAnsi="Times New Roman"/>
          <w:sz w:val="22"/>
          <w:szCs w:val="22"/>
          <w:color w:val="auto"/>
        </w:rPr>
      </w:pPr>
    </w:p>
    <w:p>
      <w:pPr>
        <w:ind w:firstLine="1304"/>
        <w:spacing w:after="0" w:line="271" w:lineRule="auto"/>
        <w:tabs>
          <w:tab w:leader="none" w:pos="1629" w:val="left"/>
        </w:tabs>
        <w:numPr>
          <w:ilvl w:val="0"/>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to secure any Refinancing (or successive Refinancings) as a whole, or in part, of any Indebtedness secured by any Lien referred in the foregoing clauses </w:t>
      </w:r>
      <w:r>
        <w:rPr>
          <w:rFonts w:ascii="Times New Roman" w:cs="Times New Roman" w:eastAsia="Times New Roman" w:hAnsi="Times New Roman"/>
          <w:sz w:val="22"/>
          <w:szCs w:val="22"/>
          <w:b w:val="1"/>
          <w:bCs w:val="1"/>
          <w:color w:val="auto"/>
        </w:rPr>
        <w:t>(h)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(j)</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w:t>
      </w:r>
    </w:p>
    <w:p>
      <w:pPr>
        <w:spacing w:after="0" w:line="171" w:lineRule="exact"/>
        <w:rPr>
          <w:rFonts w:ascii="Times New Roman" w:cs="Times New Roman" w:eastAsia="Times New Roman" w:hAnsi="Times New Roman"/>
          <w:sz w:val="22"/>
          <w:szCs w:val="22"/>
          <w:color w:val="auto"/>
        </w:rPr>
      </w:pPr>
    </w:p>
    <w:p>
      <w:pPr>
        <w:ind w:left="1300" w:firstLine="652"/>
        <w:spacing w:after="0" w:line="271" w:lineRule="auto"/>
        <w:tabs>
          <w:tab w:leader="none" w:pos="2267" w:val="left"/>
        </w:tabs>
        <w:numPr>
          <w:ilvl w:val="1"/>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new Lien shall be limited to all or part of the same property that secured the original Lien (plus improvements, accessions, proceeds, dividends or distributions in respect thereof); and</w:t>
      </w:r>
    </w:p>
    <w:p>
      <w:pPr>
        <w:spacing w:after="0" w:line="157" w:lineRule="exact"/>
        <w:rPr>
          <w:rFonts w:ascii="Times New Roman" w:cs="Times New Roman" w:eastAsia="Times New Roman" w:hAnsi="Times New Roman"/>
          <w:sz w:val="22"/>
          <w:szCs w:val="22"/>
          <w:color w:val="auto"/>
        </w:rPr>
      </w:pPr>
    </w:p>
    <w:p>
      <w:pPr>
        <w:ind w:left="2260" w:hanging="308"/>
        <w:spacing w:after="0"/>
        <w:tabs>
          <w:tab w:leader="none" w:pos="2260" w:val="left"/>
        </w:tabs>
        <w:numPr>
          <w:ilvl w:val="1"/>
          <w:numId w:val="3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Indebtedness secured by such Lien at such time is not increased to any amount greater than the sum</w:t>
      </w:r>
    </w:p>
    <w:p>
      <w:pPr>
        <w:spacing w:after="0" w:line="39" w:lineRule="exact"/>
        <w:rPr>
          <w:rFonts w:ascii="Times New Roman" w:cs="Times New Roman" w:eastAsia="Times New Roman" w:hAnsi="Times New Roman"/>
          <w:sz w:val="21"/>
          <w:szCs w:val="21"/>
          <w:color w:val="auto"/>
        </w:rPr>
      </w:pPr>
    </w:p>
    <w:p>
      <w:pPr>
        <w:ind w:left="13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of:</w:t>
      </w:r>
    </w:p>
    <w:p>
      <w:pPr>
        <w:spacing w:after="0" w:line="195" w:lineRule="exact"/>
        <w:rPr>
          <w:rFonts w:ascii="Times New Roman" w:cs="Times New Roman" w:eastAsia="Times New Roman" w:hAnsi="Times New Roman"/>
          <w:sz w:val="21"/>
          <w:szCs w:val="21"/>
          <w:color w:val="auto"/>
        </w:rPr>
      </w:pPr>
    </w:p>
    <w:p>
      <w:pPr>
        <w:jc w:val="both"/>
        <w:ind w:left="1960" w:firstLine="640"/>
        <w:spacing w:after="0" w:line="263" w:lineRule="auto"/>
        <w:tabs>
          <w:tab w:leader="none" w:pos="2962" w:val="left"/>
        </w:tabs>
        <w:numPr>
          <w:ilvl w:val="2"/>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outstanding principal amount or, if greater, committed amount of the Indebtedness secured by Liens described under clauses </w:t>
      </w:r>
      <w:r>
        <w:rPr>
          <w:rFonts w:ascii="Times New Roman" w:cs="Times New Roman" w:eastAsia="Times New Roman" w:hAnsi="Times New Roman"/>
          <w:sz w:val="22"/>
          <w:szCs w:val="22"/>
          <w:b w:val="1"/>
          <w:bCs w:val="1"/>
          <w:color w:val="auto"/>
        </w:rPr>
        <w:t>(h)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(j)</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(k)</w:t>
      </w:r>
      <w:r>
        <w:rPr>
          <w:rFonts w:ascii="Times New Roman" w:cs="Times New Roman" w:eastAsia="Times New Roman" w:hAnsi="Times New Roman"/>
          <w:sz w:val="22"/>
          <w:szCs w:val="22"/>
          <w:color w:val="auto"/>
        </w:rPr>
        <w:t xml:space="preserve"> at the time the original Lien became a permitted Lien under this Agreement; and</w:t>
      </w:r>
    </w:p>
    <w:p>
      <w:pPr>
        <w:spacing w:after="0" w:line="167" w:lineRule="exact"/>
        <w:rPr>
          <w:rFonts w:ascii="Times New Roman" w:cs="Times New Roman" w:eastAsia="Times New Roman" w:hAnsi="Times New Roman"/>
          <w:sz w:val="22"/>
          <w:szCs w:val="22"/>
          <w:color w:val="auto"/>
        </w:rPr>
      </w:pPr>
    </w:p>
    <w:p>
      <w:pPr>
        <w:ind w:left="1960" w:firstLine="640"/>
        <w:spacing w:after="0" w:line="271" w:lineRule="auto"/>
        <w:tabs>
          <w:tab w:leader="none" w:pos="2990" w:val="left"/>
        </w:tabs>
        <w:numPr>
          <w:ilvl w:val="2"/>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necessary to pay any fees and expenses, including premiums, related to such Refinancings;</w:t>
      </w:r>
    </w:p>
    <w:p>
      <w:pPr>
        <w:spacing w:after="0" w:line="157" w:lineRule="exact"/>
        <w:rPr>
          <w:rFonts w:ascii="Times New Roman" w:cs="Times New Roman" w:eastAsia="Times New Roman" w:hAnsi="Times New Roman"/>
          <w:sz w:val="22"/>
          <w:szCs w:val="22"/>
          <w:color w:val="auto"/>
        </w:rPr>
      </w:pPr>
    </w:p>
    <w:p>
      <w:pPr>
        <w:jc w:val="both"/>
        <w:ind w:firstLine="1304"/>
        <w:spacing w:after="0" w:line="263" w:lineRule="auto"/>
        <w:tabs>
          <w:tab w:leader="none" w:pos="1656" w:val="left"/>
        </w:tabs>
        <w:numPr>
          <w:ilvl w:val="0"/>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accounts receivables and related assets of the type specified in the definition of “Qualified Receivables Transaction” not constituting Collateral under this Agreement Incurred in connection with a Qualified Receivables Transaction;</w:t>
      </w:r>
    </w:p>
    <w:p>
      <w:pPr>
        <w:spacing w:after="0" w:line="167" w:lineRule="exact"/>
        <w:rPr>
          <w:rFonts w:ascii="Times New Roman" w:cs="Times New Roman" w:eastAsia="Times New Roman" w:hAnsi="Times New Roman"/>
          <w:sz w:val="22"/>
          <w:szCs w:val="22"/>
          <w:color w:val="auto"/>
        </w:rPr>
      </w:pPr>
    </w:p>
    <w:p>
      <w:pPr>
        <w:jc w:val="both"/>
        <w:ind w:firstLine="1304"/>
        <w:spacing w:after="0" w:line="257" w:lineRule="auto"/>
        <w:tabs>
          <w:tab w:leader="none" w:pos="1602" w:val="left"/>
        </w:tabs>
        <w:numPr>
          <w:ilvl w:val="0"/>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judgment Liens not giving rise to an Event of Default so long as any appropriate legal proceedings which may have been duly initiated for the review of such judgment have not been finally terminated or the period within which such proceedings may be initiated has not expired;</w:t>
      </w:r>
    </w:p>
    <w:p>
      <w:pPr>
        <w:spacing w:after="0" w:line="172" w:lineRule="exact"/>
        <w:rPr>
          <w:rFonts w:ascii="Times New Roman" w:cs="Times New Roman" w:eastAsia="Times New Roman" w:hAnsi="Times New Roman"/>
          <w:sz w:val="22"/>
          <w:szCs w:val="22"/>
          <w:color w:val="auto"/>
        </w:rPr>
      </w:pPr>
    </w:p>
    <w:p>
      <w:pPr>
        <w:ind w:firstLine="1304"/>
        <w:spacing w:after="0" w:line="284" w:lineRule="auto"/>
        <w:tabs>
          <w:tab w:leader="none" w:pos="1620" w:val="left"/>
        </w:tabs>
        <w:numPr>
          <w:ilvl w:val="0"/>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from Uniform Commercial Code financing statement filings regarding leases that do not otherwise constitute Indebtedness and that are entered into in the ordinary course of business;</w:t>
      </w:r>
    </w:p>
    <w:p>
      <w:pPr>
        <w:spacing w:after="0" w:line="143" w:lineRule="exact"/>
        <w:rPr>
          <w:rFonts w:ascii="Times New Roman" w:cs="Times New Roman" w:eastAsia="Times New Roman" w:hAnsi="Times New Roman"/>
          <w:sz w:val="22"/>
          <w:szCs w:val="22"/>
          <w:color w:val="auto"/>
        </w:rPr>
      </w:pPr>
    </w:p>
    <w:p>
      <w:pPr>
        <w:ind w:firstLine="1304"/>
        <w:spacing w:after="0" w:line="271" w:lineRule="auto"/>
        <w:tabs>
          <w:tab w:leader="none" w:pos="1618" w:val="left"/>
        </w:tabs>
        <w:numPr>
          <w:ilvl w:val="0"/>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leases and subleases of real property which do not materially interfere with the ordinary conduct of the business of the Borrower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45" w:name="page346"/>
    <w:bookmarkEnd w:id="345"/>
    <w:p>
      <w:pPr>
        <w:ind w:right="20" w:firstLine="1304"/>
        <w:spacing w:after="0" w:line="295" w:lineRule="auto"/>
        <w:tabs>
          <w:tab w:leader="none" w:pos="1554" w:val="left"/>
        </w:tabs>
        <w:numPr>
          <w:ilvl w:val="1"/>
          <w:numId w:val="3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which constitute bankers’ Liens, rights of set-off or similar rights and remedies as to deposit accounts or other funds maintained with any bank or other financial institution, whether arising by operation of law or pursuant to contract;</w:t>
      </w:r>
    </w:p>
    <w:p>
      <w:pPr>
        <w:spacing w:after="0" w:line="135" w:lineRule="exact"/>
        <w:rPr>
          <w:rFonts w:ascii="Times New Roman" w:cs="Times New Roman" w:eastAsia="Times New Roman" w:hAnsi="Times New Roman"/>
          <w:sz w:val="21"/>
          <w:szCs w:val="21"/>
          <w:color w:val="auto"/>
        </w:rPr>
      </w:pPr>
    </w:p>
    <w:p>
      <w:pPr>
        <w:jc w:val="both"/>
        <w:ind w:firstLine="1304"/>
        <w:spacing w:after="0" w:line="263" w:lineRule="auto"/>
        <w:tabs>
          <w:tab w:leader="none" w:pos="1642" w:val="left"/>
        </w:tabs>
        <w:numPr>
          <w:ilvl w:val="1"/>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specific items of inventory or other goods (and proceeds thereof) of any Person securing such Person’s obligations in respect of Trade Acceptances issued or created for the account of such Person to facilitate the purchase, shipment or storage of such inventory or other goods;</w:t>
      </w:r>
    </w:p>
    <w:p>
      <w:pPr>
        <w:spacing w:after="0" w:line="167" w:lineRule="exact"/>
        <w:rPr>
          <w:rFonts w:ascii="Times New Roman" w:cs="Times New Roman" w:eastAsia="Times New Roman" w:hAnsi="Times New Roman"/>
          <w:sz w:val="22"/>
          <w:szCs w:val="22"/>
          <w:color w:val="auto"/>
        </w:rPr>
      </w:pPr>
    </w:p>
    <w:p>
      <w:pPr>
        <w:jc w:val="both"/>
        <w:ind w:firstLine="1304"/>
        <w:spacing w:after="0" w:line="257" w:lineRule="auto"/>
        <w:tabs>
          <w:tab w:leader="none" w:pos="1602" w:val="left"/>
        </w:tabs>
        <w:numPr>
          <w:ilvl w:val="1"/>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specific items of inventory or other goods and related documentation (and proceeds thereof) securing reimbursement obligations in respect of trade letters of credit issued to ensure payment of the purchase price for such items of inventory or other goods;</w:t>
      </w:r>
    </w:p>
    <w:p>
      <w:pPr>
        <w:spacing w:after="0" w:line="186" w:lineRule="exact"/>
        <w:rPr>
          <w:rFonts w:ascii="Times New Roman" w:cs="Times New Roman" w:eastAsia="Times New Roman" w:hAnsi="Times New Roman"/>
          <w:sz w:val="22"/>
          <w:szCs w:val="22"/>
          <w:color w:val="auto"/>
        </w:rPr>
      </w:pPr>
    </w:p>
    <w:p>
      <w:pPr>
        <w:ind w:firstLine="1304"/>
        <w:spacing w:after="0" w:line="271" w:lineRule="auto"/>
        <w:tabs>
          <w:tab w:leader="none" w:pos="1663" w:val="left"/>
        </w:tabs>
        <w:numPr>
          <w:ilvl w:val="1"/>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assets not constituting Collateral under this Agreement which secure Indebtedness Incurred under Section 6.01(b)(11) or (13);</w:t>
      </w:r>
    </w:p>
    <w:p>
      <w:pPr>
        <w:spacing w:after="0" w:line="157" w:lineRule="exact"/>
        <w:rPr>
          <w:rFonts w:ascii="Times New Roman" w:cs="Times New Roman" w:eastAsia="Times New Roman" w:hAnsi="Times New Roman"/>
          <w:sz w:val="22"/>
          <w:szCs w:val="22"/>
          <w:color w:val="auto"/>
        </w:rPr>
      </w:pPr>
    </w:p>
    <w:p>
      <w:pPr>
        <w:jc w:val="both"/>
        <w:ind w:firstLine="1304"/>
        <w:spacing w:after="0" w:line="257" w:lineRule="auto"/>
        <w:tabs>
          <w:tab w:leader="none" w:pos="1615" w:val="left"/>
        </w:tabs>
        <w:numPr>
          <w:ilvl w:val="1"/>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on assets subject to Sale/Leaseback Transactions;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aggregate outstanding Attributable Debt in respect of such Liens (other than any such Liens imposed against all or a portion of the Borrower’s properties in Akron, Summit County, Ohio subject to a Sale/Leaseback Transaction) shall not at any time exceed $125,000,000; and</w:t>
      </w:r>
    </w:p>
    <w:p>
      <w:pPr>
        <w:spacing w:after="0" w:line="172" w:lineRule="exact"/>
        <w:rPr>
          <w:rFonts w:ascii="Times New Roman" w:cs="Times New Roman" w:eastAsia="Times New Roman" w:hAnsi="Times New Roman"/>
          <w:sz w:val="22"/>
          <w:szCs w:val="22"/>
          <w:color w:val="auto"/>
        </w:rPr>
      </w:pPr>
    </w:p>
    <w:p>
      <w:pPr>
        <w:jc w:val="both"/>
        <w:ind w:firstLine="1304"/>
        <w:spacing w:after="0" w:line="264" w:lineRule="auto"/>
        <w:tabs>
          <w:tab w:leader="none" w:pos="1642" w:val="left"/>
        </w:tabs>
        <w:numPr>
          <w:ilvl w:val="1"/>
          <w:numId w:val="3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other Liens on assets that do not constitute Collateral to secure Indebtedness as long as the amount of outstanding Indebtedness secured by Liens Incurred pursuant to this clause (y) does not exceed 7.5% of Consolidated assets of the Borrower, as determined based on the consolidated balance sheet of the Borrower as of the end of the most recent fiscal quarter for which financial statements have been filed with the SEC;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notwithstanding whether this clause</w:t>
      </w:r>
    </w:p>
    <w:p>
      <w:pPr>
        <w:ind w:left="320" w:hanging="312"/>
        <w:spacing w:after="0"/>
        <w:tabs>
          <w:tab w:leader="none" w:pos="320" w:val="left"/>
        </w:tabs>
        <w:numPr>
          <w:ilvl w:val="0"/>
          <w:numId w:val="3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would otherwise be available to secure Indebtedness, Liens securing Indebtedness originally secured pursuant to this clause</w:t>
      </w:r>
    </w:p>
    <w:p>
      <w:pPr>
        <w:spacing w:after="0" w:line="3" w:lineRule="exact"/>
        <w:rPr>
          <w:rFonts w:ascii="Times New Roman" w:cs="Times New Roman" w:eastAsia="Times New Roman" w:hAnsi="Times New Roman"/>
          <w:sz w:val="22"/>
          <w:szCs w:val="22"/>
          <w:color w:val="auto"/>
        </w:rPr>
      </w:pPr>
    </w:p>
    <w:p>
      <w:pPr>
        <w:ind w:firstLine="8"/>
        <w:spacing w:after="0" w:line="261" w:lineRule="auto"/>
        <w:tabs>
          <w:tab w:leader="none" w:pos="313" w:val="left"/>
        </w:tabs>
        <w:numPr>
          <w:ilvl w:val="0"/>
          <w:numId w:val="3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may secure Refinancing Indebtedness in respect of such Indebtedness and such Refinancing Indebtedness shall be deemed to have been secured pursuant to this clause (y).</w:t>
      </w:r>
    </w:p>
    <w:p>
      <w:pPr>
        <w:spacing w:after="0" w:line="168"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For the avoidance of doubt, each reference in this Section or any other provision of this Agreement to “assets not constituting Collateral” (or any similar phrase) means assets that (a) are not subject to any Lien securing the Obligations and (b) are not and (absent a change in facts) will not be required under the terms of this Agreement or the Security Documents to be made subject to any Lien securing the Obligations by reason of the nature of, or the identity of the Subsidiary owning, such assets (and not as a result of the existence of any other Lien or any legal or contractual provision preventing such assets from being made subject to Liens securing the Obligations).</w:t>
      </w:r>
    </w:p>
    <w:p>
      <w:pPr>
        <w:spacing w:after="0" w:line="18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6.07. </w:t>
      </w:r>
      <w:r>
        <w:rPr>
          <w:rFonts w:ascii="Times New Roman" w:cs="Times New Roman" w:eastAsia="Times New Roman" w:hAnsi="Times New Roman"/>
          <w:sz w:val="22"/>
          <w:szCs w:val="22"/>
          <w:u w:val="single" w:color="auto"/>
          <w:color w:val="auto"/>
        </w:rPr>
        <w:t>Limitation on Sale/Leaseback Transactions.</w:t>
      </w:r>
      <w:r>
        <w:rPr>
          <w:rFonts w:ascii="Times New Roman" w:cs="Times New Roman" w:eastAsia="Times New Roman" w:hAnsi="Times New Roman"/>
          <w:sz w:val="22"/>
          <w:szCs w:val="22"/>
          <w:color w:val="auto"/>
        </w:rPr>
        <w:t xml:space="preserve"> The Borrower shall not, and shall not permit any Restricted Subsidiary to, enter into any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46" w:name="page347"/>
    <w:bookmarkEnd w:id="346"/>
    <w:p>
      <w:pPr>
        <w:spacing w:after="0"/>
        <w:rPr>
          <w:sz w:val="20"/>
          <w:szCs w:val="20"/>
          <w:color w:val="auto"/>
        </w:rPr>
      </w:pPr>
      <w:r>
        <w:rPr>
          <w:rFonts w:ascii="Times New Roman" w:cs="Times New Roman" w:eastAsia="Times New Roman" w:hAnsi="Times New Roman"/>
          <w:sz w:val="22"/>
          <w:szCs w:val="22"/>
          <w:color w:val="auto"/>
        </w:rPr>
        <w:t>Leaseback Transaction with respect to any property unless the Borrower or such Restricted Subsidiary would be entitled to:</w:t>
      </w:r>
    </w:p>
    <w:p>
      <w:pPr>
        <w:spacing w:after="0" w:line="220" w:lineRule="exact"/>
        <w:rPr>
          <w:sz w:val="20"/>
          <w:szCs w:val="20"/>
          <w:color w:val="auto"/>
        </w:rPr>
      </w:pPr>
    </w:p>
    <w:p>
      <w:pPr>
        <w:ind w:left="1600" w:hanging="296"/>
        <w:spacing w:after="0"/>
        <w:tabs>
          <w:tab w:leader="none" w:pos="1600" w:val="left"/>
        </w:tabs>
        <w:numPr>
          <w:ilvl w:val="0"/>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Incur Indebtedness with respect to such Sale/Leaseback Transaction pursuant to Section 6.01;</w:t>
      </w:r>
    </w:p>
    <w:p>
      <w:pPr>
        <w:spacing w:after="0" w:line="219" w:lineRule="exact"/>
        <w:rPr>
          <w:rFonts w:ascii="Times New Roman" w:cs="Times New Roman" w:eastAsia="Times New Roman" w:hAnsi="Times New Roman"/>
          <w:sz w:val="22"/>
          <w:szCs w:val="22"/>
          <w:color w:val="auto"/>
        </w:rPr>
      </w:pPr>
    </w:p>
    <w:p>
      <w:pPr>
        <w:jc w:val="both"/>
        <w:ind w:firstLine="1304"/>
        <w:spacing w:after="0" w:line="263" w:lineRule="auto"/>
        <w:tabs>
          <w:tab w:leader="none" w:pos="1615" w:val="left"/>
        </w:tabs>
        <w:numPr>
          <w:ilvl w:val="0"/>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create a Lien on such property securing such Indebtedness pursuant to Section 6.06(x) or, to the extent the assets subject to such Sale/Leaseback do not constitute Collateral under this Agreement, create a Lien on such property pursuant to the provisions of Section 6.06;</w:t>
      </w:r>
    </w:p>
    <w:p>
      <w:pPr>
        <w:spacing w:after="0" w:line="167" w:lineRule="exact"/>
        <w:rPr>
          <w:rFonts w:ascii="Times New Roman" w:cs="Times New Roman" w:eastAsia="Times New Roman" w:hAnsi="Times New Roman"/>
          <w:sz w:val="22"/>
          <w:szCs w:val="22"/>
          <w:color w:val="auto"/>
        </w:rPr>
      </w:pPr>
    </w:p>
    <w:p>
      <w:pPr>
        <w:ind w:firstLine="1304"/>
        <w:spacing w:after="0" w:line="271" w:lineRule="auto"/>
        <w:tabs>
          <w:tab w:leader="none" w:pos="1657" w:val="left"/>
        </w:tabs>
        <w:numPr>
          <w:ilvl w:val="0"/>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gross proceeds payable to the Borrower or such Restricted Subsidiary in connection with such Sale/Leaseback Transaction are at least equal to the Fair Market Value of such property; and</w:t>
      </w:r>
    </w:p>
    <w:p>
      <w:pPr>
        <w:spacing w:after="0" w:line="157" w:lineRule="exact"/>
        <w:rPr>
          <w:rFonts w:ascii="Times New Roman" w:cs="Times New Roman" w:eastAsia="Times New Roman" w:hAnsi="Times New Roman"/>
          <w:sz w:val="22"/>
          <w:szCs w:val="22"/>
          <w:color w:val="auto"/>
        </w:rPr>
      </w:pPr>
    </w:p>
    <w:p>
      <w:pPr>
        <w:ind w:firstLine="1304"/>
        <w:spacing w:after="0" w:line="284" w:lineRule="auto"/>
        <w:tabs>
          <w:tab w:leader="none" w:pos="1629" w:val="left"/>
        </w:tabs>
        <w:numPr>
          <w:ilvl w:val="0"/>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transfer of such property is permitted by, and, if applicable, the Borrower applies the proceeds of such transaction in compliance with, Section 6.04.</w:t>
      </w:r>
    </w:p>
    <w:p>
      <w:pPr>
        <w:spacing w:after="0" w:line="144"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6.08. </w:t>
      </w:r>
      <w:r>
        <w:rPr>
          <w:rFonts w:ascii="Times New Roman" w:cs="Times New Roman" w:eastAsia="Times New Roman" w:hAnsi="Times New Roman"/>
          <w:sz w:val="22"/>
          <w:szCs w:val="22"/>
          <w:u w:val="single" w:color="auto"/>
          <w:color w:val="auto"/>
        </w:rPr>
        <w:t>Fundamental Changes.</w:t>
      </w:r>
      <w:r>
        <w:rPr>
          <w:rFonts w:ascii="Times New Roman" w:cs="Times New Roman" w:eastAsia="Times New Roman" w:hAnsi="Times New Roman"/>
          <w:sz w:val="22"/>
          <w:szCs w:val="22"/>
          <w:color w:val="auto"/>
        </w:rPr>
        <w:t xml:space="preserve"> The Borrower will not, and will not permit any Restricted Subsidiary to, merge into, amalgamate or consolidate with any other Person, or permit any other Person to merge into, amalgamate or consolidate with it, or sell, transfer, lease or otherwise dispose of (in one transaction or in a series of transactions) assets (including Capital Stock of Subsidiaries) constituting all or substantially all the assets of the Borrower and its Consolidated Subsidiaries, taken as a whole, or, in the case of the Borrower, liquidate or dissolve, except that, if at the time thereof and immediately after giving effect thereto no Default shall have occurred and be continuing (i) any Restricted Subsidiary may merge into the Borrower in a transaction in which the Borrower is the surviving corporation, (ii) any Restricted Subsidiary may merge into any other Restricted Subsidiary in a transaction in which the surviving entity is a Restricted Subsidiary; except that no Domestic Subsidiary may merge into a Foreign Subsidiary, (iii) any sale of a Restricted Subsidiary made in accordance with Section 6.04 may be effected by a merger of such Restricted Subsidiary and (iv) any Restricted Subsidiary may sell, transfer, lease or otherwise dispose of its assets to the Borrower or to another Restricted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Investment that takes the form of a merger, amalgamation or consolidation (other than any merger, amalgamation or consolidation involving the Borrower) that is expressly permitted by Section 6.02 shall be permitted under this Section 6.08.</w:t>
      </w:r>
    </w:p>
    <w:p>
      <w:pPr>
        <w:spacing w:after="0" w:line="19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6.09. </w:t>
      </w:r>
      <w:r>
        <w:rPr>
          <w:rFonts w:ascii="Times New Roman" w:cs="Times New Roman" w:eastAsia="Times New Roman" w:hAnsi="Times New Roman"/>
          <w:sz w:val="22"/>
          <w:szCs w:val="22"/>
          <w:u w:val="single" w:color="auto"/>
          <w:color w:val="auto"/>
        </w:rPr>
        <w:t>Consolidated Coverage Ratio.</w:t>
      </w:r>
      <w:r>
        <w:rPr>
          <w:rFonts w:ascii="Times New Roman" w:cs="Times New Roman" w:eastAsia="Times New Roman" w:hAnsi="Times New Roman"/>
          <w:sz w:val="22"/>
          <w:szCs w:val="22"/>
          <w:color w:val="auto"/>
        </w:rPr>
        <w:t xml:space="preserve"> The Borrower will not at any time when the requirements of this Section 6.09 apply permit the Consolidated Coverage Ratio for the most recent period of four consecutive fiscal quarters ending on the last day of the most recent fiscal quarter for which financial statements have been filed with the SEC prior to such time to be less than 2.00 to 1.00. On each occasion that the Available Commitments shall for five consecutive Business Days be less than $275,000,000, the requirements of this Section 6.09 shall apply from such fifth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47" w:name="page348"/>
    <w:bookmarkEnd w:id="347"/>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Day to the first day thereafter as of which Available Commitments shall for 10 consecutive Business Days have been equal to or greater than $275,000,000.</w:t>
      </w:r>
    </w:p>
    <w:p>
      <w:pPr>
        <w:spacing w:after="0" w:line="15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6.10. </w:t>
      </w:r>
      <w:r>
        <w:rPr>
          <w:rFonts w:ascii="Times New Roman" w:cs="Times New Roman" w:eastAsia="Times New Roman" w:hAnsi="Times New Roman"/>
          <w:sz w:val="22"/>
          <w:szCs w:val="22"/>
          <w:u w:val="single" w:color="auto"/>
          <w:color w:val="auto"/>
        </w:rPr>
        <w:t>Anti-Corruption Laws and Sanctions.</w:t>
      </w:r>
      <w:r>
        <w:rPr>
          <w:rFonts w:ascii="Times New Roman" w:cs="Times New Roman" w:eastAsia="Times New Roman" w:hAnsi="Times New Roman"/>
          <w:sz w:val="22"/>
          <w:szCs w:val="22"/>
          <w:color w:val="auto"/>
        </w:rPr>
        <w:t xml:space="preserve"> (a) The Borrower will not request any Borrowing or Letter of Credit, and the Borrower shall not use, and shall procure that its Subsidiaries shall not use, the proceeds of any Borrowing or any Letter of Credit in furtherance of an offer, payment, promise to pay, or authorization of the payment or giving of money, or anything else of value, to any Person in violation of any Anti-Corruption Laws where such violation would be material to the rights or interests of the Lenders.</w:t>
      </w:r>
    </w:p>
    <w:p>
      <w:pPr>
        <w:spacing w:after="0" w:line="179" w:lineRule="exact"/>
        <w:rPr>
          <w:sz w:val="20"/>
          <w:szCs w:val="20"/>
          <w:color w:val="auto"/>
        </w:rPr>
      </w:pPr>
    </w:p>
    <w:p>
      <w:pPr>
        <w:jc w:val="both"/>
        <w:ind w:firstLine="1304"/>
        <w:spacing w:after="0" w:line="251" w:lineRule="auto"/>
        <w:tabs>
          <w:tab w:leader="none" w:pos="1615" w:val="left"/>
        </w:tabs>
        <w:numPr>
          <w:ilvl w:val="0"/>
          <w:numId w:val="3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will not request any Borrowing or Letter of Credit, and the Borrower shall not use, and shall procure that its Subsidiaries shall not use, the proceeds of any Borrowing or any Letter of Credit, (i) for the purpose of funding any activity, business or transaction of or with any Sanctioned Person or in any Sanctioned Country, to the extent such activity, business or transaction would be prohibited by Sanctions if conducted by a Person organized or formed under the laws of the United States or (ii) in any other manner that would result in a violation of Sanctions by the Borrower or any of its Subsidiaries where such violation referred to in this clause (ii) would be material to the rights or interests of the Lenders.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VII</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Events of Default</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 xml:space="preserve">SECTION 7.01. </w:t>
      </w:r>
      <w:r>
        <w:rPr>
          <w:rFonts w:ascii="Times New Roman" w:cs="Times New Roman" w:eastAsia="Times New Roman" w:hAnsi="Times New Roman"/>
          <w:sz w:val="22"/>
          <w:szCs w:val="22"/>
          <w:u w:val="single" w:color="auto"/>
          <w:color w:val="auto"/>
        </w:rPr>
        <w:t>Events of Default.</w:t>
      </w:r>
      <w:r>
        <w:rPr>
          <w:rFonts w:ascii="Times New Roman" w:cs="Times New Roman" w:eastAsia="Times New Roman" w:hAnsi="Times New Roman"/>
          <w:sz w:val="22"/>
          <w:szCs w:val="22"/>
          <w:color w:val="auto"/>
        </w:rPr>
        <w:t xml:space="preserve"> If any of the following events (“</w:t>
      </w:r>
      <w:r>
        <w:rPr>
          <w:rFonts w:ascii="Times New Roman" w:cs="Times New Roman" w:eastAsia="Times New Roman" w:hAnsi="Times New Roman"/>
          <w:sz w:val="22"/>
          <w:szCs w:val="22"/>
          <w:u w:val="single" w:color="auto"/>
          <w:color w:val="auto"/>
        </w:rPr>
        <w:t>Events of Default</w:t>
      </w:r>
      <w:r>
        <w:rPr>
          <w:rFonts w:ascii="Times New Roman" w:cs="Times New Roman" w:eastAsia="Times New Roman" w:hAnsi="Times New Roman"/>
          <w:sz w:val="22"/>
          <w:szCs w:val="22"/>
          <w:color w:val="auto"/>
        </w:rPr>
        <w:t>”) shall occur:</w:t>
      </w:r>
    </w:p>
    <w:p>
      <w:pPr>
        <w:spacing w:after="0" w:line="220" w:lineRule="exact"/>
        <w:rPr>
          <w:sz w:val="20"/>
          <w:szCs w:val="20"/>
          <w:color w:val="auto"/>
        </w:rPr>
      </w:pPr>
    </w:p>
    <w:p>
      <w:pPr>
        <w:jc w:val="both"/>
        <w:ind w:firstLine="1304"/>
        <w:spacing w:after="0" w:line="257" w:lineRule="auto"/>
        <w:tabs>
          <w:tab w:leader="none" w:pos="1590" w:val="left"/>
        </w:tabs>
        <w:numPr>
          <w:ilvl w:val="0"/>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186" w:lineRule="exact"/>
        <w:rPr>
          <w:rFonts w:ascii="Times New Roman" w:cs="Times New Roman" w:eastAsia="Times New Roman" w:hAnsi="Times New Roman"/>
          <w:sz w:val="22"/>
          <w:szCs w:val="22"/>
          <w:color w:val="auto"/>
        </w:rPr>
      </w:pPr>
    </w:p>
    <w:p>
      <w:pPr>
        <w:jc w:val="both"/>
        <w:ind w:firstLine="1304"/>
        <w:spacing w:after="0" w:line="250" w:lineRule="auto"/>
        <w:tabs>
          <w:tab w:leader="none" w:pos="1602" w:val="left"/>
        </w:tabs>
        <w:numPr>
          <w:ilvl w:val="0"/>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fail to pay any interest on any Loan or any fee or any other amount (other than an amount referred to in clause (a) of this Article) payable under this Agreement or any other Credit Document, when and as the same shall become due and payable, and such failure shall continue unremedied for a period of (i) in the case of fees and interest payable under Sections 2.10 and 2.11, respectively, five Business Days, and (ii) in the case of any other fees, interest or other amounts (other than those referred to in clause (a) of this Section 7.01), five Business Days after the earlier of (A) the day on which a Financial Officer first obtains knowledge of such failure and (B) the day on which written notice of such failure shall have been given to the Borrower by the Administrative Agent or any Lender or Issuing Bank;</w:t>
      </w:r>
    </w:p>
    <w:p>
      <w:pPr>
        <w:spacing w:after="0" w:line="180" w:lineRule="exact"/>
        <w:rPr>
          <w:rFonts w:ascii="Times New Roman" w:cs="Times New Roman" w:eastAsia="Times New Roman" w:hAnsi="Times New Roman"/>
          <w:sz w:val="22"/>
          <w:szCs w:val="22"/>
          <w:color w:val="auto"/>
        </w:rPr>
      </w:pPr>
    </w:p>
    <w:p>
      <w:pPr>
        <w:ind w:right="20" w:firstLine="1304"/>
        <w:spacing w:after="0" w:line="271" w:lineRule="auto"/>
        <w:tabs>
          <w:tab w:leader="none" w:pos="1617" w:val="left"/>
        </w:tabs>
        <w:numPr>
          <w:ilvl w:val="0"/>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representation or warranty made or deemed made by or on behalf of any Credit Party in any Credit Document or any amendment or modification thereof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48" w:name="page349"/>
    <w:bookmarkEnd w:id="348"/>
    <w:p>
      <w:pPr>
        <w:spacing w:after="0" w:line="271" w:lineRule="auto"/>
        <w:rPr>
          <w:sz w:val="20"/>
          <w:szCs w:val="20"/>
          <w:color w:val="auto"/>
        </w:rPr>
      </w:pPr>
      <w:r>
        <w:rPr>
          <w:rFonts w:ascii="Times New Roman" w:cs="Times New Roman" w:eastAsia="Times New Roman" w:hAnsi="Times New Roman"/>
          <w:sz w:val="22"/>
          <w:szCs w:val="22"/>
          <w:color w:val="auto"/>
        </w:rPr>
        <w:t>waiver thereunder shall prove to have been incorrect when made or deemed made in any respect material to the rights or interests of the Lenders under the Credit Documents;</w:t>
      </w:r>
    </w:p>
    <w:p>
      <w:pPr>
        <w:spacing w:after="0" w:line="158" w:lineRule="exact"/>
        <w:rPr>
          <w:sz w:val="20"/>
          <w:szCs w:val="20"/>
          <w:color w:val="auto"/>
        </w:rPr>
      </w:pPr>
    </w:p>
    <w:p>
      <w:pPr>
        <w:ind w:firstLine="1304"/>
        <w:spacing w:after="0" w:line="284" w:lineRule="auto"/>
        <w:tabs>
          <w:tab w:leader="none" w:pos="1602" w:val="left"/>
        </w:tabs>
        <w:numPr>
          <w:ilvl w:val="1"/>
          <w:numId w:val="3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fail to observe or perform any covenant, condition or agreement contained in Section 5.02, 5.03 (with respect to the Borrower’s existence) or 5.08 or in Article VI;</w:t>
      </w:r>
    </w:p>
    <w:p>
      <w:pPr>
        <w:spacing w:after="0" w:line="143" w:lineRule="exact"/>
        <w:rPr>
          <w:rFonts w:ascii="Times New Roman" w:cs="Times New Roman" w:eastAsia="Times New Roman" w:hAnsi="Times New Roman"/>
          <w:sz w:val="22"/>
          <w:szCs w:val="22"/>
          <w:color w:val="auto"/>
        </w:rPr>
      </w:pPr>
    </w:p>
    <w:p>
      <w:pPr>
        <w:jc w:val="both"/>
        <w:ind w:firstLine="1304"/>
        <w:spacing w:after="0" w:line="251" w:lineRule="auto"/>
        <w:tabs>
          <w:tab w:leader="none" w:pos="1590" w:val="left"/>
        </w:tabs>
        <w:numPr>
          <w:ilvl w:val="1"/>
          <w:numId w:val="3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Credit Party shall fail to observe or perform any covenant, condition or agreement contained in any Credit Document (other than those specified in clauses (a), (b), and (d) of this Article), and such failure shall continue unremedied for a period of 30 days after written notice thereof from the Administrative Agent to the Borrower (which notice will be given at the request of any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failure of any Credit Party to perform any covenant, condition or agreement made in any Credit Document (other than this Agreement) shall not constitute an Event of Default unless such failure shall be (i) willful or (ii) material to the rights or interests of the Lenders under the Credit Documents;</w:t>
      </w:r>
    </w:p>
    <w:p>
      <w:pPr>
        <w:spacing w:after="0" w:line="181" w:lineRule="exact"/>
        <w:rPr>
          <w:rFonts w:ascii="Times New Roman" w:cs="Times New Roman" w:eastAsia="Times New Roman" w:hAnsi="Times New Roman"/>
          <w:sz w:val="22"/>
          <w:szCs w:val="22"/>
          <w:color w:val="auto"/>
        </w:rPr>
      </w:pPr>
    </w:p>
    <w:p>
      <w:pPr>
        <w:jc w:val="both"/>
        <w:ind w:firstLine="1304"/>
        <w:spacing w:after="0" w:line="259" w:lineRule="auto"/>
        <w:tabs>
          <w:tab w:leader="none" w:pos="1593" w:val="left"/>
        </w:tabs>
        <w:numPr>
          <w:ilvl w:val="1"/>
          <w:numId w:val="3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or any Consolidated Subsidiary shall fail to make any payment of principal in respect of any Material Indebtedness at the scheduled due date thereof and such failure shall continue beyond any applicable grace period, or any event or condition occurs that results in any Material Indebtedness (other than any Qualified Receivables Transaction existing on March 31, 2003) becoming due or being required to be prepaid, repurchased, redeemed, defeased or terminated prior to its scheduled maturity (other than, in the case of any Qualified Receivables Transaction, any event or condition not caused by an act or omission of the Borrower or any Subsidiary, if the Borrower shall furnish to the Administrative Agent a certificate to the effect that after the termination of such Qualified Receivables Transaction the Borrower and the Subsidiaries that are a party thereto have sufficient liquidity to operate their businesses in the ordinary course);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this clause (f) shall not apply to</w:t>
      </w:r>
    </w:p>
    <w:p>
      <w:pPr>
        <w:spacing w:after="0" w:line="4" w:lineRule="exact"/>
        <w:rPr>
          <w:rFonts w:ascii="Times New Roman" w:cs="Times New Roman" w:eastAsia="Times New Roman" w:hAnsi="Times New Roman"/>
          <w:sz w:val="21"/>
          <w:szCs w:val="21"/>
          <w:color w:val="auto"/>
        </w:rPr>
      </w:pPr>
    </w:p>
    <w:p>
      <w:pPr>
        <w:jc w:val="both"/>
        <w:ind w:firstLine="8"/>
        <w:spacing w:after="0" w:line="249" w:lineRule="auto"/>
        <w:tabs>
          <w:tab w:leader="none" w:pos="282" w:val="left"/>
        </w:tabs>
        <w:numPr>
          <w:ilvl w:val="0"/>
          <w:numId w:val="3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secured Indebtedness that becomes due as a result of the voluntary sale or transfer of the property or assets securing such Indebtedness in accordance with the terms and conditions of this Agreement or (ii) Material Indebtedness of any Foreign Subsidiary if the Borrower is unable, due to applicable law restricting Investments in such Foreign Subsidiary, to make an Investment in such Foreign Subsidiary to fund the payment of such Material Indebtedness;</w:t>
      </w:r>
    </w:p>
    <w:p>
      <w:pPr>
        <w:spacing w:after="0" w:line="181" w:lineRule="exact"/>
        <w:rPr>
          <w:rFonts w:ascii="Times New Roman" w:cs="Times New Roman" w:eastAsia="Times New Roman" w:hAnsi="Times New Roman"/>
          <w:sz w:val="22"/>
          <w:szCs w:val="22"/>
          <w:color w:val="auto"/>
        </w:rPr>
      </w:pPr>
    </w:p>
    <w:p>
      <w:pPr>
        <w:jc w:val="both"/>
        <w:ind w:firstLine="1304"/>
        <w:spacing w:after="0" w:line="250" w:lineRule="auto"/>
        <w:tabs>
          <w:tab w:leader="none" w:pos="1615" w:val="left"/>
        </w:tabs>
        <w:numPr>
          <w:ilvl w:val="1"/>
          <w:numId w:val="3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event or condition occurs that continues beyond any applicable grace period and enables or permits the holder or holders of any Material Indebtedness (other than any Qualified Receivables Transaction existing on March 31, 2003) or any trustee or agent on its or their behalf to cause such Material Indebtedness to become due, or to require the prepayment, repurchase, redemption, defeasance or termination thereof, prior to its scheduled maturity;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 no Event of Default shall occur under this clause (g) as a result of any event or condition relating to any Qualified Receivables Transaction, other than any default in the payment of principal or interest thereunder and (ii) this clause (g) shall not apply to (A) secured Indebtedness that becomes due as a result of the voluntary sale or transfer of the property or assets securing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49" w:name="page350"/>
    <w:bookmarkEnd w:id="349"/>
    <w:p>
      <w:pPr>
        <w:jc w:val="both"/>
        <w:spacing w:after="0" w:line="257" w:lineRule="auto"/>
        <w:rPr>
          <w:sz w:val="20"/>
          <w:szCs w:val="20"/>
          <w:color w:val="auto"/>
        </w:rPr>
      </w:pPr>
      <w:r>
        <w:rPr>
          <w:rFonts w:ascii="Times New Roman" w:cs="Times New Roman" w:eastAsia="Times New Roman" w:hAnsi="Times New Roman"/>
          <w:sz w:val="22"/>
          <w:szCs w:val="22"/>
          <w:color w:val="auto"/>
        </w:rPr>
        <w:t>Indebtedness in accordance with the terms and conditions of this Agreement or (B) Material Indebtedness of any Foreign Subsidiary if the Borrower is unable, due to applicable law restricting Investments in such Foreign Subsidiary, to make an Investment in such Foreign Subsidiary to fund the payment of such Material Indebtedness;</w:t>
      </w:r>
    </w:p>
    <w:p>
      <w:pPr>
        <w:spacing w:after="0" w:line="186" w:lineRule="exact"/>
        <w:rPr>
          <w:sz w:val="20"/>
          <w:szCs w:val="20"/>
          <w:color w:val="auto"/>
        </w:rPr>
      </w:pPr>
    </w:p>
    <w:p>
      <w:pPr>
        <w:jc w:val="both"/>
        <w:ind w:firstLine="1304"/>
        <w:spacing w:after="0" w:line="250" w:lineRule="auto"/>
        <w:tabs>
          <w:tab w:leader="none" w:pos="1602" w:val="left"/>
        </w:tabs>
        <w:numPr>
          <w:ilvl w:val="0"/>
          <w:numId w:val="3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involuntary proceeding shall be commenced or an involuntary petition shall be filed seeking (i) liquidation, reorganization, bankruptcy, moratorium, suspension of payment or other relief in respect of the Borrower or any Material Subsidiary or its debts, or of a substantial part of its assets, under any Federal, state or foreign bankruptcy, insolvency, receivership or similar law now or hereafter in effect or (ii) the appointment of a receiver, trustee in bankruptcy, custodian, sequestrator, conservator or similar official for the Borrower or any Material Subsidiary or for a substantial part of its assets, and, in any such case, such proceeding or petition shall continue undismissed for 90 days or an order or decree approving or ordering any of the foregoing shall be entered;</w:t>
      </w:r>
    </w:p>
    <w:p>
      <w:pPr>
        <w:spacing w:after="0" w:line="180" w:lineRule="exact"/>
        <w:rPr>
          <w:rFonts w:ascii="Times New Roman" w:cs="Times New Roman" w:eastAsia="Times New Roman" w:hAnsi="Times New Roman"/>
          <w:sz w:val="22"/>
          <w:szCs w:val="22"/>
          <w:color w:val="auto"/>
        </w:rPr>
      </w:pPr>
    </w:p>
    <w:p>
      <w:pPr>
        <w:jc w:val="both"/>
        <w:ind w:firstLine="1304"/>
        <w:spacing w:after="0" w:line="250" w:lineRule="auto"/>
        <w:tabs>
          <w:tab w:leader="none" w:pos="1567" w:val="left"/>
        </w:tabs>
        <w:numPr>
          <w:ilvl w:val="0"/>
          <w:numId w:val="3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or any Material Subsidiary shall (i) voluntarily commence any proceeding or file any petition seeking liquidation, reorganization, bankruptcy, moratorium, suspension of payment or other relief under any Federal, state or foreign bankruptcy, insolvency, receivership or similar law now or hereafter in effect, (ii) consent to the institution of, or fail to contest in a timely and appropriate manner, any proceeding or petition described in clause (h) of this Article, (iii) apply for or consent to the appointment of a receiver, trustee in bankruptcy, custodian, sequestrator, conservator or similar official for the Borrower or any Material Subsidiary or for a substantial part of its assets, (iv) make a general assignment for the benefit of creditors or (v) take any action for the purpose of effecting any of the foregoing;</w:t>
      </w:r>
    </w:p>
    <w:p>
      <w:pPr>
        <w:spacing w:after="0" w:line="180" w:lineRule="exact"/>
        <w:rPr>
          <w:rFonts w:ascii="Times New Roman" w:cs="Times New Roman" w:eastAsia="Times New Roman" w:hAnsi="Times New Roman"/>
          <w:sz w:val="22"/>
          <w:szCs w:val="22"/>
          <w:color w:val="auto"/>
        </w:rPr>
      </w:pPr>
    </w:p>
    <w:p>
      <w:pPr>
        <w:ind w:left="1560" w:hanging="256"/>
        <w:spacing w:after="0"/>
        <w:tabs>
          <w:tab w:leader="none" w:pos="1560" w:val="left"/>
        </w:tabs>
        <w:numPr>
          <w:ilvl w:val="0"/>
          <w:numId w:val="3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or any Material Subsidiary shall admit in writing its inability or fail generally to pay its debts as</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they become due;</w:t>
      </w:r>
    </w:p>
    <w:p>
      <w:pPr>
        <w:spacing w:after="0" w:line="209" w:lineRule="exact"/>
        <w:rPr>
          <w:rFonts w:ascii="Times New Roman" w:cs="Times New Roman" w:eastAsia="Times New Roman" w:hAnsi="Times New Roman"/>
          <w:sz w:val="22"/>
          <w:szCs w:val="22"/>
          <w:color w:val="auto"/>
        </w:rPr>
      </w:pPr>
    </w:p>
    <w:p>
      <w:pPr>
        <w:ind w:firstLine="1304"/>
        <w:spacing w:after="0" w:line="271" w:lineRule="auto"/>
        <w:tabs>
          <w:tab w:leader="none" w:pos="1642" w:val="left"/>
        </w:tabs>
        <w:numPr>
          <w:ilvl w:val="0"/>
          <w:numId w:val="3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ERISA Event shall have occurred that, when taken together with all other ERISA Events that have occurred, would be materially likely to result in a Material Adverse Change;</w:t>
      </w:r>
    </w:p>
    <w:p>
      <w:pPr>
        <w:spacing w:after="0" w:line="157" w:lineRule="exact"/>
        <w:rPr>
          <w:rFonts w:ascii="Times New Roman" w:cs="Times New Roman" w:eastAsia="Times New Roman" w:hAnsi="Times New Roman"/>
          <w:sz w:val="22"/>
          <w:szCs w:val="22"/>
          <w:color w:val="auto"/>
        </w:rPr>
      </w:pPr>
    </w:p>
    <w:p>
      <w:pPr>
        <w:ind w:left="1560" w:hanging="256"/>
        <w:spacing w:after="0"/>
        <w:tabs>
          <w:tab w:leader="none" w:pos="1560" w:val="left"/>
        </w:tabs>
        <w:numPr>
          <w:ilvl w:val="0"/>
          <w:numId w:val="3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created under the Security Documents shall not be valid and perfected Liens on a material portion of the</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Collateral;</w:t>
      </w:r>
    </w:p>
    <w:p>
      <w:pPr>
        <w:spacing w:after="0" w:line="195" w:lineRule="exact"/>
        <w:rPr>
          <w:rFonts w:ascii="Times New Roman" w:cs="Times New Roman" w:eastAsia="Times New Roman" w:hAnsi="Times New Roman"/>
          <w:sz w:val="21"/>
          <w:szCs w:val="21"/>
          <w:color w:val="auto"/>
        </w:rPr>
      </w:pPr>
    </w:p>
    <w:p>
      <w:pPr>
        <w:jc w:val="both"/>
        <w:ind w:right="20" w:firstLine="1304"/>
        <w:spacing w:after="0" w:line="263" w:lineRule="auto"/>
        <w:tabs>
          <w:tab w:leader="none" w:pos="1689" w:val="left"/>
        </w:tabs>
        <w:numPr>
          <w:ilvl w:val="0"/>
          <w:numId w:val="3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Guarantee of the Obligations under the Guarantee and Collateral Agreement or the Canadian Security Agreements shall fail to be a valid, binding and enforceable Guarantee of one or more Subsidiary Guarantors where such failure would constitute or be materially likely to result in a Material Adverse Change; or</w:t>
      </w:r>
    </w:p>
    <w:p>
      <w:pPr>
        <w:spacing w:after="0" w:line="167" w:lineRule="exact"/>
        <w:rPr>
          <w:rFonts w:ascii="Times New Roman" w:cs="Times New Roman" w:eastAsia="Times New Roman" w:hAnsi="Times New Roman"/>
          <w:sz w:val="22"/>
          <w:szCs w:val="22"/>
          <w:color w:val="auto"/>
        </w:rPr>
      </w:pPr>
    </w:p>
    <w:p>
      <w:pPr>
        <w:ind w:left="1600" w:hanging="296"/>
        <w:spacing w:after="0"/>
        <w:tabs>
          <w:tab w:leader="none" w:pos="1600" w:val="left"/>
        </w:tabs>
        <w:numPr>
          <w:ilvl w:val="0"/>
          <w:numId w:val="3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Control shall occur;</w:t>
      </w:r>
    </w:p>
    <w:p>
      <w:pPr>
        <w:spacing w:after="0" w:line="22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then, and in every such event (other than an event with respect to the Borrower described in clause (h) or (i) of this Article), and at any time thereafter during the continuance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50" w:name="page351"/>
    <w:bookmarkEnd w:id="350"/>
    <w:p>
      <w:pPr>
        <w:jc w:val="both"/>
        <w:spacing w:after="0" w:line="247" w:lineRule="auto"/>
        <w:rPr>
          <w:sz w:val="20"/>
          <w:szCs w:val="20"/>
          <w:color w:val="auto"/>
        </w:rPr>
      </w:pPr>
      <w:r>
        <w:rPr>
          <w:rFonts w:ascii="Times New Roman" w:cs="Times New Roman" w:eastAsia="Times New Roman" w:hAnsi="Times New Roman"/>
          <w:sz w:val="22"/>
          <w:szCs w:val="22"/>
          <w:color w:val="auto"/>
        </w:rPr>
        <w:t>such event, the Administrative Agent may, and at the request of the Majority Lenders shall, by notice to the Borrower, take any or all of the following actions, at the same or different times: (i) terminate the Commitments, and thereupon the Commitments and each LC Commitment shall immediately be terminated,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and (iii) demand cash collateral with respect to any Letter of Credit pursuant to Section 2.03(j) (it being agreed that such demand will be deemed to have been made with respect to all Letters of Credit if any Loans are declared to be due and payable as provided in the preceding clause (ii)); and in case of any event with respect to the Borrower described in clause (h) or (i) of this Article, the Commitments shall automatically be terminated, and the principal of the Loans then outstanding, together with accrued interest thereon and all fees and other obligations of the Borrower accrued hereunder, shall automatically become due and payable, and the Borrower’s obligation to provide cash collateral for Letters of Credit shall become effective, in each case without presentment, demand, protest or other notice of any kind, all of which are hereby waived by the Borrower.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VIII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The Agents</w:t>
      </w:r>
    </w:p>
    <w:p>
      <w:pPr>
        <w:spacing w:after="0" w:line="22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Each of the Lenders and Issuing Banks hereby irrevocably appoints the Agents as its agents and authorizes the Agents to take such actions on its behalf and to exercise such powers as are delegated to the Agents by the terms hereof and of the other Credit Documents, together with such actions and powers as are reasonably incidental thereto.</w:t>
      </w:r>
    </w:p>
    <w:p>
      <w:pPr>
        <w:spacing w:after="0" w:line="186"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The bank or banks serving as the Agents hereunder shall have the same rights and powers in their capacity as Lenders or Issuing Banks as any other Lender or Issuing Bank and may exercise the same as though they were not Agents, and such bank or banks and their Affiliates may accept deposits from, lend money to and generally engage in any kind of business with the Borrower or any Subsidiary or other Affiliate thereof as if they were not Agents hereunder. The Agents shall not have any duties or obligations except those expressly set forth herein. Without limiting the generality of the foregoing (a) the Agents shall not be subject to any fiduciary or other implied duties, regardless of whether a Default has occurred and is continuing, (b) the Agents shall not have any duty to take any discretionary action or exercise any discretionary powers, except discretionary rights and powers expressly contemplated hereby that the Agents are required to exercise in writing by the Majority Lenders, and (c) except as expressly set forth herein, the Agents shall not have any duty to disclose, and shall not be liable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51" w:name="page352"/>
    <w:bookmarkEnd w:id="351"/>
    <w:p>
      <w:pPr>
        <w:jc w:val="both"/>
        <w:spacing w:after="0" w:line="247" w:lineRule="auto"/>
        <w:rPr>
          <w:sz w:val="20"/>
          <w:szCs w:val="20"/>
          <w:color w:val="auto"/>
        </w:rPr>
      </w:pPr>
      <w:r>
        <w:rPr>
          <w:rFonts w:ascii="Times New Roman" w:cs="Times New Roman" w:eastAsia="Times New Roman" w:hAnsi="Times New Roman"/>
          <w:sz w:val="22"/>
          <w:szCs w:val="22"/>
          <w:color w:val="auto"/>
        </w:rPr>
        <w:t>failure to disclose, any information communicated to the Agents by or relating to the Borrower or any Subsidiary. The Agents shall not be liable for any action taken or not taken by them with the consent or at the request of the Majority Lenders or the Lenders, as the case may be, or in the absence of their own gross negligence or willful misconduct. In addition, the Agents shall be deemed not to have knowledge of any Default unless and until written notice thereof is given to the Agents by the Borrower or a Lender or Issuing Bank, and the Agents shall not be responsible for or have any duty to ascertain or inquire into (i) any statement, warranty or representation made in or in connection with any Credit Document, (ii) the contents of any certificate, report or other document delivered hereunder or thereunder or in connection herewith or therewith, (iii) the performance or observance of any of the covenants, agreements or other terms or conditions set forth herein or therein, (iv) the validity, enforceability, effectiveness or genuineness of this Agreement or any other agreement, instrument or document (including, for the avoidance of doubt, in connection with the Administrative Agent’s reliance on any Electronic Signature transmitted by telecopy, emailed pdf. or any other electronic means that reproduces an image of an actual executed signature page) or (v) the satisfaction of any condition set forth in Article IV or elsewhere herein or therein, other than to confirm receipt of items expressly required to be delivered to the Agents.</w:t>
      </w:r>
    </w:p>
    <w:p>
      <w:pPr>
        <w:spacing w:after="0" w:line="19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In performing their functions and duties hereunder and under the Credit Documents, the Agents are acting solely on behalf of the Lenders and the Issuing Banks (except in limited circumstances expressly provided for herein relating to the maintenance of the Register), and their duties are entirely mechanical and administrative in nature. The motivations of the Agents are commercial in nature and not to invest in the general performance or operations of the Borrower.</w:t>
      </w:r>
    </w:p>
    <w:p>
      <w:pPr>
        <w:spacing w:after="0" w:line="17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The Agents shall be entitled to rely upon, and shall not incur any liability for relying upon, any notice, request, certificate, consent, statement, instrument, document or other writing believed by them to be genuine and to have been signed or sent by the proper Person. The Agents also may rely upon any statement made to them orally or by telephone and believed by them to be made by the proper Person, and shall not incur any liability for relying thereon. The Agents may consult with legal counsel (who may be counsel for the Borrower), independent accountants and other experts selected by them with reasonable care, and shall not be liable for any action taken or not taken by them in accordance with the advice of any such counsel, accountants or experts.</w:t>
      </w:r>
    </w:p>
    <w:p>
      <w:pPr>
        <w:spacing w:after="0" w:line="194"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The Agents may perform any and all their duties and exercise their rights and powers by or through any one or more sub-agents appointed by the Agents. The Agents and any such sub-agent may perform any and all their duties and exercise their rights and powers through their respective Affiliates. The exculpatory provisions of the preceding paragraphs shall apply to any such sub-agent and to the Affiliates of the Agents and any such sub-agent.</w:t>
      </w:r>
    </w:p>
    <w:p>
      <w:pPr>
        <w:spacing w:after="0" w:line="179"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Subject to the appointment and acceptance of a successor Agent as provided below, either Agent may resign at any time by notifying the Lenders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52" w:name="page353"/>
    <w:bookmarkEnd w:id="352"/>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Borrower. Upon receipt of any such notice of an Agent’s intent to resign, the Majority Lenders shall have the right to appoint a successor with the Borrower’s written consent (which shall not be unreasonably withheld or delayed and shall not be required from the Borrower if an Event of Default under clause </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(h)</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22"/>
          <w:szCs w:val="22"/>
          <w:color w:val="auto"/>
        </w:rPr>
        <w:t xml:space="preserve"> of Section 7.01 has occurred and is continuing). If no successor shall have been so appointed by the Majority Lenders and shall have accepted such appointment within 30 days after the retiring Agent gives notice of its intent to resign, then the retiring Agent may, on behalf of the Lenders, with the Borrower’s written consent (which shall not be unreasonably withheld or delayed and shall not be required if an Event of Default under clause </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(h)</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22"/>
          <w:szCs w:val="22"/>
          <w:color w:val="auto"/>
        </w:rPr>
        <w:t xml:space="preserve"> of Section 7.01 has occurred and is continuing), appoint a successor Agent which shall be a bank or an Affiliate thereof, in each case with a net worth of at least $1,000,000,000 and an office in New York, New York. Upon the acceptance of its appointment as Agent hereunder and under the Credit Documents by a successor, such successor shall succeed to and become vested with all the rights, powers, privileges and duties of the retiring Agent, and the retiring Agent shall be discharged from its duties and obligations hereunder and under the Credit Documents. After an Agent’ s resignation hereunder and under the Credit Documents, the provisions of this Article and Section 9.03 shall continue in effect for its benefit in respect of any actions taken or omitted to be taken by it while it was acting as Agent.</w:t>
      </w:r>
    </w:p>
    <w:p>
      <w:pPr>
        <w:spacing w:after="0" w:line="19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Each Lender and Issuing Bank acknowledges that (a) the Credit Documents set forth the terms of a commercial lending facility and (b) it has, independently and without reliance upon the Agents or any other Lender or Issuing Bank and based on such documents and information as it has deemed appropriate, made its own credit analysis and decision to enter into this Agreement. Each Lender and Issuing Bank also acknowledges that it will, independently and without reliance upon the Agents or any other Lender or Issuing Bank and based on such documents and information as it shall from time to time deem appropriate, continue to make its own decisions in taking or not taking action under or based upon this Agreement, any related agreement or any document furnished hereunder or thereunder.</w:t>
      </w:r>
    </w:p>
    <w:p>
      <w:pPr>
        <w:spacing w:after="0" w:line="17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Notwithstanding any other provision contained herein, (a) each Lender and each Issuing Bank acknowledges that the Administrative Agent is not acting as an agent of the Borrower and that the Borrower will not be responsible for acts or failures to act on the part of the Administrative Agent and (b) none of the Arrangers, Syndication Agents or Documentation Agents shall, in its capacity as such, have any responsibilities, fiduciary or otherwise, to the Borrower, to any Lender or to any other Person under this Agreement or the other Credit Documents.</w:t>
      </w:r>
    </w:p>
    <w:p>
      <w:pPr>
        <w:spacing w:after="0" w:line="17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Without prejudice to the provisions of this Article VIII, each Lender and Issuing Bank hereby irrevocably appoints and authorizes the Collateral Agent (and any successor acting as Collateral Agent) to act as the hypothecary representative and Person holding the power of attorney (in such capacity, the “</w:t>
      </w:r>
      <w:r>
        <w:rPr>
          <w:rFonts w:ascii="Times New Roman" w:cs="Times New Roman" w:eastAsia="Times New Roman" w:hAnsi="Times New Roman"/>
          <w:sz w:val="22"/>
          <w:szCs w:val="22"/>
          <w:i w:val="1"/>
          <w:iCs w:val="1"/>
          <w:u w:val="single" w:color="auto"/>
          <w:color w:val="auto"/>
        </w:rPr>
        <w:t>fondé de pouvoir</w:t>
      </w:r>
      <w:r>
        <w:rPr>
          <w:rFonts w:ascii="Times New Roman" w:cs="Times New Roman" w:eastAsia="Times New Roman" w:hAnsi="Times New Roman"/>
          <w:sz w:val="22"/>
          <w:szCs w:val="22"/>
          <w:color w:val="auto"/>
        </w:rPr>
        <w:t>”) of the Secured Parties as contemplated under Article 2692 of the Civil Code of Quebec, and to enter into, to take and to hold on their behalf, and for their benefit, any hypothec, and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53" w:name="page354"/>
    <w:bookmarkEnd w:id="353"/>
    <w:p>
      <w:pPr>
        <w:jc w:val="both"/>
        <w:spacing w:after="0" w:line="262" w:lineRule="auto"/>
        <w:rPr>
          <w:sz w:val="20"/>
          <w:szCs w:val="20"/>
          <w:color w:val="auto"/>
        </w:rPr>
      </w:pPr>
      <w:r>
        <w:rPr>
          <w:rFonts w:ascii="Times New Roman" w:cs="Times New Roman" w:eastAsia="Times New Roman" w:hAnsi="Times New Roman"/>
          <w:sz w:val="21"/>
          <w:szCs w:val="21"/>
          <w:color w:val="auto"/>
        </w:rPr>
        <w:t xml:space="preserve">exercise such powers and duties which are conferred upon the </w:t>
      </w:r>
      <w:r>
        <w:rPr>
          <w:rFonts w:ascii="Times New Roman" w:cs="Times New Roman" w:eastAsia="Times New Roman" w:hAnsi="Times New Roman"/>
          <w:sz w:val="21"/>
          <w:szCs w:val="21"/>
          <w:i w:val="1"/>
          <w:iCs w:val="1"/>
          <w:color w:val="auto"/>
        </w:rPr>
        <w:t>fondé de pouvoir</w:t>
      </w:r>
      <w:r>
        <w:rPr>
          <w:rFonts w:ascii="Times New Roman" w:cs="Times New Roman" w:eastAsia="Times New Roman" w:hAnsi="Times New Roman"/>
          <w:sz w:val="21"/>
          <w:szCs w:val="21"/>
          <w:color w:val="auto"/>
        </w:rPr>
        <w:t xml:space="preserve"> under any hypothec. Moreover, without prejudice to such appointment and authorization to act as the hypothecary representative and Person holding the power of attorney as aforesaid, each Lender and Issuing Bank hereby irrevocably appoints and authorizes the Collateral Agent (and any successor acting as Collateral Agent) (in such capacity, the “</w:t>
      </w:r>
      <w:r>
        <w:rPr>
          <w:rFonts w:ascii="Times New Roman" w:cs="Times New Roman" w:eastAsia="Times New Roman" w:hAnsi="Times New Roman"/>
          <w:sz w:val="21"/>
          <w:szCs w:val="21"/>
          <w:u w:val="single" w:color="auto"/>
          <w:color w:val="auto"/>
        </w:rPr>
        <w:t>Custodian</w:t>
      </w:r>
      <w:r>
        <w:rPr>
          <w:rFonts w:ascii="Times New Roman" w:cs="Times New Roman" w:eastAsia="Times New Roman" w:hAnsi="Times New Roman"/>
          <w:sz w:val="21"/>
          <w:szCs w:val="21"/>
          <w:color w:val="auto"/>
        </w:rPr>
        <w:t xml:space="preserve">”) to act as agent and custodian for and on behalf of the Lenders and Issuing Banks to hold and to be the sole registered holder of any debenture which may be issued under any hypothec, the whole notwithstanding Section 32 of the </w:t>
      </w:r>
      <w:r>
        <w:rPr>
          <w:rFonts w:ascii="Times New Roman" w:cs="Times New Roman" w:eastAsia="Times New Roman" w:hAnsi="Times New Roman"/>
          <w:sz w:val="21"/>
          <w:szCs w:val="21"/>
          <w:i w:val="1"/>
          <w:iCs w:val="1"/>
          <w:color w:val="auto"/>
        </w:rPr>
        <w:t>Act Respecting the Special Powers of Legal Persons</w:t>
      </w:r>
      <w:r>
        <w:rPr>
          <w:rFonts w:ascii="Times New Roman" w:cs="Times New Roman" w:eastAsia="Times New Roman" w:hAnsi="Times New Roman"/>
          <w:sz w:val="21"/>
          <w:szCs w:val="21"/>
          <w:color w:val="auto"/>
        </w:rPr>
        <w:t xml:space="preserve"> (Quebec) or any other applicable law. In this respect, (i) the Custodian shall keep a record indicating the names and addresses of, and the pro rata portion of the obligations and indebtedness secured by any pledge of any such debenture and owing to each Lender and Issuing Bank and (ii) each Lender and Issuing Bank will be entitled to the benefits of any charged property covered by any hypothec and will participate in the proceeds of realization of any such charged property, the whole in accordance with the terms hereof.</w:t>
      </w:r>
    </w:p>
    <w:p>
      <w:pPr>
        <w:spacing w:after="0" w:line="172"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Each of the </w:t>
      </w:r>
      <w:r>
        <w:rPr>
          <w:rFonts w:ascii="Times New Roman" w:cs="Times New Roman" w:eastAsia="Times New Roman" w:hAnsi="Times New Roman"/>
          <w:sz w:val="22"/>
          <w:szCs w:val="22"/>
          <w:i w:val="1"/>
          <w:iCs w:val="1"/>
          <w:color w:val="auto"/>
        </w:rPr>
        <w:t>fondé de pouvoir</w:t>
      </w:r>
      <w:r>
        <w:rPr>
          <w:rFonts w:ascii="Times New Roman" w:cs="Times New Roman" w:eastAsia="Times New Roman" w:hAnsi="Times New Roman"/>
          <w:sz w:val="22"/>
          <w:szCs w:val="22"/>
          <w:color w:val="auto"/>
        </w:rPr>
        <w:t xml:space="preserve"> and the Custodian shall (a) have the sole and exclusive right and authority to exercise, except as may be otherwise specifically restricted by the terms hereof, all rights and remedies given to the </w:t>
      </w:r>
      <w:r>
        <w:rPr>
          <w:rFonts w:ascii="Times New Roman" w:cs="Times New Roman" w:eastAsia="Times New Roman" w:hAnsi="Times New Roman"/>
          <w:sz w:val="22"/>
          <w:szCs w:val="22"/>
          <w:i w:val="1"/>
          <w:iCs w:val="1"/>
          <w:color w:val="auto"/>
        </w:rPr>
        <w:t>fondé de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pouvoir </w:t>
      </w:r>
      <w:r>
        <w:rPr>
          <w:rFonts w:ascii="Times New Roman" w:cs="Times New Roman" w:eastAsia="Times New Roman" w:hAnsi="Times New Roman"/>
          <w:sz w:val="22"/>
          <w:szCs w:val="22"/>
          <w:color w:val="auto"/>
        </w:rPr>
        <w:t>and the Custodian (as applicable) with respect to the charged property under any hypothec, any debenture or pledge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thereof relating to any hypothec, applicable laws or otherwise, (b) benefit from and be subject to all provisions hereof with respect to the Collateral Agent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xml:space="preserve"> including, without limitation, all such provisions with respect to the liability or responsibility to and indemnification by the Lenders or the Issuing Banks, and (c) be entitled to delegate from time to time any of its powers or duties under any hypothec, any debenture or pledge thereof relating to any hypothec, applicable laws or otherwise and on such terms and conditions as it may determine from time to time. Any Person who becomes a Lender or an Issuing Bank shall be deemed to have consented to and confirmed: (y) the </w:t>
      </w:r>
      <w:r>
        <w:rPr>
          <w:rFonts w:ascii="Times New Roman" w:cs="Times New Roman" w:eastAsia="Times New Roman" w:hAnsi="Times New Roman"/>
          <w:sz w:val="22"/>
          <w:szCs w:val="22"/>
          <w:i w:val="1"/>
          <w:iCs w:val="1"/>
          <w:color w:val="auto"/>
        </w:rPr>
        <w:t>fondé de pouvoir</w:t>
      </w:r>
      <w:r>
        <w:rPr>
          <w:rFonts w:ascii="Times New Roman" w:cs="Times New Roman" w:eastAsia="Times New Roman" w:hAnsi="Times New Roman"/>
          <w:sz w:val="22"/>
          <w:szCs w:val="22"/>
          <w:color w:val="auto"/>
        </w:rPr>
        <w:t xml:space="preserve"> as the hypothecary representative and Person holding the power of attorney as aforesaid and to have ratified, as of the date it becomes a Lender or Issuing Bank, all actions taken by the </w:t>
      </w:r>
      <w:r>
        <w:rPr>
          <w:rFonts w:ascii="Times New Roman" w:cs="Times New Roman" w:eastAsia="Times New Roman" w:hAnsi="Times New Roman"/>
          <w:sz w:val="22"/>
          <w:szCs w:val="22"/>
          <w:i w:val="1"/>
          <w:iCs w:val="1"/>
          <w:color w:val="auto"/>
        </w:rPr>
        <w:t>fondé de pouvoir</w:t>
      </w:r>
      <w:r>
        <w:rPr>
          <w:rFonts w:ascii="Times New Roman" w:cs="Times New Roman" w:eastAsia="Times New Roman" w:hAnsi="Times New Roman"/>
          <w:sz w:val="22"/>
          <w:szCs w:val="22"/>
          <w:color w:val="auto"/>
        </w:rPr>
        <w:t xml:space="preserve"> in such capacity, and (z) the Custodian as the agent and custodian as aforesaid and to have ratified, as of the date it becomes a Lender or Issuing Bank, all actions taken by the Custodian in such capacity.</w:t>
      </w:r>
    </w:p>
    <w:p>
      <w:pPr>
        <w:spacing w:after="0" w:line="18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of the other Grantors, that at least one of the following is and will be true:</w:t>
      </w:r>
    </w:p>
    <w:p>
      <w:pPr>
        <w:spacing w:after="0" w:line="176" w:lineRule="exact"/>
        <w:rPr>
          <w:sz w:val="20"/>
          <w:szCs w:val="20"/>
          <w:color w:val="auto"/>
        </w:rPr>
      </w:pPr>
    </w:p>
    <w:p>
      <w:pPr>
        <w:ind w:firstLine="1304"/>
        <w:spacing w:after="0" w:line="271" w:lineRule="auto"/>
        <w:tabs>
          <w:tab w:leader="none" w:pos="1581" w:val="left"/>
        </w:tabs>
        <w:numPr>
          <w:ilvl w:val="0"/>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Lender is not using “plan assets” (within the meaning of the Plan Asset Regulations) of one or more Benefit Plans with respect to such Lender’s entrance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18" w:right="339" w:bottom="1440" w:gutter="0" w:footer="0" w:header="0"/>
        </w:sectPr>
      </w:pPr>
    </w:p>
    <w:bookmarkStart w:id="354" w:name="page355"/>
    <w:bookmarkEnd w:id="354"/>
    <w:p>
      <w:pPr>
        <w:spacing w:after="0"/>
        <w:rPr>
          <w:sz w:val="20"/>
          <w:szCs w:val="20"/>
          <w:color w:val="auto"/>
        </w:rPr>
      </w:pPr>
      <w:r>
        <w:rPr>
          <w:rFonts w:ascii="Times New Roman" w:cs="Times New Roman" w:eastAsia="Times New Roman" w:hAnsi="Times New Roman"/>
          <w:sz w:val="21"/>
          <w:szCs w:val="21"/>
          <w:color w:val="auto"/>
        </w:rPr>
        <w:t>into, participation in, administration of and performance of the Loans, the Letters of Credit, the Commitments or this Agreement,</w:t>
      </w:r>
    </w:p>
    <w:p>
      <w:pPr>
        <w:spacing w:after="0" w:line="231" w:lineRule="exact"/>
        <w:rPr>
          <w:sz w:val="20"/>
          <w:szCs w:val="20"/>
          <w:color w:val="auto"/>
        </w:rPr>
      </w:pPr>
    </w:p>
    <w:p>
      <w:pPr>
        <w:jc w:val="both"/>
        <w:ind w:firstLine="1304"/>
        <w:spacing w:after="0" w:line="250" w:lineRule="auto"/>
        <w:tabs>
          <w:tab w:leader="none" w:pos="1627" w:val="left"/>
        </w:tabs>
        <w:numPr>
          <w:ilvl w:val="0"/>
          <w:numId w:val="3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93" w:lineRule="exact"/>
        <w:rPr>
          <w:rFonts w:ascii="Times New Roman" w:cs="Times New Roman" w:eastAsia="Times New Roman" w:hAnsi="Times New Roman"/>
          <w:sz w:val="22"/>
          <w:szCs w:val="22"/>
          <w:color w:val="auto"/>
        </w:rPr>
      </w:pPr>
    </w:p>
    <w:p>
      <w:pPr>
        <w:jc w:val="both"/>
        <w:ind w:firstLine="1304"/>
        <w:spacing w:after="0" w:line="249" w:lineRule="auto"/>
        <w:tabs>
          <w:tab w:leader="none" w:pos="1702" w:val="left"/>
        </w:tabs>
        <w:numPr>
          <w:ilvl w:val="0"/>
          <w:numId w:val="3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81" w:lineRule="exact"/>
        <w:rPr>
          <w:rFonts w:ascii="Times New Roman" w:cs="Times New Roman" w:eastAsia="Times New Roman" w:hAnsi="Times New Roman"/>
          <w:sz w:val="22"/>
          <w:szCs w:val="22"/>
          <w:color w:val="auto"/>
        </w:rPr>
      </w:pPr>
    </w:p>
    <w:p>
      <w:pPr>
        <w:ind w:firstLine="1304"/>
        <w:spacing w:after="0" w:line="271" w:lineRule="auto"/>
        <w:tabs>
          <w:tab w:leader="none" w:pos="1691" w:val="left"/>
        </w:tabs>
        <w:numPr>
          <w:ilvl w:val="0"/>
          <w:numId w:val="3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representation, warranty and covenant as may be agreed in writing between the Administrative Agent, in its sole discretion, and such Lender.</w:t>
      </w:r>
    </w:p>
    <w:p>
      <w:pPr>
        <w:spacing w:after="0" w:line="158"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In addition, unless either (1) the immediately preceding sub-clause (i) is true with respect to a Lender or (2) a Lender has provided another representation, warranty and covenant in accordance with the immediately preceding sub-clause (iv),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of the other Grantors,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Credit Document or any documents related hereto or thereto).</w:t>
      </w:r>
    </w:p>
    <w:p>
      <w:pPr>
        <w:spacing w:after="0" w:line="180" w:lineRule="exact"/>
        <w:rPr>
          <w:sz w:val="20"/>
          <w:szCs w:val="20"/>
          <w:color w:val="auto"/>
        </w:rPr>
      </w:pPr>
    </w:p>
    <w:p>
      <w:pPr>
        <w:jc w:val="both"/>
        <w:ind w:firstLine="1296"/>
        <w:spacing w:after="0" w:line="295" w:lineRule="auto"/>
        <w:rPr>
          <w:sz w:val="20"/>
          <w:szCs w:val="20"/>
          <w:color w:val="auto"/>
        </w:rPr>
      </w:pPr>
      <w:r>
        <w:rPr>
          <w:rFonts w:ascii="Times New Roman" w:cs="Times New Roman" w:eastAsia="Times New Roman" w:hAnsi="Times New Roman"/>
          <w:sz w:val="21"/>
          <w:szCs w:val="21"/>
          <w:color w:val="auto"/>
        </w:rPr>
        <w:t>Each Lender and Issuing Bank hereby agrees that (x) if the Administrative Agent notifies such Lender or Issuing Bank that the Administrative Agent has determined in its sole discretion that any funds received by such Lender or Issuing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55" w:name="page356"/>
    <w:bookmarkEnd w:id="355"/>
    <w:p>
      <w:pPr>
        <w:jc w:val="both"/>
        <w:spacing w:after="0" w:line="260" w:lineRule="auto"/>
        <w:rPr>
          <w:sz w:val="20"/>
          <w:szCs w:val="20"/>
          <w:color w:val="auto"/>
        </w:rPr>
      </w:pPr>
      <w:r>
        <w:rPr>
          <w:rFonts w:ascii="Times New Roman" w:cs="Times New Roman" w:eastAsia="Times New Roman" w:hAnsi="Times New Roman"/>
          <w:sz w:val="21"/>
          <w:szCs w:val="21"/>
          <w:color w:val="auto"/>
        </w:rPr>
        <w:t>from the Administrative Agent or any of its Affiliates (whether as a payment, prepayment or repayment of principal, interest, fees or otherwise; individually and collectively, a “</w:t>
      </w:r>
      <w:r>
        <w:rPr>
          <w:rFonts w:ascii="Times New Roman" w:cs="Times New Roman" w:eastAsia="Times New Roman" w:hAnsi="Times New Roman"/>
          <w:sz w:val="21"/>
          <w:szCs w:val="21"/>
          <w:u w:val="single" w:color="auto"/>
          <w:color w:val="auto"/>
        </w:rPr>
        <w:t>Payment</w:t>
      </w:r>
      <w:r>
        <w:rPr>
          <w:rFonts w:ascii="Times New Roman" w:cs="Times New Roman" w:eastAsia="Times New Roman" w:hAnsi="Times New Roman"/>
          <w:sz w:val="21"/>
          <w:szCs w:val="21"/>
          <w:color w:val="auto"/>
        </w:rPr>
        <w:t>”) were erroneously transmitted to such Lender or Issuing Bank (whether or not known to such Lender or Issuing Bank), and demands the return of such Payment (or a portion thereof), such Lender or Issuing Bank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or Issuing Bank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or Issuing Bank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or Issuing Bank under this paragraph and the immediately following paragraph shall be conclusive, absent manifest error.</w:t>
      </w:r>
    </w:p>
    <w:p>
      <w:pPr>
        <w:spacing w:after="0" w:line="177"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Each Lender and Issuing Bank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 w:cs="Times New Roman" w:eastAsia="Times New Roman" w:hAnsi="Times New Roman"/>
          <w:sz w:val="22"/>
          <w:szCs w:val="22"/>
          <w:u w:val="single" w:color="auto"/>
          <w:color w:val="auto"/>
        </w:rPr>
        <w:t>Payment Notice</w:t>
      </w:r>
      <w:r>
        <w:rPr>
          <w:rFonts w:ascii="Times New Roman" w:cs="Times New Roman" w:eastAsia="Times New Roman" w:hAnsi="Times New Roman"/>
          <w:sz w:val="22"/>
          <w:szCs w:val="22"/>
          <w:color w:val="auto"/>
        </w:rPr>
        <w:t>”) or (y) that was not preceded or accompanied by a Payment Notice, it shall be on notice, in each such case, that an error has been made with respect to such Payment. Each Lender and Issuing Bank agrees that, in each such case, or if it otherwise becomes aware a Payment (or portion thereof) may have been sent in error, such Lender or Issuing Bank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or Issuing Bank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185"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The Borrower hereby agrees that (x) in the event an erroneous Payment (or portion thereof) made with funds of a Person other than the Borrower or any Subsidiary are not recovered from any Lender or Issuing Bank that has received such Payment (or portion thereof) for any reason, the Administrative Agent shall be subrogated to all the rights of such Lender or Issuing Bank with respect to such amount and (y) an erroneous Payment shall not pay, prepay, repay, discharge or otherwise satisfy any Obligations owed by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56" w:name="page357"/>
    <w:bookmarkEnd w:id="356"/>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Each party’s obligations under this paragraph and the three immediately preceding paragraphs shall survive the resignation or replacement of the Administrative Agent or any transfer of rights or obligations by, or the replacement of, a Lender or an Issuing Bank, the termination of the Commitments or the repayment, satisfaction or discharge of all Obligations under any Credit Document.</w:t>
      </w:r>
    </w:p>
    <w:p>
      <w:pPr>
        <w:spacing w:after="0" w:line="176"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The Lenders and Issuing Banks acknowledge that there may be a constant flow of information (including information which may be subject to confidentiality obligations in favor of the Credit Parties) between the Credit Parties and their Affiliates, on the one hand, and JPMorgan Chase Bank, N.A. and its Affiliates, on the other hand. Without limiting the foregoing, the Credit Parties or their Affiliates may provide information, including updates to previously provided information to JPMorgan Chase Bank, N.A. or its Affiliates acting in different capacities, including as Lender, lead bank, arranger or potential securities investor, independent of such entity’s role as administrative agent and collateral agent hereunder. The Lenders and Issuing Banks acknowledge that neither JPMorgan Chase Bank, N.A. or its Affiliates shall be under any obligation to provide any of the foregoing information to them. Notwithstanding anything to the contrary set forth herein or in any other Credit Document, except for notices, reports and other documents expressly required to be furnished to the Lenders by the Administrative Agent herein or in any other Credit Document to which the Administrative Agent is a party, the Administrative Agent shall not have any duty or responsibility to provide, and shall not be liable for the failure to provide, any Lender or Issuing Bank with any credit or other information concerning the Loans, the Lenders, the Issuing Banks, the business, prospects, operations, property, financial and other condition or creditworthiness of any of the Credit Parties or any of their respective Affiliates that is communicated to, obtained by, or in the possession of the Administrative Agent or any of its Affiliates in any capacity, including any information obtained by the Administrative Agent in the course of communications among the Administrative Agent and the Borrower, any Affiliate thereof or any other Person. Notwithstanding the foregoing, any such information may (but shall not be required to) be shared by the Administrative Agent with one or more Lenders or Issuing Banks, or any formal or informal committee or ad hoc group of such Lenders or Issuing Banks, including at the direction of the Borrower in accordance with this Agreement, including Section 9.12.</w:t>
      </w:r>
    </w:p>
    <w:p>
      <w:pPr>
        <w:spacing w:after="0" w:line="18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The Administrative Agent, the Lenders and the Issuing Banks agree that the Borrower may, but shall not be obligated to, make any Borrower Communications to the Administrative Agent through an electronic platform chosen by the Administrative Agent to be its electronic transmission system (the “</w:t>
      </w:r>
      <w:r>
        <w:rPr>
          <w:rFonts w:ascii="Times New Roman" w:cs="Times New Roman" w:eastAsia="Times New Roman" w:hAnsi="Times New Roman"/>
          <w:sz w:val="22"/>
          <w:szCs w:val="22"/>
          <w:u w:val="single" w:color="auto"/>
          <w:color w:val="auto"/>
        </w:rPr>
        <w:t>Approved Borrower Portal</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Although the Approved Borrower Portal and its primary web portal are secured with generally-applicable security procedures and policies implemented or modified by the Administrative Agent from time to time (including, as of the Restatement Date, a user ID/password authorization system), each of the Lenders, each of the Issuing Banks and the Borrower acknowledges and agrees that the distribution of material through an electronic medium is not necessarily secure, that the Administrative Agent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57" w:name="page358"/>
    <w:bookmarkEnd w:id="357"/>
    <w:p>
      <w:pPr>
        <w:jc w:val="both"/>
        <w:spacing w:after="0" w:line="256" w:lineRule="auto"/>
        <w:rPr>
          <w:sz w:val="20"/>
          <w:szCs w:val="20"/>
          <w:color w:val="auto"/>
        </w:rPr>
      </w:pPr>
      <w:r>
        <w:rPr>
          <w:rFonts w:ascii="Times New Roman" w:cs="Times New Roman" w:eastAsia="Times New Roman" w:hAnsi="Times New Roman"/>
          <w:sz w:val="22"/>
          <w:szCs w:val="22"/>
          <w:color w:val="auto"/>
        </w:rPr>
        <w:t>not responsible for approving or vetting the representatives or contacts of the Borrower that are added to the Approved Borrower Portal, and that there may be confidentiality and other risks associated with such distribution. Each of the Lenders, each of the Issuing Banks and the Borrower hereby approves distribution of Borrower Communications through the Approved Borrower Portal and understands and assumes the risks of such distribution.</w:t>
      </w:r>
    </w:p>
    <w:p>
      <w:pPr>
        <w:spacing w:after="0" w:line="172"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1"/>
          <w:szCs w:val="21"/>
          <w:b w:val="1"/>
          <w:bCs w:val="1"/>
          <w:color w:val="auto"/>
        </w:rPr>
        <w:t>THE APPROVED BORROWER PORTAL IS PROVIDED “AS IS” AND “AS AVAILABLE”. THE APPLICABLE PARTIES (AS DEFINED BELOW) DO NOT WARRANT THE ACCURACY OR COMPLETENESS OF THE BORROWER COMMUNICATION, OR THE ADEQUACY OF THE APPROVED BORROWER PORTAL AND EXPRESSLY DISCLAIM LIABILITY FOR ERRORS OR OMISSIONS IN THE APPROVED BORROWER PORTAL AND THE BORROWER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BORROWER COMMUNICATIONS OR THE APPROVED BORROWER PORTAL. IN NO EVENT SHALL THE ADMINISTRATIVE AGENT, ANY ARRANGER OR ANY OF THEIR RESPECTIVE RELATED PARTIES (COLLECTIVELY, “</w:t>
      </w:r>
      <w:r>
        <w:rPr>
          <w:rFonts w:ascii="Times New Roman" w:cs="Times New Roman" w:eastAsia="Times New Roman" w:hAnsi="Times New Roman"/>
          <w:sz w:val="21"/>
          <w:szCs w:val="21"/>
          <w:b w:val="1"/>
          <w:bCs w:val="1"/>
          <w:i w:val="1"/>
          <w:iCs w:val="1"/>
          <w:color w:val="auto"/>
        </w:rPr>
        <w:t>APPLICABLE PARTIES</w:t>
      </w:r>
      <w:r>
        <w:rPr>
          <w:rFonts w:ascii="Times New Roman" w:cs="Times New Roman" w:eastAsia="Times New Roman" w:hAnsi="Times New Roman"/>
          <w:sz w:val="21"/>
          <w:szCs w:val="21"/>
          <w:b w:val="1"/>
          <w:bCs w:val="1"/>
          <w:color w:val="auto"/>
        </w:rPr>
        <w:t>”) HAVE ANY LIABILITY TO THE BORROWER, ANY LENDER, ANY ISSUING BANK OR ANY OTHER PERSON OR ENTITY FOR DAMAGES OF ANY KIND, INCLUDING DIRECT OR INDIRECT, SPECIAL, INCIDENTAL OR CONSEQUENTIAL DAMAGES, LOSSES OR EXPENSES (WHETHER IN TORT, CONTRACT OR OTHERWISE) ARISING OUT OF THE BORROWER’S TRANSMISSION OF BORROWER COMMUNICATIONS THROUGH THE INTERNET OR THE APPROVED BORROWER PORTAL.</w:t>
      </w:r>
    </w:p>
    <w:p>
      <w:pPr>
        <w:spacing w:after="0" w:line="180"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Borrower Communications</w:t>
      </w:r>
      <w:r>
        <w:rPr>
          <w:rFonts w:ascii="Times New Roman" w:cs="Times New Roman" w:eastAsia="Times New Roman" w:hAnsi="Times New Roman"/>
          <w:sz w:val="22"/>
          <w:szCs w:val="22"/>
          <w:color w:val="auto"/>
        </w:rPr>
        <w:t>” means, collectively, any Borrowing Request, Interest Election Request, notice of prepayment, notice requesting the issuance, amendment or extension of a Letter of Credit or other notice, demand, communication, information, document or other material provided by or on behalf of the Borrower pursuant to any Credit Document or the transactions contemplated therein which is distributed by the Borrower to the Administrative Agent through an Approved Borrower Portal.</w:t>
      </w:r>
    </w:p>
    <w:p>
      <w:pPr>
        <w:spacing w:after="0" w:line="193"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1"/>
          <w:szCs w:val="21"/>
          <w:color w:val="auto"/>
        </w:rPr>
        <w:t>Each of the Lenders, each of the Issuing Banks and the Borrower agrees that the Administrative Agent may, but (except as may be required by applicable law) shall not be obligated to, store the Borrower Communications on the Approved Borrower Portal in accordance with the Administrative Agent’s generally applicable document retention procedures and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58" w:name="page359"/>
    <w:bookmarkEnd w:id="358"/>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Nothing herein shall prejudice the right of the Borrower to give any notice or other communication pursuant to any Credit Document in any other manner specified in such Credit Document.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IX</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Miscellaneous</w:t>
      </w:r>
    </w:p>
    <w:p>
      <w:pPr>
        <w:spacing w:after="0" w:line="22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SECTION 9.01.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xml:space="preserve"> (a) Except in the case of notices and other communications expressly permitted to be given by telephone (and subject to paragraph </w:t>
      </w: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22"/>
          <w:szCs w:val="22"/>
          <w:color w:val="auto"/>
        </w:rPr>
        <w:t xml:space="preserve"> below), all notices and other communications provided for herein shall be in writing and shall be delivered by hand or overnight courier service, mailed by certified or registered mail or sent by telecopy (encrypted or unencrypted) or e-mail (including emails of scanned or pdf copies of documents), as follows:</w:t>
      </w:r>
    </w:p>
    <w:p>
      <w:pPr>
        <w:spacing w:after="0" w:line="193" w:lineRule="exact"/>
        <w:rPr>
          <w:sz w:val="20"/>
          <w:szCs w:val="20"/>
          <w:color w:val="auto"/>
        </w:rPr>
      </w:pPr>
    </w:p>
    <w:p>
      <w:pPr>
        <w:ind w:left="2220" w:hanging="268"/>
        <w:spacing w:after="0"/>
        <w:tabs>
          <w:tab w:leader="none" w:pos="2220" w:val="left"/>
        </w:tabs>
        <w:numPr>
          <w:ilvl w:val="1"/>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Borrower, to it at 200 Innovation Way, Akron, Ohio, 44316-0001, Attention of the Treasurer;</w:t>
      </w:r>
    </w:p>
    <w:p>
      <w:pPr>
        <w:spacing w:after="0" w:line="219" w:lineRule="exact"/>
        <w:rPr>
          <w:rFonts w:ascii="Times New Roman" w:cs="Times New Roman" w:eastAsia="Times New Roman" w:hAnsi="Times New Roman"/>
          <w:sz w:val="22"/>
          <w:szCs w:val="22"/>
          <w:color w:val="auto"/>
        </w:rPr>
      </w:pPr>
    </w:p>
    <w:p>
      <w:pPr>
        <w:ind w:left="1300" w:firstLine="652"/>
        <w:spacing w:after="0" w:line="271" w:lineRule="auto"/>
        <w:tabs>
          <w:tab w:leader="none" w:pos="2285" w:val="left"/>
        </w:tabs>
        <w:numPr>
          <w:ilvl w:val="1"/>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Administrative Agent from the Borrower, to the address or addresses separately provided to the Borrower;</w:t>
      </w:r>
    </w:p>
    <w:p>
      <w:pPr>
        <w:spacing w:after="0" w:line="157" w:lineRule="exact"/>
        <w:rPr>
          <w:rFonts w:ascii="Times New Roman" w:cs="Times New Roman" w:eastAsia="Times New Roman" w:hAnsi="Times New Roman"/>
          <w:sz w:val="22"/>
          <w:szCs w:val="22"/>
          <w:color w:val="auto"/>
        </w:rPr>
      </w:pPr>
    </w:p>
    <w:p>
      <w:pPr>
        <w:ind w:left="1300" w:right="20" w:firstLine="652"/>
        <w:spacing w:after="0" w:line="271" w:lineRule="auto"/>
        <w:tabs>
          <w:tab w:leader="none" w:pos="2352" w:val="left"/>
        </w:tabs>
        <w:numPr>
          <w:ilvl w:val="1"/>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Administrative Agent from the Lenders, to JPMorgan Chase Bank, N.A., Loan &amp; Agency Services Group, 4021 Congress Street, Charlotte, NC 28209;</w:t>
      </w:r>
    </w:p>
    <w:p>
      <w:pPr>
        <w:spacing w:after="0" w:line="157" w:lineRule="exact"/>
        <w:rPr>
          <w:rFonts w:ascii="Times New Roman" w:cs="Times New Roman" w:eastAsia="Times New Roman" w:hAnsi="Times New Roman"/>
          <w:sz w:val="22"/>
          <w:szCs w:val="22"/>
          <w:color w:val="auto"/>
        </w:rPr>
      </w:pPr>
    </w:p>
    <w:p>
      <w:pPr>
        <w:ind w:left="1300" w:firstLine="652"/>
        <w:spacing w:after="0" w:line="284" w:lineRule="auto"/>
        <w:tabs>
          <w:tab w:leader="none" w:pos="2324" w:val="left"/>
        </w:tabs>
        <w:numPr>
          <w:ilvl w:val="1"/>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a Lender, to it at its address (or telecopy number or e-mail address) set forth in Schedule 2.01 or its Administrative Questionnaire;</w:t>
      </w:r>
    </w:p>
    <w:p>
      <w:pPr>
        <w:spacing w:after="0" w:line="143" w:lineRule="exact"/>
        <w:rPr>
          <w:rFonts w:ascii="Times New Roman" w:cs="Times New Roman" w:eastAsia="Times New Roman" w:hAnsi="Times New Roman"/>
          <w:sz w:val="22"/>
          <w:szCs w:val="22"/>
          <w:color w:val="auto"/>
        </w:rPr>
      </w:pPr>
    </w:p>
    <w:p>
      <w:pPr>
        <w:ind w:left="1300" w:right="20" w:firstLine="652"/>
        <w:spacing w:after="0" w:line="271" w:lineRule="auto"/>
        <w:tabs>
          <w:tab w:leader="none" w:pos="2277" w:val="left"/>
        </w:tabs>
        <w:numPr>
          <w:ilvl w:val="1"/>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any Issuing Bank, to it at the address separately provided to the Borrower; if to any Swingline Lender, to it at the address separately provided to the Borrower;</w:t>
      </w:r>
    </w:p>
    <w:p>
      <w:pPr>
        <w:spacing w:after="0" w:line="157" w:lineRule="exact"/>
        <w:rPr>
          <w:rFonts w:ascii="Times New Roman" w:cs="Times New Roman" w:eastAsia="Times New Roman" w:hAnsi="Times New Roman"/>
          <w:sz w:val="22"/>
          <w:szCs w:val="22"/>
          <w:color w:val="auto"/>
        </w:rPr>
      </w:pPr>
    </w:p>
    <w:p>
      <w:pPr>
        <w:ind w:left="1300" w:firstLine="652"/>
        <w:spacing w:after="0" w:line="271" w:lineRule="auto"/>
        <w:tabs>
          <w:tab w:leader="none" w:pos="2346" w:val="left"/>
        </w:tabs>
        <w:numPr>
          <w:ilvl w:val="1"/>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Collateral Agent, to JPMorgan Chase &amp; Co., CIB DMO WLO, Mail Code NY1-C413, 4 CMC, Brooklyn, NY 11245-0001.</w:t>
      </w:r>
    </w:p>
    <w:p>
      <w:pPr>
        <w:spacing w:after="0" w:line="171" w:lineRule="exact"/>
        <w:rPr>
          <w:rFonts w:ascii="Times New Roman" w:cs="Times New Roman" w:eastAsia="Times New Roman" w:hAnsi="Times New Roman"/>
          <w:sz w:val="22"/>
          <w:szCs w:val="22"/>
          <w:color w:val="auto"/>
        </w:rPr>
      </w:pPr>
    </w:p>
    <w:p>
      <w:pPr>
        <w:jc w:val="both"/>
        <w:ind w:firstLine="1304"/>
        <w:spacing w:after="0" w:line="265" w:lineRule="auto"/>
        <w:tabs>
          <w:tab w:leader="none" w:pos="1602" w:val="left"/>
        </w:tabs>
        <w:numPr>
          <w:ilvl w:val="0"/>
          <w:numId w:val="3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Notices and other communications to the Borrower, the Lenders, the Agents and the Issuing Banks hereunder may be delivered or furnished by using the Platform or Approved Borrower Portals (as applicable), in each case, pursuant to procedures approved by the Administrative Agent;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foregoing shall not apply to notices pursuant to Article II unless otherwise agreed by the Administrative Agent and the applicable Lender. The Administrative Agent or the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approval of such procedures may be limited to particular notices or communications.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59" w:name="page360"/>
    <w:bookmarkEnd w:id="359"/>
    <w:p>
      <w:pPr>
        <w:jc w:val="both"/>
        <w:ind w:firstLine="1304"/>
        <w:spacing w:after="0" w:line="257" w:lineRule="auto"/>
        <w:tabs>
          <w:tab w:leader="none" w:pos="1657" w:val="left"/>
        </w:tabs>
        <w:numPr>
          <w:ilvl w:val="0"/>
          <w:numId w:val="3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party hereto may change its address, telecopy number or e-mail address for notices and other communications hereunder by notice to the other parties hereto. All notices and other communications given to any party hereto in accordance with the provisions of this Agreement shall be deemed to have been given on the date of receipt.</w:t>
      </w:r>
    </w:p>
    <w:p>
      <w:pPr>
        <w:spacing w:after="0" w:line="186" w:lineRule="exact"/>
        <w:rPr>
          <w:rFonts w:ascii="Times New Roman" w:cs="Times New Roman" w:eastAsia="Times New Roman" w:hAnsi="Times New Roman"/>
          <w:sz w:val="22"/>
          <w:szCs w:val="22"/>
          <w:color w:val="auto"/>
        </w:rPr>
      </w:pPr>
    </w:p>
    <w:p>
      <w:pPr>
        <w:jc w:val="both"/>
        <w:ind w:firstLine="1304"/>
        <w:spacing w:after="0" w:line="247" w:lineRule="auto"/>
        <w:tabs>
          <w:tab w:leader="none" w:pos="1683" w:val="left"/>
        </w:tabs>
        <w:numPr>
          <w:ilvl w:val="0"/>
          <w:numId w:val="3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agrees that the Administrative Agent may, but shall not be obligated to, make any communication hereunder by posting such communication on Debt Domain, Intralinks, Syndtrak, ClearPar or a substantially similar electronic transmission system (the “</w:t>
      </w:r>
      <w:r>
        <w:rPr>
          <w:rFonts w:ascii="Times New Roman" w:cs="Times New Roman" w:eastAsia="Times New Roman" w:hAnsi="Times New Roman"/>
          <w:sz w:val="22"/>
          <w:szCs w:val="22"/>
          <w:u w:val="single" w:color="auto"/>
          <w:color w:val="auto"/>
        </w:rPr>
        <w:t>Platform</w:t>
      </w:r>
      <w:r>
        <w:rPr>
          <w:rFonts w:ascii="Times New Roman" w:cs="Times New Roman" w:eastAsia="Times New Roman" w:hAnsi="Times New Roman"/>
          <w:sz w:val="22"/>
          <w:szCs w:val="22"/>
          <w:color w:val="auto"/>
        </w:rPr>
        <w:t>”). The Platform is provided “as is” and “as available”. Neither the Administrative Agent nor any of its Related Parties warrants, or shall be deemed to warrant, the adequacy of the Platform. No warranty of any kind, express, implied or statutory, including any warranty of merchantability, fitness for a particular purpose, non-infringement of third-party rights or freedom from viruses or other code defects, is made, or shall be deemed to be made, by the Administrative Agent or any of its Related Parties in connection with the Platform. In no event shall the Administrative Agent or any of its Related Parties have any liability to any party hereto or any other Person for damages of any kind, including, without limitation, direct or indirect, special, incidental or consequential damages, losses or expenses (whether in tort, contract or otherwise) arising out of any transmission of communications through the Platform, except to the extent that such damages have resulted from the willful misconduct or gross negligence of, or a material breach of the agreements of the Administrative Agent under any Credit Document by, the Administrative Agent, in each case, determined in a final non-appealable judgment of a court of competent jurisdiction.</w:t>
      </w:r>
    </w:p>
    <w:p>
      <w:pPr>
        <w:spacing w:after="0" w:line="193"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9.02. </w:t>
      </w:r>
      <w:r>
        <w:rPr>
          <w:rFonts w:ascii="Times New Roman" w:cs="Times New Roman" w:eastAsia="Times New Roman" w:hAnsi="Times New Roman"/>
          <w:sz w:val="22"/>
          <w:szCs w:val="22"/>
          <w:u w:val="single" w:color="auto"/>
          <w:color w:val="auto"/>
        </w:rPr>
        <w:t>Waivers; Amendments.</w:t>
      </w:r>
      <w:r>
        <w:rPr>
          <w:rFonts w:ascii="Times New Roman" w:cs="Times New Roman" w:eastAsia="Times New Roman" w:hAnsi="Times New Roman"/>
          <w:sz w:val="22"/>
          <w:szCs w:val="22"/>
          <w:color w:val="auto"/>
        </w:rPr>
        <w:t xml:space="preserve"> (a) No failure or delay by any of the Agents, any Issuing Bank or any Lender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Agents, the Issuing Banks and the Lenders hereunder are cumulative and are not exclusive of any rights or remedies that they would otherwise have. No waiver of any provision of this Agreement or consent to any departure by the Borrower therefrom shall in any event be effective unless the same shall be permitted by paragraph (b) below, and then such waiver or consent shall be effective only in the specific instance and for the purpose for which given. Without limiting the generality of the foregoing, the making of a Loan or the issuing of a Letter of Credit shall not be construed as a waiver of any Default, regardless of whether any Agent, any Issuing Bank or any Lender may have had notice or knowledge of such Default at the time.</w:t>
      </w:r>
    </w:p>
    <w:p>
      <w:pPr>
        <w:spacing w:after="0" w:line="183" w:lineRule="exact"/>
        <w:rPr>
          <w:sz w:val="20"/>
          <w:szCs w:val="20"/>
          <w:color w:val="auto"/>
        </w:rPr>
      </w:pPr>
    </w:p>
    <w:p>
      <w:pPr>
        <w:jc w:val="both"/>
        <w:ind w:firstLine="1304"/>
        <w:spacing w:after="0" w:line="252" w:lineRule="auto"/>
        <w:tabs>
          <w:tab w:leader="none" w:pos="1669" w:val="left"/>
        </w:tabs>
        <w:numPr>
          <w:ilvl w:val="0"/>
          <w:numId w:val="3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to the extent otherwise expressly set forth in this Agreement (including in Section 2.12 and Section 2.19), neither this Agreement nor any other Credit Document (other than any Issuing Bank Agreement, any Swingline Agreement or any letter of credit application referred to in Section 2.03(a) or (b)) nor any provision hereof or thereof may be waived, amended or modified except, in the case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60" w:name="page361"/>
    <w:bookmarkEnd w:id="360"/>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pursuant to an agreement or agreements in writing entered into by the Borrower and the Majority Lenders or, in the case of any other Credit Document, pursuant to an agreement or agreements in writing entered into by the Administrative Agent or the Collateral Agent and the Credit Party or Credit Parties that are parties thereto, in each case with the consent of the Majority Lenders;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agreement shall (i) increase the Commitment of any Lender or extend the Commitment Termination Date with respect to any Lender without the written consent of such Lender, (ii) reduce or forgive all or part of the principal amount of any Loan or LC Disbursement or reduce the rate of interest thereon, or reduce any fee payable hereunder, without the prior written consent of each Lender affected thereby, (iii) postpone the scheduled date of payment of the principal amount of any Loan, or the required date of reimbursement of any LC Disbursement, or date for the payment of any interest on any Loan or any fee, or reduce the amount of, waive or excuse any such payment, without the prior written consent of each Lender adversely affected thereby, (iv) release all or substantially all the Subsidiary Guarantors from their Guarantees under the Guarantee and Collateral Agreement, or release all or substantially all the Collateral from the Liens of the Security Documents, without the written consent of each Lender, (v) change any provision of the Guarantee and Collateral Agreement or any other Security Document to alter the amount or allocation of any payment to be made to the Secured Parties, without the written consent of each adversely affected Lender, (vi) change Section 2.16 in a manner that would alter the pro rata sharing of any payment without the written consent of each Lender adversely affected thereby, (vii) change any of the provisions of this Section or the definition of “Majority Lenders” or any other provision hereof specifying the number or percentage of Lenders required to waive, amend or modify any rights hereunder or make any determination or grant any consent hereunder, without the written consent of each Lender, (viii) at any time amend, modify or otherwise alter in a manner which would increase the amount of the Borrowing Base Availability, the advance rates or the eligibility standards used in determining the Borrowing Base, or the amounts or limits set forth in clauses </w:t>
      </w: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22"/>
          <w:szCs w:val="22"/>
          <w:color w:val="auto"/>
        </w:rPr>
        <w:t xml:space="preserve"> of the definition of “Borrowing Base”, without the prior written consent of Lenders having aggregate Credit Exposures and unused Commitments representing at least 66-2/3% of the sum of the total Credit Exposures and unused Commitments at such time, or (ix) change any provision of Section 2.18 or of the definition of “Bankruptcy Event”, “Defaulting Lender” or “Lender Parent” without the written consent of the Administrative Agent, each Swingline Lender and each Issuing Bank;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no such agreement shall amend, modify or otherwise affect the rights or duties of any Agent, Issuing Bank or Swingline Lender under any Credit Document, or any provision of any Credit Document providing for payments by or to the Administrative Agent, any Issuing Bank or any Swingline Lender (or, in the case of any Issuing Bank, any provision of Section 2.03 affecting such Issuing Bank or any provision relating to the purchase of participations in Letters of Credit or, in the case of any Swingline Lender, any provision of Section 2.04 affecting such Swingline Lender or any provision relating to the purchase of participations in Swingline Loans), in each case without the prior written consent of such Agent, Issuing Bank or Swingline Lender, as the case may be;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that so long as the rights or interests of any Lender shall not be adversely affected in any material respect, the Guarantee and Collateral Agreement or any other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61" w:name="page362"/>
    <w:bookmarkEnd w:id="361"/>
    <w:p>
      <w:pPr>
        <w:jc w:val="both"/>
        <w:spacing w:after="0" w:line="248" w:lineRule="auto"/>
        <w:rPr>
          <w:sz w:val="20"/>
          <w:szCs w:val="20"/>
          <w:color w:val="auto"/>
        </w:rPr>
      </w:pPr>
      <w:r>
        <w:rPr>
          <w:rFonts w:ascii="Times New Roman" w:cs="Times New Roman" w:eastAsia="Times New Roman" w:hAnsi="Times New Roman"/>
          <w:sz w:val="22"/>
          <w:szCs w:val="22"/>
          <w:color w:val="auto"/>
        </w:rPr>
        <w:t>Document may be amended without the consent of the Majority Lenders (A) to cure any ambiguity, omission, defect or inconsistency, or (B) to provide for the addition of any assets or classes of assets to the Collateral. Notwithstanding the foregoing, any provision of this Agreement may be amended by an agreement in writing entered into by the Borrower, the Administrative Agent (and, if their rights or obligations are affected thereby or if their consent would be required under the preceding provisions of this paragraph, the Issuing Banks and Swingline Lenders) and the Lenders that will remain parties hereto after giving effect to such amendment if (1) by the terms of such agreement the Commitment of each Lender not consenting to the amendment provided for therein shall be terminated upon the effectiveness of such amendment and (2) at the time such amendment becomes effective, each Lender not consenting thereto receives payment in full of the principal of and interest accrued on each Loan made by it and all other amounts owing to it or accrued for its account under this Agreement (it being understood that such non-consenting Lenders shall cease to be Lenders upon the termination of any such Commitments and the making of such payment in full).</w:t>
      </w:r>
    </w:p>
    <w:p>
      <w:pPr>
        <w:spacing w:after="0" w:line="189"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9.03. </w:t>
      </w:r>
      <w:r>
        <w:rPr>
          <w:rFonts w:ascii="Times New Roman" w:cs="Times New Roman" w:eastAsia="Times New Roman" w:hAnsi="Times New Roman"/>
          <w:sz w:val="22"/>
          <w:szCs w:val="22"/>
          <w:u w:val="single" w:color="auto"/>
          <w:color w:val="auto"/>
        </w:rPr>
        <w:t>Expenses; Limitation of Liability; Indemnity.</w:t>
      </w:r>
      <w:r>
        <w:rPr>
          <w:rFonts w:ascii="Times New Roman" w:cs="Times New Roman" w:eastAsia="Times New Roman" w:hAnsi="Times New Roman"/>
          <w:sz w:val="22"/>
          <w:szCs w:val="22"/>
          <w:color w:val="auto"/>
        </w:rPr>
        <w:t xml:space="preserve"> (a) The Borrower shall pay (i) all reasonable out-of-pocket expenses incurred by the Agents, the Arrangers and their Affiliates (including the reasonable fees, charges and disbursements of Cravath, Swaine &amp; Moore LLP, counsel for the Agents and the Arrangers, and other local and foreign counsel for the Agents and Arrangers, limited to one per jurisdiction for all the Agents and Arrangers, taken as a whole, in connection with the Security Documents and the creation and perfection of the Liens created thereby and other local and foreign law matters) in connection with the arrangement and syndication of the credit facilities provided for herein, the preparation, execution, delivery and administration of this Agreement and the other Credit Documents or any amendments, modifications or waivers of the provisions hereof or thereof (whether or not the transactions contemplated hereby or thereby shall be consummated), (ii) all reasonable out-of-pocket expenses incurred by any Issuing Bank in connection with the issuance, amendment, renewal or extension of any Letter of Credit or demand for payment thereunder and (iii) all reasonable out-of-pocket expenses incurred by the Agents, any Issuing Bank or any Lender, including the fees, charges and disbursements of any counsel for the Agents, any Issuing Bank or any Lender (limited to one per jurisdiction for all the Agents, Issuing Banks and Lenders, taken as a whole), in connection with the enforcement, collection or protection of their rights in connection with this Agreement, including their rights under this Section, or in connection with the Loans made or Letters of Credit issued hereunder, including all such out-of-pocket expenses incurred during any workout, restructuring or similar negotiations in respect of such Loans or Letters of Credit. The Borrower also shall pay all out-of-pocket expenses incurred by the Collateral Agent in connection with the creation and perfection of the security interests contemplated by this Agreement, including all filing, recording and similar fees and, as more specifically set forth above, the reasonable fees and disbursements of counsel (including foreign counsel in connection with Foreign Pledge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62" w:name="page363"/>
    <w:bookmarkEnd w:id="362"/>
    <w:p>
      <w:pPr>
        <w:jc w:val="both"/>
        <w:ind w:firstLine="1304"/>
        <w:spacing w:after="0" w:line="260" w:lineRule="auto"/>
        <w:tabs>
          <w:tab w:leader="none" w:pos="1615" w:val="left"/>
        </w:tabs>
        <w:numPr>
          <w:ilvl w:val="0"/>
          <w:numId w:val="3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permitted by applicable law (i) the Borrower shall not assert, and the Borrower hereby waives, any claim against any Agent, Arranger, Syndication Agent, Documentation Agent, Issuing Bank and Lender, and any Related Party of any of the foregoing Persons (each such Person being called a “</w:t>
      </w:r>
      <w:r>
        <w:rPr>
          <w:rFonts w:ascii="Times New Roman" w:cs="Times New Roman" w:eastAsia="Times New Roman" w:hAnsi="Times New Roman"/>
          <w:sz w:val="21"/>
          <w:szCs w:val="21"/>
          <w:u w:val="single" w:color="auto"/>
          <w:color w:val="auto"/>
        </w:rPr>
        <w:t>Lender-Related Person</w:t>
      </w:r>
      <w:r>
        <w:rPr>
          <w:rFonts w:ascii="Times New Roman" w:cs="Times New Roman" w:eastAsia="Times New Roman" w:hAnsi="Times New Roman"/>
          <w:sz w:val="21"/>
          <w:szCs w:val="21"/>
          <w:color w:val="auto"/>
        </w:rPr>
        <w:t xml:space="preserve">”) for any Liabilities arising from the use by others of information or other materials (including, without limitation, any personal data) obtained through telecommunications, electronic or other information transmission systems (including the Internet, the Platform and any Approved Borrower Portal), except, in each case, to the extent that such Liabilities have resulted from the willful misconduct or gross negligence of any Lender-Related Person, as determined in a final non-appealable judgment of a court of competent jurisdiction, and (ii)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 Credit Document, or any agreement or instrument contemplated hereby or thereby, the Transactions, any Loan or Letter of Credit or the use of the proceeds thereof;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nothing in this Section 9.03(b) shall relieve the Borrower of any obligation it may have to indemnify an Indemnitee, as provided in Section 9.03(c), against any special, indirect, consequential or punitive damages asserted against such Indemnitee by a third party.</w:t>
      </w:r>
    </w:p>
    <w:p>
      <w:pPr>
        <w:spacing w:after="0" w:line="176" w:lineRule="exact"/>
        <w:rPr>
          <w:rFonts w:ascii="Times New Roman" w:cs="Times New Roman" w:eastAsia="Times New Roman" w:hAnsi="Times New Roman"/>
          <w:sz w:val="21"/>
          <w:szCs w:val="21"/>
          <w:color w:val="auto"/>
        </w:rPr>
      </w:pPr>
    </w:p>
    <w:p>
      <w:pPr>
        <w:jc w:val="both"/>
        <w:ind w:firstLine="1304"/>
        <w:spacing w:after="0" w:line="247" w:lineRule="auto"/>
        <w:tabs>
          <w:tab w:leader="none" w:pos="1617" w:val="left"/>
        </w:tabs>
        <w:numPr>
          <w:ilvl w:val="0"/>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indemnify each Agent, each Arranger, each Issuing Bank (which, for purposes of this Section 9.03(c), shall be deemed to include its branches, Affiliates, and correspondents) and each Lender, and each Related Party of any of the foregoing Persons (each such Person being called an “</w:t>
      </w:r>
      <w:r>
        <w:rPr>
          <w:rFonts w:ascii="Times New Roman" w:cs="Times New Roman" w:eastAsia="Times New Roman" w:hAnsi="Times New Roman"/>
          <w:sz w:val="22"/>
          <w:szCs w:val="22"/>
          <w:u w:val="single" w:color="auto"/>
          <w:color w:val="auto"/>
        </w:rPr>
        <w:t>Indemnitee</w:t>
      </w:r>
      <w:r>
        <w:rPr>
          <w:rFonts w:ascii="Times New Roman" w:cs="Times New Roman" w:eastAsia="Times New Roman" w:hAnsi="Times New Roman"/>
          <w:sz w:val="22"/>
          <w:szCs w:val="22"/>
          <w:color w:val="auto"/>
        </w:rPr>
        <w:t>”) against, and hold each Indemnitee harmless from, any and all Liabilities and related expenses (including reasonable fees, disbursements and other charges of one firm of counsel selected by the Administrative Agent for all Indemnitees, taken as a whole, and, if necessary, a single local counsel in each appropriate jurisdiction for all such Indemnitees, taken as a whole (and, in the case of an actual or perceived conflict of interest where the Indemnitee affected by such conflict informs the Borrower of such conflict and thereafter retains its own counsel, one firm of counsel for such affected Indemnitee and, if necessary, a single local counsel in each appropriate jurisdiction for such affected Indemnitee)), incurred by or asserted against any Indemnitee and arising out of (i) the execution or delivery of this Agreement or any other Credit Document or other agreement or instrument contemplated hereby, the syndication and arrangement of the credit facilities provided for herein, the performance by the parties hereto of their respective obligations or the exercise by the parties hereto of their rights hereunder or thereunder or the consummation of the Transactions or any other transactions contemplated hereby or thereby, (ii) any Loan or Letter of Credit or the use of the proceeds thereof (including any refusal by any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currently or formerly owned or operated by the Borrower or any Subsidiary, or any Environmental Liability related in any way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63" w:name="page364"/>
    <w:bookmarkEnd w:id="363"/>
    <w:p>
      <w:pPr>
        <w:jc w:val="both"/>
        <w:spacing w:after="0" w:line="259" w:lineRule="auto"/>
        <w:rPr>
          <w:sz w:val="20"/>
          <w:szCs w:val="20"/>
          <w:color w:val="auto"/>
        </w:rPr>
      </w:pPr>
      <w:r>
        <w:rPr>
          <w:rFonts w:ascii="Times New Roman" w:cs="Times New Roman" w:eastAsia="Times New Roman" w:hAnsi="Times New Roman"/>
          <w:sz w:val="21"/>
          <w:szCs w:val="21"/>
          <w:color w:val="auto"/>
        </w:rPr>
        <w:t xml:space="preserve">Borrower or any Subsidiary, or (iv) any Proceeding relating to any of the foregoing, whether based on contract, tort or any other theory and regardless of whether initiated against or by any Indemnitee, any party to any Credit Document, any Related Party of any of the foregoing or any third party (and regardless of whether any Indemnitee is a party thereto);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indemnity shall not, as to any Indemnitee, be available to the extent that such Liabilities or related expenses shall have resulted from (A) the willful misconduct or gross negligence of such Indemnitee or any of its Related Parties or any Related Indemnified Persons, as determined in a final, non-appealable judgment by a court of competent jurisdiction, (B) the material breach by such Indemnitee or any of its Related Parties or any Related Indemnified Persons of agreements set forth herein or in any other Credit Document, as determined in a final, non-appealable judgment by a court of competent jurisdiction,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this clause (B) will not apply to any indemnification of an Indemnitee in connection with any and all Liabilities and related expenses in connection with Letters of Credit under clause (ii) above, or (C) any Proceeding that does not involve an act or omission of the Borrower or any of its Related Parties and that is brought by an Indemnitee, any of its Related Parties or any Related Indemnified Person against any other Indemnitee, Related Party or Related Indemnified Person (other than any Proceeding against any of the Agents, Syndication Agents, Documentation Agents, Arrangers or Issuing Banks in their respective capacities or in fulfilling their respective roles as Agents, Syndication Agents, Documentation Agents, Arrangers or Issuing Banks or similar roles under the Credit Documents or in respect of the credit facilities provided for herein); and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that the Borrower will not be liable under this Section for any settlement of any Proceeding unless such settlement is approved in writing by the Borrower (such approval not to be withheld, conditioned or delayed if the terms of the settlement are reasonable under the circumstances).</w:t>
      </w:r>
    </w:p>
    <w:p>
      <w:pPr>
        <w:spacing w:after="0" w:line="187" w:lineRule="exact"/>
        <w:rPr>
          <w:sz w:val="20"/>
          <w:szCs w:val="20"/>
          <w:color w:val="auto"/>
        </w:rPr>
      </w:pPr>
    </w:p>
    <w:p>
      <w:pPr>
        <w:jc w:val="both"/>
        <w:ind w:firstLine="1304"/>
        <w:spacing w:after="0" w:line="250" w:lineRule="auto"/>
        <w:tabs>
          <w:tab w:leader="none" w:pos="1602" w:val="left"/>
        </w:tabs>
        <w:numPr>
          <w:ilvl w:val="0"/>
          <w:numId w:val="3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that the Borrower fails to pay any amount required to be paid by it to any Agent, any Arranger, any Issuing Bank or any Swingline Lender under paragraph </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22"/>
          <w:szCs w:val="22"/>
          <w:color w:val="auto"/>
        </w:rPr>
        <w:t xml:space="preserve"> of this Section, each Lender severally agrees to pay to such Agent, Arranger, Issuing Bank or Swingline Lender, as the case may be, such Lender’s ratable percentage (determined as of the time that the applicable unreimbursed expense or indemnity payment is sought based on the outstanding Loans and LC Exposures and unused Commitments of such Lender and the other Lenders (or, if the Commitments shall have been terminated and there shall be no outstanding Loans or LC Exposures, based on the Loans and LC Exposures and unused Commitments most recently in effect)) of such unpaid amount;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unreimbursed expense or indemnified Liabilities or related expense, as the case may be, was incurred by or asserted against such Agent, Arranger, Issuing Bank or Swingline Lender in its capacity as such.</w:t>
      </w:r>
    </w:p>
    <w:p>
      <w:pPr>
        <w:spacing w:after="0" w:line="18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SECTION 9.04. </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xml:space="preserve"> (a) The provisions of this Agreement shall be binding upon and inure to the benefit of the parties hereto, the Indemnitees and their respective successors and assigns permitted hereby (including any Affiliate of any Issuing Bank that issues any Letter of Credit), except that (i) the Borrower may not assign or otherwise transfer any of its rights or obligations hereunder without the prior written consent of each Lender (and any attempted assignment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64" w:name="page365"/>
    <w:bookmarkEnd w:id="364"/>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transfer by the Borrower without such consent shall be null and void) and (ii) subject to Section 2.17, no Lender or Issuing Bank may assign or otherwise transfer its rights or obligations hereunder except in accordance with this Section. Nothing in this Agreement, expressed or implied, shall be construed to confer upon any Person (other than the parties hereto, Indemnitees, their respective successors and assigns permitted hereby (including any Affiliate of any Issuing Bank that issues any Letter of Credit), Participants (to the extent provided in paragraph </w:t>
      </w: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22"/>
          <w:szCs w:val="22"/>
          <w:color w:val="auto"/>
        </w:rPr>
        <w:t xml:space="preserve"> of this Section) and, to the extent expressly contemplated hereby, the Related Parties of each of the Agents, the Arrangers, the Issuing Banks and the Lenders) any legal or equitable right, remedy or claim under or by reason of this Agreement.</w:t>
      </w:r>
    </w:p>
    <w:p>
      <w:pPr>
        <w:spacing w:after="0" w:line="180" w:lineRule="exact"/>
        <w:rPr>
          <w:sz w:val="20"/>
          <w:szCs w:val="20"/>
          <w:color w:val="auto"/>
        </w:rPr>
      </w:pPr>
    </w:p>
    <w:p>
      <w:pPr>
        <w:jc w:val="both"/>
        <w:ind w:firstLine="1304"/>
        <w:spacing w:after="0" w:line="256" w:lineRule="auto"/>
        <w:tabs>
          <w:tab w:leader="none" w:pos="1615" w:val="left"/>
        </w:tabs>
        <w:numPr>
          <w:ilvl w:val="0"/>
          <w:numId w:val="3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Subject to the conditions set forth in paragraph (b)(ii) below and Section 2.17, any Lender may assign to one or more assignees (other than the Borrower or a Subsidiary or a natural person, but including any CLO or other Approved Fund) all or a portion of its rights and obligations under this Agreement (including all or a portion of its Commitments and the Loans at the time owing to it) with the prior written consent (such consent not to be unreasonably withheld or delayed) of:</w:t>
      </w:r>
    </w:p>
    <w:p>
      <w:pPr>
        <w:spacing w:after="0" w:line="176" w:lineRule="exact"/>
        <w:rPr>
          <w:rFonts w:ascii="Times New Roman" w:cs="Times New Roman" w:eastAsia="Times New Roman" w:hAnsi="Times New Roman"/>
          <w:sz w:val="22"/>
          <w:szCs w:val="22"/>
          <w:color w:val="auto"/>
        </w:rPr>
      </w:pPr>
    </w:p>
    <w:p>
      <w:pPr>
        <w:jc w:val="both"/>
        <w:ind w:left="1960" w:firstLine="640"/>
        <w:spacing w:after="0" w:line="257" w:lineRule="auto"/>
        <w:tabs>
          <w:tab w:leader="none" w:pos="2962" w:val="left"/>
        </w:tabs>
        <w:numPr>
          <w:ilvl w:val="2"/>
          <w:numId w:val="3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consent of the Borrower shall be required for an assignment to an assignee that is a Lender, an Affiliate of a Lender, a Federal Reserve Bank or, if an Event of Default has occurred and is continuing, any other assignee;</w:t>
      </w:r>
    </w:p>
    <w:p>
      <w:pPr>
        <w:spacing w:after="0" w:line="186" w:lineRule="exact"/>
        <w:rPr>
          <w:rFonts w:ascii="Times New Roman" w:cs="Times New Roman" w:eastAsia="Times New Roman" w:hAnsi="Times New Roman"/>
          <w:sz w:val="22"/>
          <w:szCs w:val="22"/>
          <w:color w:val="auto"/>
        </w:rPr>
      </w:pPr>
    </w:p>
    <w:p>
      <w:pPr>
        <w:jc w:val="both"/>
        <w:ind w:left="1960" w:firstLine="640"/>
        <w:spacing w:after="0" w:line="257" w:lineRule="auto"/>
        <w:tabs>
          <w:tab w:leader="none" w:pos="2990" w:val="left"/>
        </w:tabs>
        <w:numPr>
          <w:ilvl w:val="2"/>
          <w:numId w:val="3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consent of the Administrative Agent shall be required for an assignment to an assignee that is a Lender, an Affiliate of a Lender, a Federal Reserve Bank or an Approved Fund;</w:t>
      </w:r>
    </w:p>
    <w:p>
      <w:pPr>
        <w:spacing w:after="0" w:line="172" w:lineRule="exact"/>
        <w:rPr>
          <w:rFonts w:ascii="Times New Roman" w:cs="Times New Roman" w:eastAsia="Times New Roman" w:hAnsi="Times New Roman"/>
          <w:sz w:val="22"/>
          <w:szCs w:val="22"/>
          <w:color w:val="auto"/>
        </w:rPr>
      </w:pPr>
    </w:p>
    <w:p>
      <w:pPr>
        <w:jc w:val="both"/>
        <w:ind w:left="1960" w:firstLine="640"/>
        <w:spacing w:after="0" w:line="267" w:lineRule="auto"/>
        <w:tabs>
          <w:tab w:leader="none" w:pos="2977" w:val="left"/>
        </w:tabs>
        <w:numPr>
          <w:ilvl w:val="2"/>
          <w:numId w:val="3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Principal Issuing Bank;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consent of a Principal Issuing Bank shall be required if (x) an Event of Default occurs with respect to the Borrower under Section 7.01(h) or 7.01(i) and</w:t>
      </w:r>
    </w:p>
    <w:p>
      <w:pPr>
        <w:spacing w:after="0" w:line="1" w:lineRule="exact"/>
        <w:rPr>
          <w:rFonts w:ascii="Times New Roman" w:cs="Times New Roman" w:eastAsia="Times New Roman" w:hAnsi="Times New Roman"/>
          <w:sz w:val="21"/>
          <w:szCs w:val="21"/>
          <w:color w:val="auto"/>
        </w:rPr>
      </w:pPr>
    </w:p>
    <w:p>
      <w:pPr>
        <w:jc w:val="both"/>
        <w:ind w:left="1960" w:hanging="8"/>
        <w:spacing w:after="0" w:line="251" w:lineRule="auto"/>
        <w:tabs>
          <w:tab w:leader="none" w:pos="2277" w:val="left"/>
        </w:tabs>
        <w:numPr>
          <w:ilvl w:val="1"/>
          <w:numId w:val="3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Principal Issuing Bank has no outstanding Letters of Credit at that time;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no consent of any Principal Issuing Bank shall be required for an assignment to an assignee that is a Federal Reserve Bank; and</w:t>
      </w:r>
    </w:p>
    <w:p>
      <w:pPr>
        <w:spacing w:after="0" w:line="179" w:lineRule="exact"/>
        <w:rPr>
          <w:rFonts w:ascii="Times New Roman" w:cs="Times New Roman" w:eastAsia="Times New Roman" w:hAnsi="Times New Roman"/>
          <w:sz w:val="22"/>
          <w:szCs w:val="22"/>
          <w:color w:val="auto"/>
        </w:rPr>
      </w:pPr>
    </w:p>
    <w:p>
      <w:pPr>
        <w:jc w:val="both"/>
        <w:ind w:left="1960" w:firstLine="640"/>
        <w:spacing w:after="0" w:line="256" w:lineRule="auto"/>
        <w:tabs>
          <w:tab w:leader="none" w:pos="2962" w:val="left"/>
        </w:tabs>
        <w:numPr>
          <w:ilvl w:val="2"/>
          <w:numId w:val="3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Swingline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consent of a Swingline Lender shall be required if (x) an Event of Default occurs with respect to the Borrower under Section 7.01(h) or 7.01(i) and (y) such Swingline Lender has no outstanding Swingline Loans at that time;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no consent of any Swingline Lender shall be required for an assignment to an assignee that is a Federal Reserve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65" w:name="page366"/>
    <w:bookmarkEnd w:id="365"/>
    <w:p>
      <w:pPr>
        <w:ind w:left="2280" w:hanging="328"/>
        <w:spacing w:after="0"/>
        <w:tabs>
          <w:tab w:leader="none" w:pos="2280" w:val="left"/>
        </w:tabs>
        <w:numPr>
          <w:ilvl w:val="1"/>
          <w:numId w:val="3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Assignments shall be subject to the following additional conditions:</w:t>
      </w:r>
    </w:p>
    <w:p>
      <w:pPr>
        <w:spacing w:after="0" w:line="219" w:lineRule="exact"/>
        <w:rPr>
          <w:rFonts w:ascii="Times New Roman" w:cs="Times New Roman" w:eastAsia="Times New Roman" w:hAnsi="Times New Roman"/>
          <w:sz w:val="22"/>
          <w:szCs w:val="22"/>
          <w:color w:val="auto"/>
        </w:rPr>
      </w:pPr>
    </w:p>
    <w:p>
      <w:pPr>
        <w:jc w:val="both"/>
        <w:ind w:left="1620" w:firstLine="8"/>
        <w:spacing w:after="0" w:line="249" w:lineRule="auto"/>
        <w:tabs>
          <w:tab w:leader="none" w:pos="1975" w:val="left"/>
        </w:tabs>
        <w:numPr>
          <w:ilvl w:val="0"/>
          <w:numId w:val="3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in the case of an assignment to a Lender or an Affiliate of a Lender, the amount of the Commitment of the assigning Lender subject to each such assignment (determined as of the date the Assignment and Assumption with respect to such assignment is delivered to the Administrative Agent) shall not be less than $1,000,000 or, if smaller, the entire remaining amount of the assigning Lender’s applicable Commitment unless each of the Borrower and the Administrative Agent shall otherwise consent,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(i) that no such consent of the Borrower shall be required if an Event of Default under clause </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(h)</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22"/>
          <w:szCs w:val="22"/>
          <w:color w:val="auto"/>
        </w:rPr>
        <w:t xml:space="preserve"> of Section 7.01 has occurred and is continuing and (ii) in the event of concurrent assignments to two or more assignees that are Affiliates of one another, or to two or more Approved Funds managed by the same investment advisor or by affiliated investment advisors, all such concurrent assignments shall be aggregated in determining compliance with this subsection;</w:t>
      </w:r>
    </w:p>
    <w:p>
      <w:pPr>
        <w:spacing w:after="0" w:line="183" w:lineRule="exact"/>
        <w:rPr>
          <w:rFonts w:ascii="Times New Roman" w:cs="Times New Roman" w:eastAsia="Times New Roman" w:hAnsi="Times New Roman"/>
          <w:sz w:val="22"/>
          <w:szCs w:val="22"/>
          <w:color w:val="auto"/>
        </w:rPr>
      </w:pPr>
    </w:p>
    <w:p>
      <w:pPr>
        <w:jc w:val="both"/>
        <w:ind w:left="1620" w:firstLine="8"/>
        <w:spacing w:after="0" w:line="256" w:lineRule="auto"/>
        <w:tabs>
          <w:tab w:leader="none" w:pos="2009" w:val="left"/>
        </w:tabs>
        <w:numPr>
          <w:ilvl w:val="0"/>
          <w:numId w:val="3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partial assignment shall be made as an assignment of a proportionate part of all the assigning Lender’s rights and obligations under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clause shall not be construed to prohibit the assignment of a proportionate part of all the assigning Lender’s rights and obligations in respect of one Class of Commitments or Loans;</w:t>
      </w:r>
    </w:p>
    <w:p>
      <w:pPr>
        <w:spacing w:after="0" w:line="176" w:lineRule="exact"/>
        <w:rPr>
          <w:rFonts w:ascii="Times New Roman" w:cs="Times New Roman" w:eastAsia="Times New Roman" w:hAnsi="Times New Roman"/>
          <w:sz w:val="22"/>
          <w:szCs w:val="22"/>
          <w:color w:val="auto"/>
        </w:rPr>
      </w:pPr>
    </w:p>
    <w:p>
      <w:pPr>
        <w:jc w:val="both"/>
        <w:ind w:left="1620" w:firstLine="8"/>
        <w:spacing w:after="0" w:line="253" w:lineRule="auto"/>
        <w:tabs>
          <w:tab w:leader="none" w:pos="1983" w:val="left"/>
        </w:tabs>
        <w:numPr>
          <w:ilvl w:val="0"/>
          <w:numId w:val="3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to each assignment shall, except as contemplated by Section 2.17, execute and deliver to the Administrative Agent an Assignment and Assumption, together with a processing and recordation fee of $3,500; provided that in the event of concurrent assignments to two or more assignees that are Affiliates of one another, or to two or more Approved Funds managed by the same investment advisor or by affiliated investment advisors, only one such fee shall be payable; and</w:t>
      </w:r>
    </w:p>
    <w:p>
      <w:pPr>
        <w:spacing w:after="0" w:line="178" w:lineRule="exact"/>
        <w:rPr>
          <w:rFonts w:ascii="Times New Roman" w:cs="Times New Roman" w:eastAsia="Times New Roman" w:hAnsi="Times New Roman"/>
          <w:sz w:val="22"/>
          <w:szCs w:val="22"/>
          <w:color w:val="auto"/>
        </w:rPr>
      </w:pPr>
    </w:p>
    <w:p>
      <w:pPr>
        <w:ind w:left="1620" w:firstLine="8"/>
        <w:spacing w:after="0" w:line="271" w:lineRule="auto"/>
        <w:tabs>
          <w:tab w:leader="none" w:pos="2014" w:val="left"/>
        </w:tabs>
        <w:numPr>
          <w:ilvl w:val="0"/>
          <w:numId w:val="3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assignee, if it shall not be a Lender, shall deliver to the Administrative Agent an Administrative Questionnaire.</w:t>
      </w:r>
    </w:p>
    <w:p>
      <w:pPr>
        <w:spacing w:after="0" w:line="157" w:lineRule="exact"/>
        <w:rPr>
          <w:rFonts w:ascii="Times New Roman" w:cs="Times New Roman" w:eastAsia="Times New Roman" w:hAnsi="Times New Roman"/>
          <w:sz w:val="22"/>
          <w:szCs w:val="22"/>
          <w:color w:val="auto"/>
        </w:rPr>
      </w:pPr>
    </w:p>
    <w:p>
      <w:pPr>
        <w:jc w:val="both"/>
        <w:ind w:left="1300" w:firstLine="652"/>
        <w:spacing w:after="0" w:line="251" w:lineRule="auto"/>
        <w:tabs>
          <w:tab w:leader="none" w:pos="2350" w:val="left"/>
        </w:tabs>
        <w:numPr>
          <w:ilvl w:val="1"/>
          <w:numId w:val="3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66" w:name="page367"/>
    <w:bookmarkEnd w:id="366"/>
    <w:p>
      <w:pPr>
        <w:jc w:val="both"/>
        <w:ind w:left="1300"/>
        <w:spacing w:after="0" w:line="250" w:lineRule="auto"/>
        <w:rPr>
          <w:sz w:val="20"/>
          <w:szCs w:val="20"/>
          <w:color w:val="auto"/>
        </w:rPr>
      </w:pPr>
      <w:r>
        <w:rPr>
          <w:rFonts w:ascii="Times New Roman" w:cs="Times New Roman" w:eastAsia="Times New Roman" w:hAnsi="Times New Roman"/>
          <w:sz w:val="22"/>
          <w:szCs w:val="22"/>
          <w:color w:val="auto"/>
        </w:rPr>
        <w:t xml:space="preserve">Assignment and Assumption covering all of the assigning Lender’s rights and obligations under this Agreement, such Lender shall cease to be a party hereto but shall continue to be entitled to the benefits of Sections 2.13, 2.14, 2.15 and 9.03).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w:t>
      </w: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22"/>
          <w:szCs w:val="22"/>
          <w:color w:val="auto"/>
        </w:rPr>
        <w:t xml:space="preserve"> of this Section. Each assignment hereunder shall be deemed to be an assignment of the related rights under the Guarantee and Collateral Agreement and each other applicable Security Document.</w:t>
      </w:r>
    </w:p>
    <w:p>
      <w:pPr>
        <w:spacing w:after="0" w:line="180" w:lineRule="exact"/>
        <w:rPr>
          <w:sz w:val="20"/>
          <w:szCs w:val="20"/>
          <w:color w:val="auto"/>
        </w:rPr>
      </w:pPr>
    </w:p>
    <w:p>
      <w:pPr>
        <w:jc w:val="both"/>
        <w:ind w:left="1300" w:firstLine="652"/>
        <w:spacing w:after="0" w:line="250" w:lineRule="auto"/>
        <w:tabs>
          <w:tab w:leader="none" w:pos="2371" w:val="left"/>
        </w:tabs>
        <w:numPr>
          <w:ilvl w:val="0"/>
          <w:numId w:val="3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maintain at one of its offices a copy of each Assignment and Assumption delivered to it and a register for the recordation of the names and addresses of the Lenders, and the Commitment of, and principal amount of the Loans and LC Disbursements owing to, each Lender pursuant to the terms hereof from time to time (the “</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The entries in the Register shall be conclusive absent manifest error, and the Borrower, the Administrative Agent, the Issuing Banks and the Lenders may treat each Person whose name is recorded in the Register pursuant to the terms hereof as a Lender hereunder for all purposes of this Agreement, notwithstanding notice to the contrary. The Register shall be available for inspection by the Borrower and, as to entries pertaining to it, any Issuing Bank and any Lender, at any reasonable time and from time to time upon reasonable prior notice.</w:t>
      </w:r>
    </w:p>
    <w:p>
      <w:pPr>
        <w:spacing w:after="0" w:line="179" w:lineRule="exact"/>
        <w:rPr>
          <w:rFonts w:ascii="Times New Roman" w:cs="Times New Roman" w:eastAsia="Times New Roman" w:hAnsi="Times New Roman"/>
          <w:sz w:val="22"/>
          <w:szCs w:val="22"/>
          <w:color w:val="auto"/>
        </w:rPr>
      </w:pPr>
    </w:p>
    <w:p>
      <w:pPr>
        <w:jc w:val="both"/>
        <w:ind w:left="1300" w:firstLine="652"/>
        <w:spacing w:after="0" w:line="250" w:lineRule="auto"/>
        <w:tabs>
          <w:tab w:leader="none" w:pos="2280" w:val="left"/>
        </w:tabs>
        <w:numPr>
          <w:ilvl w:val="0"/>
          <w:numId w:val="3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its receipt of a duly completed Assignment and Assumption executed by an assigning Lender (except as contemplated by Section 2.17) and an assignee, the assignee’s completed Administrative Questionnaire (unless the assignee shall already be a Lender hereunder), the processing and recordation fee referred to in paragraph </w:t>
      </w: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22"/>
          <w:szCs w:val="22"/>
          <w:color w:val="auto"/>
        </w:rPr>
        <w:t xml:space="preserve"> of this Section and any written consent to such assignment required by paragraph </w:t>
      </w: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22"/>
          <w:szCs w:val="22"/>
          <w:color w:val="auto"/>
        </w:rPr>
        <w:t xml:space="preserve">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80" w:lineRule="exact"/>
        <w:rPr>
          <w:rFonts w:ascii="Times New Roman" w:cs="Times New Roman" w:eastAsia="Times New Roman" w:hAnsi="Times New Roman"/>
          <w:sz w:val="22"/>
          <w:szCs w:val="22"/>
          <w:color w:val="auto"/>
        </w:rPr>
      </w:pPr>
    </w:p>
    <w:p>
      <w:pPr>
        <w:jc w:val="both"/>
        <w:ind w:left="1300" w:firstLine="652"/>
        <w:spacing w:after="0" w:line="253" w:lineRule="auto"/>
        <w:tabs>
          <w:tab w:leader="none" w:pos="2321" w:val="left"/>
        </w:tabs>
        <w:numPr>
          <w:ilvl w:val="0"/>
          <w:numId w:val="3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executing and delivering an Assignment and Assumption, the assigning Lender thereunder and the assignee thereunder shall be deemed to confirm to and agree with each other and the other parties hereto as follows: (A) such assigning Lender warrants that it is the legal and beneficial owner of the interest being assigned thereby free and clear of any adverse claim and that its Commitment and the outstanding balances of its Loans, in each case without giving effect to assignments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67" w:name="page368"/>
    <w:bookmarkEnd w:id="367"/>
    <w:p>
      <w:pPr>
        <w:jc w:val="both"/>
        <w:ind w:left="1300"/>
        <w:spacing w:after="0" w:line="259" w:lineRule="auto"/>
        <w:rPr>
          <w:sz w:val="20"/>
          <w:szCs w:val="20"/>
          <w:color w:val="auto"/>
        </w:rPr>
      </w:pPr>
      <w:r>
        <w:rPr>
          <w:rFonts w:ascii="Times New Roman" w:cs="Times New Roman" w:eastAsia="Times New Roman" w:hAnsi="Times New Roman"/>
          <w:sz w:val="21"/>
          <w:szCs w:val="21"/>
          <w:color w:val="auto"/>
        </w:rPr>
        <w:t xml:space="preserve">thereof that have not become effective, are as set forth in such Assignment and Assumption; (B) except as set forth in clause </w:t>
      </w:r>
      <w:r>
        <w:rPr>
          <w:rFonts w:ascii="Times New Roman" w:cs="Times New Roman" w:eastAsia="Times New Roman" w:hAnsi="Times New Roman"/>
          <w:sz w:val="21"/>
          <w:szCs w:val="21"/>
          <w:b w:val="1"/>
          <w:bCs w:val="1"/>
          <w:color w:val="auto"/>
        </w:rPr>
        <w:t>(A)</w:t>
      </w:r>
      <w:r>
        <w:rPr>
          <w:rFonts w:ascii="Times New Roman" w:cs="Times New Roman" w:eastAsia="Times New Roman" w:hAnsi="Times New Roman"/>
          <w:sz w:val="21"/>
          <w:szCs w:val="21"/>
          <w:color w:val="auto"/>
        </w:rPr>
        <w:t xml:space="preserve"> above, such assigning Lender makes no representation or warranty and assumes no responsibility with respect to any statements, warranties or representations made in or in connection with this Agreement or any other Credit Document or any other instrument or document furnished pursuant hereto or thereto, or the execution, legality, validity, enforceability, genuineness, sufficiency or value of any of the foregoing, or the financial condition of the Credit Parties or the performance or observance by the Credit Parties of any of their obligations under this Agreement or under any other Credit Document or any other instrument or document furnished pursuant hereto or thereto; (C) each of the assignee and the assignor represents and warrants that it is legally authorized to enter into such Assignment and Assumption; (D) such assignee confirms that it has received a copy of this Agreement, together with copies of any amendments or consents entered into prior to the date of such Assignment and Assumption and copies of the most recent financial statements delivered pursuant to Section 5.01 and such other documents and information as it has deemed appropriate to make its own credit analysis and decision to enter into such Assignment and Assumption; (E) such assignee will independently and without reliance upon the Agents, such assigning Lender or any other Lender and based on such documents and information as it shall deem appropriate at the time, continue to make its own credit decisions in taking or not taking action under this Agreement; (F) such assignee appoints and authorizes the Agents to take such action as agents on its behalf and to exercise such powers under this Agreement and the other Credit Documents as are delegated to them by the terms hereof and thereof, together with such powers as are reasonably incidental thereto; (G) such assignee agrees that it will not book any Loan or hold any participation in any Letter of Credit or LC Disbursement or Swingline Loan at an Austrian branch or through an Austrian Affiliate and will comply with Section 9.18 of this Agreement; and (H) such assignee agrees that it will perform in accordance with their terms all the obligations that by the terms of this Agreement are required to be performed by it as a Lender.</w:t>
      </w:r>
    </w:p>
    <w:p>
      <w:pPr>
        <w:spacing w:after="0" w:line="200" w:lineRule="exact"/>
        <w:rPr>
          <w:sz w:val="20"/>
          <w:szCs w:val="20"/>
          <w:color w:val="auto"/>
        </w:rPr>
      </w:pPr>
    </w:p>
    <w:p>
      <w:pPr>
        <w:spacing w:after="0" w:line="240" w:lineRule="exact"/>
        <w:rPr>
          <w:sz w:val="20"/>
          <w:szCs w:val="20"/>
          <w:color w:val="auto"/>
        </w:rPr>
      </w:pPr>
    </w:p>
    <w:p>
      <w:pPr>
        <w:jc w:val="both"/>
        <w:ind w:firstLine="1304"/>
        <w:spacing w:after="0" w:line="250" w:lineRule="auto"/>
        <w:tabs>
          <w:tab w:leader="none" w:pos="1590" w:val="left"/>
        </w:tabs>
        <w:numPr>
          <w:ilvl w:val="0"/>
          <w:numId w:val="3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Any Lender may, without the consent of the Borrower or the Administrative Agent, any Issuing Bank or any Swingline Lender, sell participations to one or more banks or other entities (each a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xml:space="preserve">”) in all or a portion of such Lender’s rights and/or obligations under this Agreement (including all or a portion of its Commitment and the Loans);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such Lender’s obligations under this Agreement shall remain unchanged, (B) such Lender shall remain solely responsible to the other parties hereto for the performance of such obligations and (C) the Borrower, the Administrative Agent, each Issuing Bank, each Swingline Lender and the other Lenders shall continue to deal solely and directly with such Lender in connection with such Lender’ s rights and obligations under this Agreement. Each Lender that sells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68" w:name="page369"/>
    <w:bookmarkEnd w:id="368"/>
    <w:p>
      <w:pPr>
        <w:jc w:val="both"/>
        <w:spacing w:after="0" w:line="247" w:lineRule="auto"/>
        <w:rPr>
          <w:sz w:val="20"/>
          <w:szCs w:val="20"/>
          <w:color w:val="auto"/>
        </w:rPr>
      </w:pPr>
      <w:r>
        <w:rPr>
          <w:rFonts w:ascii="Times New Roman" w:cs="Times New Roman" w:eastAsia="Times New Roman" w:hAnsi="Times New Roman"/>
          <w:sz w:val="22"/>
          <w:szCs w:val="22"/>
          <w:color w:val="auto"/>
        </w:rPr>
        <w:t>participation pursuant to this Section 9.04(c) shall, acting solely for this purpose as a non-fiduciary agent of the Borrower, maintain a register on which it records the name and address of each participant to which it has sold a participation and the principal amounts (and stated interest) of each such participant’s interest in the Loans or other rights and obligations of such Lender under this Agreement (the “</w:t>
      </w: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xml:space="preserve">”); provided that no Lender shall have any obligation to disclose all or any portion of the Participant Register to any Person (including the identity of any participant or any information relating to a participant’s interest in any Loans or other rights and obligations under any Credit Document) except to the extent that such disclosure is necessary to establish that such Loan or other right or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under this Agreement, notwithstanding any notice to the contrary.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agreement or instrument may provide that such Lender will not, without the consent of the Participant, agree to any amendment, modification or waiver that affects such Participant and that, under Section 9.02, would require the consent of each affected Lender. Subject to paragraph (c)(ii) of this Section, the Borrower agrees that each Participant shall be entitled to the benefits of Sections 2.13, 2.14 and 2.15 (subject to the requirements and limitations under Sections 2.15(f) and (g) (it being understood that the documentation required under Sections 2.15(f) and (g) shall be delivered to the applicable Lender)) to the same extent as if it were a Lender and had acquired its interest by assignment pursuant to paragraph (b) of this Section. To the extent permitted by law, each Participant also shall be entitled to the benefits of Section 9.08 as though it were a Lender, provided such Participant agrees to be subject to Section 2.16(d) as though it were a Lender.</w:t>
      </w:r>
    </w:p>
    <w:p>
      <w:pPr>
        <w:spacing w:after="0" w:line="193" w:lineRule="exact"/>
        <w:rPr>
          <w:sz w:val="20"/>
          <w:szCs w:val="20"/>
          <w:color w:val="auto"/>
        </w:rPr>
      </w:pPr>
    </w:p>
    <w:p>
      <w:pPr>
        <w:jc w:val="both"/>
        <w:ind w:left="1300" w:firstLine="652"/>
        <w:spacing w:after="0" w:line="252" w:lineRule="auto"/>
        <w:tabs>
          <w:tab w:leader="none" w:pos="2280" w:val="left"/>
        </w:tabs>
        <w:numPr>
          <w:ilvl w:val="1"/>
          <w:numId w:val="3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 shall not be entitled to receive any greater payment under Section 2.13 or 2.15 than the applicable Lender would have been entitled to receive with respect to the participation sold to such Participant, unless the sale of the participation to such Participant is made with the Borrower’s prior written consent, which consent shall specifically refer to this exception.</w:t>
      </w:r>
    </w:p>
    <w:p>
      <w:pPr>
        <w:spacing w:after="0" w:line="192" w:lineRule="exact"/>
        <w:rPr>
          <w:rFonts w:ascii="Times New Roman" w:cs="Times New Roman" w:eastAsia="Times New Roman" w:hAnsi="Times New Roman"/>
          <w:sz w:val="22"/>
          <w:szCs w:val="22"/>
          <w:color w:val="auto"/>
        </w:rPr>
      </w:pPr>
    </w:p>
    <w:p>
      <w:pPr>
        <w:jc w:val="both"/>
        <w:ind w:firstLine="1304"/>
        <w:spacing w:after="0" w:line="248" w:lineRule="auto"/>
        <w:tabs>
          <w:tab w:leader="none" w:pos="1615" w:val="left"/>
        </w:tabs>
        <w:numPr>
          <w:ilvl w:val="0"/>
          <w:numId w:val="3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Lender may, without the consent of the Borrower, the Administrative Agent or any other person, at any time pledge or assign a security interest in all or any portion of its rights under this Agreement to secure obligations of such Lender, including any pledge or assignment to secure obligations to a Federal Reserve Bank or other central banking authority, and this Section shall not apply to any such pledge or assignment of a security interest;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pledge or assignment of a security interest shall release a Lender from any of its obligations hereunder or substitute any such pledgee or assignee for such Lender as a party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69" w:name="page370"/>
    <w:bookmarkEnd w:id="369"/>
    <w:p>
      <w:pPr>
        <w:jc w:val="both"/>
        <w:ind w:firstLine="1304"/>
        <w:spacing w:after="0" w:line="257" w:lineRule="auto"/>
        <w:tabs>
          <w:tab w:leader="none" w:pos="1644" w:val="left"/>
        </w:tabs>
        <w:numPr>
          <w:ilvl w:val="0"/>
          <w:numId w:val="3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herein, the replacement of any Lender pursuant to Section 2.17 shall be deemed an assignment pursuant to Section 9.04(b) and shall be valid and in full force and effect for all purposes under this Agreement.</w:t>
      </w:r>
    </w:p>
    <w:p>
      <w:pPr>
        <w:spacing w:after="0" w:line="186"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1"/>
          <w:szCs w:val="21"/>
          <w:color w:val="auto"/>
        </w:rPr>
        <w:t xml:space="preserve">SECTION 9.05. </w:t>
      </w:r>
      <w:r>
        <w:rPr>
          <w:rFonts w:ascii="Times New Roman" w:cs="Times New Roman" w:eastAsia="Times New Roman" w:hAnsi="Times New Roman"/>
          <w:sz w:val="21"/>
          <w:szCs w:val="21"/>
          <w:u w:val="single" w:color="auto"/>
          <w:color w:val="auto"/>
        </w:rPr>
        <w:t>Survival.</w:t>
      </w:r>
      <w:r>
        <w:rPr>
          <w:rFonts w:ascii="Times New Roman" w:cs="Times New Roman" w:eastAsia="Times New Roman" w:hAnsi="Times New Roman"/>
          <w:sz w:val="21"/>
          <w:szCs w:val="21"/>
          <w:color w:val="auto"/>
        </w:rPr>
        <w:t xml:space="preserve"> All covenants, agreements, representations and warranties made by the Borrower herein and in the certificates or other instruments delivered in connection with or pursuant to this Agreement shall be considered to have been relied upon by the other parties hereto and shall survive the execution and delivery of this Agreement and the making of any Loans and issuance of any Letters of Credit, regardless of any investigation made by any such other party or on its behalf and notwithstanding that any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been terminated. The provisions of Sections 2.13, 2.14, 2.15 and 9.03 and Article VIII shall survive and remain in full force and effect regardless of the consummation of the transactions contemplated hereby, the repayment of the Loans, the expiration or termination of the Letters of Credit or the Commitments or the termination of this Agreement or any provision hereof.</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SECTION 9.06. </w:t>
      </w:r>
      <w:r>
        <w:rPr>
          <w:rFonts w:ascii="Times New Roman" w:cs="Times New Roman" w:eastAsia="Times New Roman" w:hAnsi="Times New Roman"/>
          <w:sz w:val="22"/>
          <w:szCs w:val="22"/>
          <w:u w:val="single" w:color="auto"/>
          <w:color w:val="auto"/>
        </w:rPr>
        <w:t>Counterparts; Integration; Effectiveness; Issuing Banks.</w:t>
      </w:r>
    </w:p>
    <w:p>
      <w:pPr>
        <w:spacing w:after="0" w:line="220" w:lineRule="exact"/>
        <w:rPr>
          <w:sz w:val="20"/>
          <w:szCs w:val="20"/>
          <w:color w:val="auto"/>
        </w:rPr>
      </w:pPr>
    </w:p>
    <w:p>
      <w:pPr>
        <w:jc w:val="both"/>
        <w:ind w:firstLine="1304"/>
        <w:spacing w:after="0" w:line="248" w:lineRule="auto"/>
        <w:tabs>
          <w:tab w:leader="none" w:pos="1603" w:val="left"/>
        </w:tabs>
        <w:numPr>
          <w:ilvl w:val="0"/>
          <w:numId w:val="3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the other Credit Documents, the Issuing Bank Agreements, any Swingline Agreement and any separate letter agreements with respect to fees payable to the Administrative Agent or the Arrangers constitute the entire contract among the parties relating to the subject matter hereof and supersede any and all previous agreements and understandings, oral or written, relating to the subject matter hereof (but do not supersede any provisions of any commitment, engagement or fee letter that by the terms of such document survive the execution and delivery of this Agreement). Except as provided in Section 4.01, this amendment and restatement of the Existing Credit Agreement shall become effective when it shall have been executed by the Administrative Agent and when the Administrative Agent (or its counsel) shall have received counterparts hereof which, when taken together, bear the signatures of each of the other parties hereto (or written evidence satisfactory to the Administrative Agent (which may include telecopy or electronic transmission of a signed signature page of this Agreement) that each such party has signed a counterpart of this Agreement), and thereafter shall be binding upon and inure to the benefit of the parties hereto and their respective successors and assigns.</w:t>
      </w:r>
    </w:p>
    <w:p>
      <w:pPr>
        <w:spacing w:after="0" w:line="188" w:lineRule="exact"/>
        <w:rPr>
          <w:rFonts w:ascii="Times New Roman" w:cs="Times New Roman" w:eastAsia="Times New Roman" w:hAnsi="Times New Roman"/>
          <w:sz w:val="22"/>
          <w:szCs w:val="22"/>
          <w:color w:val="auto"/>
        </w:rPr>
      </w:pPr>
    </w:p>
    <w:p>
      <w:pPr>
        <w:jc w:val="both"/>
        <w:ind w:firstLine="1304"/>
        <w:spacing w:after="0" w:line="257" w:lineRule="auto"/>
        <w:tabs>
          <w:tab w:leader="none" w:pos="1602" w:val="left"/>
        </w:tabs>
        <w:numPr>
          <w:ilvl w:val="0"/>
          <w:numId w:val="3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Delivery of an executed counterpart of a signature page of (x) this Agreement, (y) any other Credit Document and/or (z) any document, amendment, approval, consent, information, notice (including, for the avoidance of doubt, any notice delivered pursuant to Section 9.01), certificate, request, statement, disclosure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70" w:name="page371"/>
    <w:bookmarkEnd w:id="370"/>
    <w:p>
      <w:pPr>
        <w:jc w:val="both"/>
        <w:spacing w:after="0" w:line="258" w:lineRule="auto"/>
        <w:rPr>
          <w:sz w:val="20"/>
          <w:szCs w:val="20"/>
          <w:color w:val="auto"/>
        </w:rPr>
      </w:pPr>
      <w:r>
        <w:rPr>
          <w:rFonts w:ascii="Times New Roman" w:cs="Times New Roman" w:eastAsia="Times New Roman" w:hAnsi="Times New Roman"/>
          <w:sz w:val="21"/>
          <w:szCs w:val="21"/>
          <w:color w:val="auto"/>
        </w:rPr>
        <w:t>authorization related to this Agreement, any other Credit Document and/or the transactions contemplated hereby and/or thereby (each an “</w:t>
      </w:r>
      <w:r>
        <w:rPr>
          <w:rFonts w:ascii="Times New Roman" w:cs="Times New Roman" w:eastAsia="Times New Roman" w:hAnsi="Times New Roman"/>
          <w:sz w:val="21"/>
          <w:szCs w:val="21"/>
          <w:u w:val="single" w:color="auto"/>
          <w:color w:val="auto"/>
        </w:rPr>
        <w:t>Ancillary Document</w:t>
      </w:r>
      <w:r>
        <w:rPr>
          <w:rFonts w:ascii="Times New Roman" w:cs="Times New Roman" w:eastAsia="Times New Roman" w:hAnsi="Times New Roman"/>
          <w:sz w:val="21"/>
          <w:szCs w:val="21"/>
          <w:color w:val="auto"/>
        </w:rPr>
        <w:t xml:space="preserve">”) that is an Electronic Signature transmitted by telecopy, emailed pdf. or any other electronic means that reproduces an image of an actual executed signature page shall be effective as delivery of a manually executed counterpart of this Agreement, such other Credit Document or such Ancillary Document, as applicable. The words “execution”, “signed”, “signature”, “delivery” and words of like import in or relating to this Agreement, any other Credit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nothing herein shall require the Administrative Agent to accept Electronic Signatures in any form or format without its prior written consent and pursuant to procedures approved by 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without limiting the foregoing, (i) to the extent the Administrative Agent has agreed to accept any Electronic Signature, the Administrative Agent and each of the Lenders shall be entitled to rely on such Electronic Signature purportedly given by or on behalf of the Borrower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Borrower hereby (i) agrees that, for all purposes, including without limitation, in connection with any workout, restructuring, enforcement of remedies, bankruptcy proceedings or litigation among the Administrative Agent, the Lenders and the Borrower, Electronic Signatures transmitted by telecopy, emailed pdf. or any other electronic means that reproduces an image of an actual executed signature page and/or any electronic images of this Agreement, any other Credit Document and/or any Ancillary Document shall have the same legal effect, validity and enforceability as any paper original, (ii) the Administrative Agent and each of the Lenders may, at its option, create one or more copies of this Agreement, any other Credit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Credit Document and/or any Ancillary Document based solely on the lack of paper original copies of this Agreement, such other Credit Document and/or such Ancillary Document, respectively, including with respect to any signature pages thereto and</w:t>
      </w:r>
    </w:p>
    <w:p>
      <w:pPr>
        <w:spacing w:after="0" w:line="8" w:lineRule="exact"/>
        <w:rPr>
          <w:sz w:val="20"/>
          <w:szCs w:val="20"/>
          <w:color w:val="auto"/>
        </w:rPr>
      </w:pPr>
    </w:p>
    <w:p>
      <w:pPr>
        <w:jc w:val="both"/>
        <w:ind w:firstLine="8"/>
        <w:spacing w:after="0" w:line="249" w:lineRule="auto"/>
        <w:tabs>
          <w:tab w:leader="none" w:pos="367" w:val="left"/>
        </w:tabs>
        <w:numPr>
          <w:ilvl w:val="0"/>
          <w:numId w:val="3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waives any claim against any Lender-Related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to use any available security measures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71" w:name="page372"/>
    <w:bookmarkEnd w:id="371"/>
    <w:p>
      <w:pPr>
        <w:jc w:val="both"/>
        <w:spacing w:after="0" w:line="256" w:lineRule="auto"/>
        <w:rPr>
          <w:sz w:val="20"/>
          <w:szCs w:val="20"/>
          <w:color w:val="auto"/>
        </w:rPr>
      </w:pPr>
      <w:r>
        <w:rPr>
          <w:rFonts w:ascii="Times New Roman" w:cs="Times New Roman" w:eastAsia="Times New Roman" w:hAnsi="Times New Roman"/>
          <w:sz w:val="22"/>
          <w:szCs w:val="22"/>
          <w:color w:val="auto"/>
        </w:rPr>
        <w:t>connection with the execution, delivery or transmission of any Electronic Signature. Each financial institution that shall be party to an Issuing Bank Agreement executed by the Borrower and the Administrative Agent shall be a party to and an Issuing Bank under this Agreement, and shall have all the rights and duties of an Issuing Bank hereunder and under its Issuing Bank Agreement. Each Lender hereby authorizes the Administrative Agent to enter into Issuing Bank Agreements.</w:t>
      </w:r>
    </w:p>
    <w:p>
      <w:pPr>
        <w:spacing w:after="0" w:line="176"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9.07.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xml:space="preserve">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No failure to obtain any approval required for the effectiveness of any provision of this Agreement shall affect the validity or enforceability of any other provision of this Agreement.</w:t>
      </w:r>
    </w:p>
    <w:p>
      <w:pPr>
        <w:spacing w:after="0" w:line="181"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9.08. </w:t>
      </w:r>
      <w:r>
        <w:rPr>
          <w:rFonts w:ascii="Times New Roman" w:cs="Times New Roman" w:eastAsia="Times New Roman" w:hAnsi="Times New Roman"/>
          <w:sz w:val="22"/>
          <w:szCs w:val="22"/>
          <w:u w:val="single" w:color="auto"/>
          <w:color w:val="auto"/>
        </w:rPr>
        <w:t>Right of Setoff.</w:t>
      </w:r>
      <w:r>
        <w:rPr>
          <w:rFonts w:ascii="Times New Roman" w:cs="Times New Roman" w:eastAsia="Times New Roman" w:hAnsi="Times New Roman"/>
          <w:sz w:val="22"/>
          <w:szCs w:val="22"/>
          <w:color w:val="auto"/>
        </w:rPr>
        <w:t xml:space="preserve"> If an Event of Default shall have occurred and be continuing and the Loans shall have become due and payable pursuant to Article VII, each Lender, each Issuing Bank and each Affiliate of any of the foregoing is hereby authorized at any time and from time to time, to the fullest extent permitted by law, to set off and apply any and all deposits (general or special, time or demand, provisional or final) at any time held and other obligations at any time owing by such Lender, Issuing Bank or Affiliate to or for the credit or the account of the Borrower against any of and all the obligations of the Borrower now or hereafter existing under this Agreement held by such Lender or such Issuing Bank, irrespective of whether or not such Lender or such Issuing Bank shall have made any demand under this Agreement and although such obligations may be unmatured. The rights of each of the Lenders and the Issuing Banks under this Section are in addition to other rights and remedies (including other rights of setoff) which such Person may have.</w:t>
      </w:r>
    </w:p>
    <w:p>
      <w:pPr>
        <w:spacing w:after="0" w:line="19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9.09. </w:t>
      </w:r>
      <w:r>
        <w:rPr>
          <w:rFonts w:ascii="Times New Roman" w:cs="Times New Roman" w:eastAsia="Times New Roman" w:hAnsi="Times New Roman"/>
          <w:sz w:val="22"/>
          <w:szCs w:val="22"/>
          <w:u w:val="single" w:color="auto"/>
          <w:color w:val="auto"/>
        </w:rPr>
        <w:t>Governing Law; Jurisdiction; Consent to Service of Process.</w:t>
      </w:r>
      <w:r>
        <w:rPr>
          <w:rFonts w:ascii="Times New Roman" w:cs="Times New Roman" w:eastAsia="Times New Roman" w:hAnsi="Times New Roman"/>
          <w:sz w:val="22"/>
          <w:szCs w:val="22"/>
          <w:color w:val="auto"/>
        </w:rPr>
        <w:t xml:space="preserve"> (a) THIS AGREEMENT AND ANY CLAIM, CONTROVERSY, DISPUTE OR CAUSE OF ACTION (WHETHER BASED UPON CONTRACT, TORT OR OTHERWISE AND IN LAW OR IN EQUITY) ARISING UNDER OR RELATED TO THIS AGREEMENT OR THE TRANSACTIONS CONTEMPLATED HEREBY SHALL BE CONSTRUED IN ACCORDANCE WITH AND GOVERNED BY THE LAW OF THE STATE OF NEW YORK, WITHOUT REGARD TO CONFLICT OF LAWS PRINCIPLES THEREOF THAT WOULD RESULT IN THE APPLICATION OF ANY LAW OTHER THAN THE LAW OF THE STATE OF NEW YORK.</w:t>
      </w:r>
    </w:p>
    <w:p>
      <w:pPr>
        <w:spacing w:after="0" w:line="180" w:lineRule="exact"/>
        <w:rPr>
          <w:sz w:val="20"/>
          <w:szCs w:val="20"/>
          <w:color w:val="auto"/>
        </w:rPr>
      </w:pPr>
    </w:p>
    <w:p>
      <w:pPr>
        <w:jc w:val="both"/>
        <w:ind w:firstLine="1304"/>
        <w:spacing w:after="0" w:line="252" w:lineRule="auto"/>
        <w:tabs>
          <w:tab w:leader="none" w:pos="1669" w:val="left"/>
        </w:tabs>
        <w:numPr>
          <w:ilvl w:val="0"/>
          <w:numId w:val="3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the last sentence of this paragraph, each party hereto hereby irrevocably and unconditionally submits, for itself and its property, to the exclusive jurisdiction of the United States District Court of the Southern District of New York sitting in the Borough of Manhattan (or if such court lacks subject matter jurisdiction, the Supreme Court of the State of New York sitting in the Borough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72" w:name="page373"/>
    <w:bookmarkEnd w:id="372"/>
    <w:p>
      <w:pPr>
        <w:jc w:val="both"/>
        <w:spacing w:after="0" w:line="248" w:lineRule="auto"/>
        <w:rPr>
          <w:sz w:val="20"/>
          <w:szCs w:val="20"/>
          <w:color w:val="auto"/>
        </w:rPr>
      </w:pPr>
      <w:r>
        <w:rPr>
          <w:rFonts w:ascii="Times New Roman" w:cs="Times New Roman" w:eastAsia="Times New Roman" w:hAnsi="Times New Roman"/>
          <w:sz w:val="22"/>
          <w:szCs w:val="22"/>
          <w:color w:val="auto"/>
        </w:rPr>
        <w:t>Manhattan) and any appellate court from any thereof, in any action or proceeding arising out of or relating to this Agreement,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any other Credit Document shall (i) affect any right of the Collateral Agent to bring any action or proceeding relating to any Collateral in the courts of any jurisdiction where such Collateral is located or deemed located, or to bring any action or proceeding against the Borrower or a Subsidiary Guarantor in the jurisdiction of the Borrower or such Subsidiary Guarantor, as applicable, (ii) waive any statutory, regulatory, common law, or other rule, doctrine, legal restriction, provision or the like providing for the treatment of bank branches, bank agencies, or other bank offices as if they were separate juridical entities for certain purposes, including Uniform Commercial Code Sections 4-106, 4-A-105(1)(b), and 5-116(b), UCP 600 Article 3 and ISP98 Rule 2.02, and URDG 758 Article 3(a) or (iii) affect which courts have or do not have personal jurisdiction over the issuing bank or beneficiary of any Letter of Credit or any advising bank, nominated bank or assignee of proceeds thereunder or proper venue with respect to any litigation arising out of or relating to such Letter of Credit with, or affecting the rights of, any Person not a party to this Agreement, whether or not such Letter of Credit contains its own jurisdiction submission clause.</w:t>
      </w:r>
    </w:p>
    <w:p>
      <w:pPr>
        <w:spacing w:after="0" w:line="183" w:lineRule="exact"/>
        <w:rPr>
          <w:sz w:val="20"/>
          <w:szCs w:val="20"/>
          <w:color w:val="auto"/>
        </w:rPr>
      </w:pPr>
    </w:p>
    <w:p>
      <w:pPr>
        <w:jc w:val="both"/>
        <w:ind w:left="80" w:firstLine="1224"/>
        <w:spacing w:after="0" w:line="253" w:lineRule="auto"/>
        <w:tabs>
          <w:tab w:leader="none" w:pos="1616" w:val="left"/>
        </w:tabs>
        <w:numPr>
          <w:ilvl w:val="0"/>
          <w:numId w:val="3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party hereto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w:t>
      </w:r>
      <w:r>
        <w:rPr>
          <w:rFonts w:ascii="Times New Roman" w:cs="Times New Roman" w:eastAsia="Times New Roman" w:hAnsi="Times New Roman"/>
          <w:sz w:val="22"/>
          <w:szCs w:val="22"/>
          <w:b w:val="1"/>
          <w:bCs w:val="1"/>
          <w:color w:val="auto"/>
        </w:rPr>
        <w:t>paragraph (b)</w:t>
      </w:r>
      <w:r>
        <w:rPr>
          <w:rFonts w:ascii="Times New Roman" w:cs="Times New Roman" w:eastAsia="Times New Roman" w:hAnsi="Times New Roman"/>
          <w:sz w:val="22"/>
          <w:szCs w:val="22"/>
          <w:color w:val="auto"/>
        </w:rPr>
        <w:t xml:space="preserve"> of this Section. Each of the parties hereto hereby irrevocably waives, to the fullest extent permitted by law, the defense of an inconvenient forum to the maintenance of such action or proceeding in any such court.</w:t>
      </w:r>
    </w:p>
    <w:p>
      <w:pPr>
        <w:spacing w:after="0" w:line="178" w:lineRule="exact"/>
        <w:rPr>
          <w:rFonts w:ascii="Times New Roman" w:cs="Times New Roman" w:eastAsia="Times New Roman" w:hAnsi="Times New Roman"/>
          <w:sz w:val="22"/>
          <w:szCs w:val="22"/>
          <w:color w:val="auto"/>
        </w:rPr>
      </w:pPr>
    </w:p>
    <w:p>
      <w:pPr>
        <w:jc w:val="both"/>
        <w:ind w:left="80" w:firstLine="1224"/>
        <w:spacing w:after="0" w:line="257" w:lineRule="auto"/>
        <w:tabs>
          <w:tab w:leader="none" w:pos="1601" w:val="left"/>
        </w:tabs>
        <w:numPr>
          <w:ilvl w:val="0"/>
          <w:numId w:val="3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to this Agreement irrevocably consents to service of process in the manner provided for notices in Section 9.01. Nothing in this Agreement will affect the right of any party to this Agreement to serve process in any other manner permitted by law.</w:t>
      </w:r>
    </w:p>
    <w:p>
      <w:pPr>
        <w:spacing w:after="0" w:line="173"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9.10. </w:t>
      </w:r>
      <w:r>
        <w:rPr>
          <w:rFonts w:ascii="Times New Roman" w:cs="Times New Roman" w:eastAsia="Times New Roman" w:hAnsi="Times New Roman"/>
          <w:sz w:val="22"/>
          <w:szCs w:val="22"/>
          <w:u w:val="single" w:color="auto"/>
          <w:color w:val="auto"/>
        </w:rPr>
        <w:t>WAIVER OF JURY TRIAL.</w:t>
      </w:r>
      <w:r>
        <w:rPr>
          <w:rFonts w:ascii="Times New Roman" w:cs="Times New Roman" w:eastAsia="Times New Roman" w:hAnsi="Times New Roman"/>
          <w:sz w:val="22"/>
          <w:szCs w:val="22"/>
          <w:color w:val="auto"/>
        </w:rPr>
        <w:t xml:space="preserve"> EACH PARTY HERETO HEREBY WAIVES, TO THE FULLEST EXTENT PERMITTED BY APPLICABLE LAW, ANY RIGHT IT MAY HAVE TO A TRIAL BY JURY IN ANY LEGAL PROCEEDING DIRECTLY OR INDIRECTLY ARISING OUT OF OR RELATING TO THIS AGREEMENT OR THE TRANSACTIONS CONTEMPLATED HEREBY (WHETHER BASED ON CONTRACT, TORT OR ANY OTHER THEORY). EACH PARTY HERETO (A) CERTIFIES THAT NO REPRESENTATIVE, AGENT OR ATTORNEY OF ANY OTHER PARTY HAS REPRESENTED, EXPRESSLY OR OTHERWISE, THAT SUCH OTHER PARTY WOULD NOT, IN THE EVENT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73" w:name="page374"/>
    <w:bookmarkEnd w:id="373"/>
    <w:p>
      <w:pPr>
        <w:jc w:val="both"/>
        <w:spacing w:after="0" w:line="257" w:lineRule="auto"/>
        <w:rPr>
          <w:sz w:val="20"/>
          <w:szCs w:val="20"/>
          <w:color w:val="auto"/>
        </w:rPr>
      </w:pPr>
      <w:r>
        <w:rPr>
          <w:rFonts w:ascii="Times New Roman" w:cs="Times New Roman" w:eastAsia="Times New Roman" w:hAnsi="Times New Roman"/>
          <w:sz w:val="22"/>
          <w:szCs w:val="22"/>
          <w:color w:val="auto"/>
        </w:rPr>
        <w:t>LITIGATION, SEEK TO ENFORCE THE FOREGOING WAIVER AND (B) ACKNOWLEDGES THAT IT AND THE OTHER PARTIES HERETO HAVE BEEN INDUCED TO ENTER INTO THIS AGREEMENT BY, AMONG OTHER THINGS, THE MUTUAL WAIVERS AND CERTIFICATIONS IN THIS SECTION.</w:t>
      </w:r>
    </w:p>
    <w:p>
      <w:pPr>
        <w:spacing w:after="0" w:line="18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9.11.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xml:space="preserve"> Article and Section headings and the Table of Contents used herein are for convenience of reference only, are not part of this Agreement and shall not affect the construction of, or be taken into consideration in interpreting, this Agreement.</w:t>
      </w:r>
    </w:p>
    <w:p>
      <w:pPr>
        <w:spacing w:after="0" w:line="173"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1"/>
          <w:szCs w:val="21"/>
          <w:color w:val="auto"/>
        </w:rPr>
        <w:t xml:space="preserve">SECTION 9.12. </w:t>
      </w: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 xml:space="preserve"> Each of the Agents, the Issuing Banks and the Lenders agrees to maintain the confidentiality of the Information (as defined below), except that Information may be disclosed (a) to its Affiliates and its and their respective directors, officers, employees and agents, including accountants, legal counsel and other advisors who have been informed of the confidential nature of such Information and instructed to keep such Information confidential, (b) to the extent requested by any regulatory or self-regulatory authority (including the NAIC) with jurisdiction over it, (c) to the extent required by applicable laws or regulations or by any subpoena or similar legal process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it shall, to the extent permitted by law and regulation, give the Borrower prompt notice after obtaining knowledge of any such subpoena or similar legal process so that the Borrower may at its own expense seek a protective order or other appropriate remedy), (d) to any other party to this Agreement, (e) to the extent necessary or advisable in connection with the exercise of any remedies hereunder or any suit, action or proceeding relating to this Agreement or the enforcement of rights hereunder, (f) subject to an agreement containing provisions substantially the same as those of this Section, to (i) any assignee of or Participant in, or any prospective assignee of or Participant in, any of its rights or obligations under this Agreement, (ii) any credit insurance provider in connection with any credit insurance, or prospective credit insurance, relating to the Borrower and any of its obligations or (iii) any actual or prospective counterparty (or its advisors) to any swap, derivative or insurance transaction relating to the Borrower and its obligations, (g) with the written consent of the Borrower or (h) to the extent such Information (i) becomes publicly available other than as a result of a breach of this Section, (ii) becomes available to any Agent, any Issuing Bank or any Lender on a nonconfidential basis from a source other than the Borrower or any other party to this Agreement that is not known by the recipient to be bound by a confidentiality agreement or other obligation of confidentiality with respect to such information or (iii) was available to any Agent, any Issuing Bank or any Lender on a non-confidential basis prior to its disclosure by the Borrower or any other party to this Agreement from a source other than the Borrower or any other party to this Agreement that is not known by the recipient to be bound by a confidentiality agreement or other obligation of confidentiality with respect to such information. For the purposes of this Section, “</w:t>
      </w:r>
      <w:r>
        <w:rPr>
          <w:rFonts w:ascii="Times New Roman" w:cs="Times New Roman" w:eastAsia="Times New Roman" w:hAnsi="Times New Roman"/>
          <w:sz w:val="21"/>
          <w:szCs w:val="21"/>
          <w:u w:val="single" w:color="auto"/>
          <w:color w:val="auto"/>
        </w:rPr>
        <w:t>Information</w:t>
      </w:r>
      <w:r>
        <w:rPr>
          <w:rFonts w:ascii="Times New Roman" w:cs="Times New Roman" w:eastAsia="Times New Roman" w:hAnsi="Times New Roman"/>
          <w:sz w:val="21"/>
          <w:szCs w:val="21"/>
          <w:color w:val="auto"/>
        </w:rPr>
        <w:t>” means all information received from the Borrower or Persons acting on its behalf relating to the Borrower or its business, other than, after the earlier of (A) the date that is four Business Days after the Restatement Date or (B) the date on which the Borrower files a Form 8-K with the SEC with respect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-3953510</wp:posOffset>
            </wp:positionV>
            <wp:extent cx="4500245" cy="1454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9">
                      <a:extLst>
                        <a:ext uri="{28A0092B-C50C-407E-A947-70E740481C1C}"/>
                      </a:extLst>
                    </a:blip>
                    <a:srcRect/>
                    <a:stretch>
                      <a:fillRect/>
                    </a:stretch>
                  </pic:blipFill>
                  <pic:spPr bwMode="auto">
                    <a:xfrm>
                      <a:off x="0" y="0"/>
                      <a:ext cx="4500245" cy="14541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-3130550</wp:posOffset>
            </wp:positionV>
            <wp:extent cx="2211705" cy="1454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0">
                      <a:extLst>
                        <a:ext uri="{28A0092B-C50C-407E-A947-70E740481C1C}"/>
                      </a:extLst>
                    </a:blip>
                    <a:srcRect/>
                    <a:stretch>
                      <a:fillRect/>
                    </a:stretch>
                  </pic:blipFill>
                  <pic:spPr bwMode="auto">
                    <a:xfrm>
                      <a:off x="0" y="0"/>
                      <a:ext cx="221170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74" w:name="page375"/>
    <w:bookmarkEnd w:id="374"/>
    <w:p>
      <w:pPr>
        <w:jc w:val="both"/>
        <w:spacing w:after="0" w:line="271" w:lineRule="auto"/>
        <w:rPr>
          <w:sz w:val="20"/>
          <w:szCs w:val="20"/>
          <w:color w:val="auto"/>
        </w:rPr>
      </w:pPr>
      <w:r>
        <w:rPr>
          <w:rFonts w:ascii="Times New Roman" w:cs="Times New Roman" w:eastAsia="Times New Roman" w:hAnsi="Times New Roman"/>
          <w:sz w:val="22"/>
          <w:szCs w:val="22"/>
          <w:color w:val="auto"/>
        </w:rPr>
        <w:t>information pertaining to this Agreement routinely provided by arrangers of credit facilities to data service providers, including league table providers, that serve the lending industry.</w:t>
      </w:r>
    </w:p>
    <w:p>
      <w:pPr>
        <w:spacing w:after="0" w:line="15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For the avoidance of doubt, nothing in this Section 9.12 shall prohibit any Person from voluntarily disclosing or providing any Information within the scope of this confidentiality provision to any governmental, regulatory or self-regulatory organization (any such entity, a “</w:t>
      </w:r>
      <w:r>
        <w:rPr>
          <w:rFonts w:ascii="Times New Roman" w:cs="Times New Roman" w:eastAsia="Times New Roman" w:hAnsi="Times New Roman"/>
          <w:sz w:val="22"/>
          <w:szCs w:val="22"/>
          <w:u w:val="single" w:color="auto"/>
          <w:color w:val="auto"/>
        </w:rPr>
        <w:t>Regulatory Authority</w:t>
      </w:r>
      <w:r>
        <w:rPr>
          <w:rFonts w:ascii="Times New Roman" w:cs="Times New Roman" w:eastAsia="Times New Roman" w:hAnsi="Times New Roman"/>
          <w:sz w:val="22"/>
          <w:szCs w:val="22"/>
          <w:color w:val="auto"/>
          <w:highlight w:val="white"/>
        </w:rPr>
        <w:t>”) to the extent that any such prohibition on disclosure set forth in this</w:t>
      </w:r>
      <w:r>
        <w:rPr>
          <w:rFonts w:ascii="Times New Roman" w:cs="Times New Roman" w:eastAsia="Times New Roman" w:hAnsi="Times New Roman"/>
          <w:sz w:val="22"/>
          <w:szCs w:val="22"/>
          <w:color w:val="auto"/>
        </w:rPr>
        <w:t xml:space="preserve"> Section 9.12 shall be prohibited by the laws or regulations applicable to such Regulatory Authority.</w:t>
      </w:r>
    </w:p>
    <w:p>
      <w:pPr>
        <w:spacing w:after="0" w:line="176"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1"/>
          <w:szCs w:val="21"/>
          <w:color w:val="auto"/>
        </w:rPr>
        <w:t xml:space="preserve">SECTION 9.13. </w:t>
      </w:r>
      <w:r>
        <w:rPr>
          <w:rFonts w:ascii="Times New Roman" w:cs="Times New Roman" w:eastAsia="Times New Roman" w:hAnsi="Times New Roman"/>
          <w:sz w:val="21"/>
          <w:szCs w:val="21"/>
          <w:u w:val="single" w:color="auto"/>
          <w:color w:val="auto"/>
        </w:rPr>
        <w:t>Interest Rate Limitation.</w:t>
      </w:r>
      <w:r>
        <w:rPr>
          <w:rFonts w:ascii="Times New Roman" w:cs="Times New Roman" w:eastAsia="Times New Roman" w:hAnsi="Times New Roman"/>
          <w:sz w:val="21"/>
          <w:szCs w:val="21"/>
          <w:color w:val="auto"/>
        </w:rPr>
        <w:t xml:space="preserve"> Notwithstanding anything herein to the contrary, if at any time the interest rate applicable to any Loan, together with all fees, charges and other amounts which are treated as interest on such Loan under applicable law (collectively, the “</w:t>
      </w:r>
      <w:r>
        <w:rPr>
          <w:rFonts w:ascii="Times New Roman" w:cs="Times New Roman" w:eastAsia="Times New Roman" w:hAnsi="Times New Roman"/>
          <w:sz w:val="21"/>
          <w:szCs w:val="21"/>
          <w:u w:val="single" w:color="auto"/>
          <w:color w:val="auto"/>
        </w:rPr>
        <w:t>Charges</w:t>
      </w:r>
      <w:r>
        <w:rPr>
          <w:rFonts w:ascii="Times New Roman" w:cs="Times New Roman" w:eastAsia="Times New Roman" w:hAnsi="Times New Roman"/>
          <w:sz w:val="21"/>
          <w:szCs w:val="21"/>
          <w:color w:val="auto"/>
        </w:rPr>
        <w:t>”), shall exceed the maximum lawful rate (the “</w:t>
      </w:r>
      <w:r>
        <w:rPr>
          <w:rFonts w:ascii="Times New Roman" w:cs="Times New Roman" w:eastAsia="Times New Roman" w:hAnsi="Times New Roman"/>
          <w:sz w:val="21"/>
          <w:szCs w:val="21"/>
          <w:u w:val="single" w:color="auto"/>
          <w:color w:val="auto"/>
        </w:rPr>
        <w:t>Maximum Rate</w:t>
      </w:r>
      <w:r>
        <w:rPr>
          <w:rFonts w:ascii="Times New Roman" w:cs="Times New Roman" w:eastAsia="Times New Roman" w:hAnsi="Times New Roman"/>
          <w:sz w:val="21"/>
          <w:szCs w:val="21"/>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Alternate Base Rate to the date of repayment, shall have been received by such Lender.</w:t>
      </w:r>
    </w:p>
    <w:p>
      <w:pPr>
        <w:spacing w:after="0" w:line="170"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1"/>
          <w:szCs w:val="21"/>
          <w:color w:val="auto"/>
        </w:rPr>
        <w:t xml:space="preserve">SECTION 9.14. </w:t>
      </w:r>
      <w:r>
        <w:rPr>
          <w:rFonts w:ascii="Times New Roman" w:cs="Times New Roman" w:eastAsia="Times New Roman" w:hAnsi="Times New Roman"/>
          <w:sz w:val="21"/>
          <w:szCs w:val="21"/>
          <w:u w:val="single" w:color="auto"/>
          <w:color w:val="auto"/>
        </w:rPr>
        <w:t>Security Documents</w:t>
      </w:r>
      <w:r>
        <w:rPr>
          <w:rFonts w:ascii="Times New Roman" w:cs="Times New Roman" w:eastAsia="Times New Roman" w:hAnsi="Times New Roman"/>
          <w:sz w:val="21"/>
          <w:szCs w:val="21"/>
          <w:color w:val="auto"/>
        </w:rPr>
        <w:t>. Each Lender hereby irrevocably authorizes and directs the Collateral Agent to execute and deliver, or ratifies the execution and delivery by the Collateral Agent of, the Reaffirmation Agreement, the Guarantee and Collateral Agreement, the Lien Subordination and Intercreditor Agreement and each other Security Document and hereby irrevocably authorizes and directs the Collateral Agent to carry out the provisions thereof and exercise the authority conferred upon it therein. Each Lender, by executing and delivering this Agreement, acknowledges receipt of a copy of the Reaffirmation Agreement and the Guarantee and Collateral Agreement and approves and agrees to be bound by and to act in accordance with the terms and conditions of the Reaffirmation Agreement, the Guarantee and Collateral Agreement and each other Security Document insofar as they relate to or require performance by the Lenders, specifically including (i) the provisions of Article VII of the Guarantee and Collateral Agreement (governing the exercise of remedies under the Security Documents and the distribution of the proceeds realized from such exercise), (iii) the provisions of Articles IX and X of the Guarantee and Collateral Agreement (relating to the duties and responsibilities of the Collateral Agent thereunder and providing for the indemnification and the reimbursement of expenses of the Collateral Agent thereunder by the Lenders), and (iv) the provisions of Section 12.13 of the Guarantee and Collateral Agreement (providing for releases of Guarantees of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75" w:name="page376"/>
    <w:bookmarkEnd w:id="375"/>
    <w:p>
      <w:pPr>
        <w:jc w:val="both"/>
        <w:spacing w:after="0" w:line="251" w:lineRule="auto"/>
        <w:rPr>
          <w:sz w:val="20"/>
          <w:szCs w:val="20"/>
          <w:color w:val="auto"/>
        </w:rPr>
      </w:pPr>
      <w:r>
        <w:rPr>
          <w:rFonts w:ascii="Times New Roman" w:cs="Times New Roman" w:eastAsia="Times New Roman" w:hAnsi="Times New Roman"/>
          <w:sz w:val="22"/>
          <w:szCs w:val="22"/>
          <w:color w:val="auto"/>
        </w:rPr>
        <w:t>Collateral securing the Obligations). Each party hereto further agrees that the foregoing provisions of the Guarantee and Collateral Agreement shall apply to each other Security Document. Without limiting any other authority conferred upon the Collateral Agent under the Security Documents, the Collateral Agent is authorized to release from the Lien of the Security Documents ancillary structures on Mortgaged Properties that the Borrower advises are not of material value and not critical to the activities conducted on such Mortgaged Properties if such releases will avoid the need to obtain flood insurance that would otherwise be required under applicable law, including Regulation H of the Board.</w:t>
      </w:r>
    </w:p>
    <w:p>
      <w:pPr>
        <w:spacing w:after="0" w:line="181"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9.15. </w:t>
      </w:r>
      <w:r>
        <w:rPr>
          <w:rFonts w:ascii="Times New Roman" w:cs="Times New Roman" w:eastAsia="Times New Roman" w:hAnsi="Times New Roman"/>
          <w:sz w:val="22"/>
          <w:szCs w:val="22"/>
          <w:u w:val="single" w:color="auto"/>
          <w:color w:val="auto"/>
        </w:rPr>
        <w:t>Additional Financial Covenants.</w:t>
      </w:r>
      <w:r>
        <w:rPr>
          <w:rFonts w:ascii="Times New Roman" w:cs="Times New Roman" w:eastAsia="Times New Roman" w:hAnsi="Times New Roman"/>
          <w:sz w:val="22"/>
          <w:szCs w:val="22"/>
          <w:color w:val="auto"/>
        </w:rPr>
        <w:t xml:space="preserve"> Notwithstanding anything else contained herein to the contrary, in the event that any maintenance financial covenant other than the financial covenant set forth in Section 6.09 is included in any SSLI Documentation (as defined in Schedule 1.01C), such covenant will be deemed to be added to Article VI of this Agreement automatically, without the need for any further action whatsoever.</w:t>
      </w:r>
    </w:p>
    <w:p>
      <w:pPr>
        <w:spacing w:after="0" w:line="176"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9.16. </w:t>
      </w:r>
      <w:r>
        <w:rPr>
          <w:rFonts w:ascii="Times New Roman" w:cs="Times New Roman" w:eastAsia="Times New Roman" w:hAnsi="Times New Roman"/>
          <w:sz w:val="22"/>
          <w:szCs w:val="22"/>
          <w:u w:val="single" w:color="auto"/>
          <w:color w:val="auto"/>
        </w:rPr>
        <w:t>Effect of Restatement</w:t>
      </w:r>
      <w:r>
        <w:rPr>
          <w:rFonts w:ascii="Times New Roman" w:cs="Times New Roman" w:eastAsia="Times New Roman" w:hAnsi="Times New Roman"/>
          <w:sz w:val="22"/>
          <w:szCs w:val="22"/>
          <w:color w:val="auto"/>
        </w:rPr>
        <w:t>. This Agreement shall supersede the Existing Credit Agreement from and after the Restatement Date with respect to the transactions hereunder and with respect to the loans and letters of credit outstanding under the Existing Credit Agreement as of the Restatement Date. The parties hereto acknowledge and agree, however, that (a) this Agreement and all other Credit Documents executed and delivered herewith do not constitute a novation, payment and reborrowing or termination of the Obligations under the Existing Credit Agreement and the other Credit Documents as in effect prior to the Restatement Date, (b) such Obligations are in all respects continuing with only the terms being modified as provided in this Agreement and the other Credit Documents, (c) the liens, security interests and pledges in favor of the Collateral Agent for the benefit of the Credit Parties securing payment of such Obligations are in all respects continuing and in full force and effect with respect to all Obligations and (d) all references in the other Credit Documents to the Credit Agreement shall be deemed to refer without further amendment to this Agreement.</w:t>
      </w:r>
    </w:p>
    <w:p>
      <w:pPr>
        <w:spacing w:after="0" w:line="183"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9.17. </w:t>
      </w:r>
      <w:r>
        <w:rPr>
          <w:rFonts w:ascii="Times New Roman" w:cs="Times New Roman" w:eastAsia="Times New Roman" w:hAnsi="Times New Roman"/>
          <w:sz w:val="22"/>
          <w:szCs w:val="22"/>
          <w:u w:val="single" w:color="auto"/>
          <w:color w:val="auto"/>
        </w:rPr>
        <w:t>USA Patriot Act and Beneficial Ownership Regulation Notice.</w:t>
      </w:r>
      <w:r>
        <w:rPr>
          <w:rFonts w:ascii="Times New Roman" w:cs="Times New Roman" w:eastAsia="Times New Roman" w:hAnsi="Times New Roman"/>
          <w:sz w:val="22"/>
          <w:szCs w:val="22"/>
          <w:color w:val="auto"/>
        </w:rPr>
        <w:t xml:space="preserve"> Each Lender and Issuing Bank and the Administrative Agent (for itself and not on behalf of any Lender or Issuing Bank) hereby notifies the Borrower that pursuant to the requirements of the USA PATRIOT Act and the Beneficial Ownership Regulation, it is required to obtain, verify and record information that identifies the Borrower, which information includes the name and address of the Borrower and other information that will allow such Lender or the Administrative Agent, as applicable, to identify the Borrower in accordance with the USA PATRIOT Act and the Beneficial Ownership Regulation.</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SECTION 9.18. </w:t>
      </w:r>
      <w:r>
        <w:rPr>
          <w:rFonts w:ascii="Times New Roman" w:cs="Times New Roman" w:eastAsia="Times New Roman" w:hAnsi="Times New Roman"/>
          <w:sz w:val="22"/>
          <w:szCs w:val="22"/>
          <w:u w:val="single" w:color="auto"/>
          <w:color w:val="auto"/>
        </w:rPr>
        <w:t>Austrian Matters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right="20" w:firstLine="725"/>
        <w:spacing w:after="0" w:line="271" w:lineRule="auto"/>
        <w:tabs>
          <w:tab w:leader="none" w:pos="1683" w:val="left"/>
        </w:tabs>
        <w:numPr>
          <w:ilvl w:val="0"/>
          <w:numId w:val="3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 with respect to Austria.</w:t>
      </w:r>
      <w:r>
        <w:rPr>
          <w:rFonts w:ascii="Times New Roman" w:cs="Times New Roman" w:eastAsia="Times New Roman" w:hAnsi="Times New Roman"/>
          <w:sz w:val="22"/>
          <w:szCs w:val="22"/>
          <w:color w:val="auto"/>
        </w:rPr>
        <w:t xml:space="preserve"> Each party to this Agreement agrees that it will (i) only send notices and other written references to this Agreement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76" w:name="page377"/>
    <w:bookmarkEnd w:id="376"/>
    <w:p>
      <w:pPr>
        <w:jc w:val="both"/>
        <w:ind w:left="660"/>
        <w:spacing w:after="0" w:line="253" w:lineRule="auto"/>
        <w:rPr>
          <w:sz w:val="20"/>
          <w:szCs w:val="20"/>
          <w:color w:val="auto"/>
        </w:rPr>
      </w:pPr>
      <w:r>
        <w:rPr>
          <w:rFonts w:ascii="Times New Roman" w:cs="Times New Roman" w:eastAsia="Times New Roman" w:hAnsi="Times New Roman"/>
          <w:sz w:val="22"/>
          <w:szCs w:val="22"/>
          <w:color w:val="auto"/>
        </w:rPr>
        <w:t xml:space="preserve">any other Credit Document (this Agreement, the other Credit Documents and any notices or other written references to this Agreement or any other Credit Document, each, a “ </w:t>
      </w:r>
      <w:r>
        <w:rPr>
          <w:rFonts w:ascii="Times New Roman" w:cs="Times New Roman" w:eastAsia="Times New Roman" w:hAnsi="Times New Roman"/>
          <w:sz w:val="22"/>
          <w:szCs w:val="22"/>
          <w:u w:val="single" w:color="auto"/>
          <w:color w:val="auto"/>
        </w:rPr>
        <w:t>Stamp Duty Sensitive Document”)</w:t>
      </w:r>
      <w:r>
        <w:rPr>
          <w:rFonts w:ascii="Times New Roman" w:cs="Times New Roman" w:eastAsia="Times New Roman" w:hAnsi="Times New Roman"/>
          <w:sz w:val="22"/>
          <w:szCs w:val="22"/>
          <w:color w:val="auto"/>
        </w:rPr>
        <w:t xml:space="preserve"> to or from Austria by email which do not contain the signature of any party (whether manuscript or electronic, including, for the avoidance of doubt, the name of an individual or other entity) and (ii) not send fax or scanned copies of a signed Stamp Duty Sensitive Document to or from Austria.</w:t>
      </w:r>
    </w:p>
    <w:p>
      <w:pPr>
        <w:spacing w:after="0" w:line="179" w:lineRule="exact"/>
        <w:rPr>
          <w:sz w:val="20"/>
          <w:szCs w:val="20"/>
          <w:color w:val="auto"/>
        </w:rPr>
      </w:pPr>
    </w:p>
    <w:p>
      <w:pPr>
        <w:jc w:val="both"/>
        <w:ind w:left="660" w:firstLine="725"/>
        <w:spacing w:after="0" w:line="257" w:lineRule="auto"/>
        <w:tabs>
          <w:tab w:leader="none" w:pos="1735" w:val="left"/>
        </w:tabs>
        <w:numPr>
          <w:ilvl w:val="1"/>
          <w:numId w:val="3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Agreement to be Kept Outside Austria.</w:t>
      </w:r>
      <w:r>
        <w:rPr>
          <w:rFonts w:ascii="Times New Roman" w:cs="Times New Roman" w:eastAsia="Times New Roman" w:hAnsi="Times New Roman"/>
          <w:sz w:val="22"/>
          <w:szCs w:val="22"/>
          <w:color w:val="auto"/>
        </w:rPr>
        <w:t xml:space="preserve"> No party to this Agreement shall bring or send to or otherwise produce in Austria (x) an original copy, notarised copy or certified copy of any Stamp Duty Sensitive Document, or (y) a copy of any Stamp Duty Sensitive Document signed or endorsed by one or more parties other than in the event that:</w:t>
      </w:r>
    </w:p>
    <w:p>
      <w:pPr>
        <w:spacing w:after="0" w:line="186" w:lineRule="exact"/>
        <w:rPr>
          <w:rFonts w:ascii="Times New Roman" w:cs="Times New Roman" w:eastAsia="Times New Roman" w:hAnsi="Times New Roman"/>
          <w:sz w:val="22"/>
          <w:szCs w:val="22"/>
          <w:color w:val="auto"/>
        </w:rPr>
      </w:pPr>
    </w:p>
    <w:p>
      <w:pPr>
        <w:ind w:left="1600" w:hanging="296"/>
        <w:spacing w:after="0"/>
        <w:tabs>
          <w:tab w:leader="none" w:pos="1600" w:val="left"/>
        </w:tabs>
        <w:numPr>
          <w:ilvl w:val="0"/>
          <w:numId w:val="3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does not cause a liability of a party to this Agreement to pay stamp duty in Austria;</w:t>
      </w:r>
    </w:p>
    <w:p>
      <w:pPr>
        <w:spacing w:after="0" w:line="219" w:lineRule="exact"/>
        <w:rPr>
          <w:rFonts w:ascii="Times New Roman" w:cs="Times New Roman" w:eastAsia="Times New Roman" w:hAnsi="Times New Roman"/>
          <w:sz w:val="22"/>
          <w:szCs w:val="22"/>
          <w:color w:val="auto"/>
        </w:rPr>
      </w:pPr>
    </w:p>
    <w:p>
      <w:pPr>
        <w:jc w:val="both"/>
        <w:ind w:left="1300" w:firstLine="4"/>
        <w:spacing w:after="0" w:line="266" w:lineRule="auto"/>
        <w:tabs>
          <w:tab w:leader="none" w:pos="1629" w:val="left"/>
        </w:tabs>
        <w:numPr>
          <w:ilvl w:val="0"/>
          <w:numId w:val="3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party to this Agreement wishes to enforce any of its rights under or in connection with such Stamp Duty Sensitive Document in Austria and is only able to do so by bringing, sending to or otherwise producing in Austria</w:t>
      </w:r>
    </w:p>
    <w:p>
      <w:pPr>
        <w:spacing w:after="0" w:line="1" w:lineRule="exact"/>
        <w:rPr>
          <w:rFonts w:ascii="Times New Roman" w:cs="Times New Roman" w:eastAsia="Times New Roman" w:hAnsi="Times New Roman"/>
          <w:sz w:val="21"/>
          <w:szCs w:val="21"/>
          <w:color w:val="auto"/>
        </w:rPr>
      </w:pPr>
    </w:p>
    <w:p>
      <w:pPr>
        <w:jc w:val="both"/>
        <w:ind w:left="1300"/>
        <w:spacing w:after="0" w:line="25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(x) an original copy, notarised copy or certified copy of the relevant Stamp Duty Sensitive Document or (y) a copy of any Stamp Duty Sensitive Document signed or endorsed by one or more parties and it would not be sufficient for that party to bring, send to or otherwise produce in Austria a simple copy (i.e. a copy which is not an original copy, notarised copy or certified copy) of the relevant Stamp Duty Sensitive Document for the purposes of such enforcement. In connection with the foregoing, each party to this Agreement agrees that in any form of proceedings in Austria simple copies may be submitted by either party to this Agreement and undertakes to refrain from (I) objecting to the introduction into evidence of a simple copy of any Stamp Duty Sensitive Document or raising a defense to any action or to the exercise of any remedy for the reason of an original or certified copy of any Stamp Duty Sensitive Document not having been introduced into evidence, unless such simple copy actually introduced into evidence does not accurately reflect the content of the original document and (II) contesting the authenticity </w:t>
      </w:r>
      <w:r>
        <w:rPr>
          <w:rFonts w:ascii="Times New Roman" w:cs="Times New Roman" w:eastAsia="Times New Roman" w:hAnsi="Times New Roman"/>
          <w:sz w:val="21"/>
          <w:szCs w:val="21"/>
          <w:i w:val="1"/>
          <w:iCs w:val="1"/>
          <w:color w:val="auto"/>
        </w:rPr>
        <w:t>(Echtheit)</w:t>
      </w:r>
      <w:r>
        <w:rPr>
          <w:rFonts w:ascii="Times New Roman" w:cs="Times New Roman" w:eastAsia="Times New Roman" w:hAnsi="Times New Roman"/>
          <w:sz w:val="21"/>
          <w:szCs w:val="21"/>
          <w:color w:val="auto"/>
        </w:rPr>
        <w:t xml:space="preserve"> of a simple copy of any such Stamp Duty Sensitive Document before an Austrian court or authority, unless such simple copy does not accurately reflect the content of the original document; or</w:t>
      </w:r>
    </w:p>
    <w:p>
      <w:pPr>
        <w:spacing w:after="0" w:line="181" w:lineRule="exact"/>
        <w:rPr>
          <w:rFonts w:ascii="Times New Roman" w:cs="Times New Roman" w:eastAsia="Times New Roman" w:hAnsi="Times New Roman"/>
          <w:sz w:val="21"/>
          <w:szCs w:val="21"/>
          <w:color w:val="auto"/>
        </w:rPr>
      </w:pPr>
    </w:p>
    <w:p>
      <w:pPr>
        <w:jc w:val="both"/>
        <w:ind w:left="1300" w:firstLine="4"/>
        <w:spacing w:after="0" w:line="263" w:lineRule="auto"/>
        <w:tabs>
          <w:tab w:leader="none" w:pos="1625" w:val="left"/>
        </w:tabs>
        <w:numPr>
          <w:ilvl w:val="0"/>
          <w:numId w:val="3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party to this Agreement is required by law, governmental body, court, authority or agency pursuant to any law or legal requirement (whether for the purposes of initiating, prosecuting, enforcing or executing any claim or remedy or enforcing any judgment or otherwise), to bring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2" w:right="339" w:bottom="1440" w:gutter="0" w:footer="0" w:header="0"/>
        </w:sectPr>
      </w:pPr>
    </w:p>
    <w:bookmarkStart w:id="377" w:name="page378"/>
    <w:bookmarkEnd w:id="377"/>
    <w:p>
      <w:pPr>
        <w:ind w:left="1300"/>
        <w:spacing w:after="0"/>
        <w:rPr>
          <w:sz w:val="20"/>
          <w:szCs w:val="20"/>
          <w:color w:val="auto"/>
        </w:rPr>
      </w:pPr>
      <w:r>
        <w:rPr>
          <w:rFonts w:ascii="Times New Roman" w:cs="Times New Roman" w:eastAsia="Times New Roman" w:hAnsi="Times New Roman"/>
          <w:sz w:val="22"/>
          <w:szCs w:val="22"/>
          <w:color w:val="auto"/>
        </w:rPr>
        <w:t>original, notarised copy or certified copy of any Stamp Duty Sensitive Document into Austria.</w:t>
      </w:r>
    </w:p>
    <w:p>
      <w:pPr>
        <w:spacing w:after="0" w:line="220" w:lineRule="exact"/>
        <w:rPr>
          <w:sz w:val="20"/>
          <w:szCs w:val="20"/>
          <w:color w:val="auto"/>
        </w:rPr>
      </w:pPr>
    </w:p>
    <w:p>
      <w:pPr>
        <w:ind w:left="660" w:firstLine="725"/>
        <w:spacing w:after="0" w:line="271" w:lineRule="auto"/>
        <w:tabs>
          <w:tab w:leader="none" w:pos="1683" w:val="left"/>
        </w:tabs>
        <w:numPr>
          <w:ilvl w:val="1"/>
          <w:numId w:val="3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Austrian Stamp Duty.</w:t>
      </w:r>
      <w:r>
        <w:rPr>
          <w:rFonts w:ascii="Times New Roman" w:cs="Times New Roman" w:eastAsia="Times New Roman" w:hAnsi="Times New Roman"/>
          <w:sz w:val="22"/>
          <w:szCs w:val="22"/>
          <w:color w:val="auto"/>
        </w:rPr>
        <w:t xml:space="preserve"> Notwithstanding any other provisions in any of the Credit Documents, if any liability to pay Austrian stamp duties is triggered:</w:t>
      </w:r>
    </w:p>
    <w:p>
      <w:pPr>
        <w:spacing w:after="0" w:line="171" w:lineRule="exact"/>
        <w:rPr>
          <w:rFonts w:ascii="Times New Roman" w:cs="Times New Roman" w:eastAsia="Times New Roman" w:hAnsi="Times New Roman"/>
          <w:sz w:val="22"/>
          <w:szCs w:val="22"/>
          <w:color w:val="auto"/>
        </w:rPr>
      </w:pPr>
    </w:p>
    <w:p>
      <w:pPr>
        <w:jc w:val="both"/>
        <w:ind w:left="1300" w:firstLine="4"/>
        <w:spacing w:after="0" w:line="250" w:lineRule="auto"/>
        <w:tabs>
          <w:tab w:leader="none" w:pos="1634" w:val="left"/>
        </w:tabs>
        <w:numPr>
          <w:ilvl w:val="0"/>
          <w:numId w:val="3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a result of a party to this Agreement (i) breaching its obligations under paragraph (a), (b) or (d) of this Section, or (ii) booking its Loans or making or accepting performance of any rights or obligations under this Agreement or any of the other Credit Documents through an entity organized under the laws of the Republic of Austria or a branch or an Affiliate, located or organized in the Republic of Austria, of an entity organized under the laws of a jurisdiction other than the Republic of Austria, that party shall pay such stamp duties; and</w:t>
      </w:r>
    </w:p>
    <w:p>
      <w:pPr>
        <w:spacing w:after="0" w:line="194" w:lineRule="exact"/>
        <w:rPr>
          <w:rFonts w:ascii="Times New Roman" w:cs="Times New Roman" w:eastAsia="Times New Roman" w:hAnsi="Times New Roman"/>
          <w:sz w:val="22"/>
          <w:szCs w:val="22"/>
          <w:color w:val="auto"/>
        </w:rPr>
      </w:pPr>
    </w:p>
    <w:p>
      <w:pPr>
        <w:ind w:left="1300" w:firstLine="4"/>
        <w:spacing w:after="0" w:line="271" w:lineRule="auto"/>
        <w:tabs>
          <w:tab w:leader="none" w:pos="1612" w:val="left"/>
        </w:tabs>
        <w:numPr>
          <w:ilvl w:val="0"/>
          <w:numId w:val="3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circumstances other than those described in clause (1) of this paragraph (c), the Borrower shall be liable for the payment of all such stamp duties.</w:t>
      </w:r>
    </w:p>
    <w:p>
      <w:pPr>
        <w:spacing w:after="0" w:line="157" w:lineRule="exact"/>
        <w:rPr>
          <w:rFonts w:ascii="Times New Roman" w:cs="Times New Roman" w:eastAsia="Times New Roman" w:hAnsi="Times New Roman"/>
          <w:sz w:val="22"/>
          <w:szCs w:val="22"/>
          <w:color w:val="auto"/>
        </w:rPr>
      </w:pPr>
    </w:p>
    <w:p>
      <w:pPr>
        <w:jc w:val="both"/>
        <w:ind w:left="660" w:firstLine="725"/>
        <w:spacing w:after="0" w:line="251" w:lineRule="auto"/>
        <w:tabs>
          <w:tab w:leader="none" w:pos="1749" w:val="left"/>
        </w:tabs>
        <w:numPr>
          <w:ilvl w:val="1"/>
          <w:numId w:val="3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Place of Performance Outside Austria.</w:t>
      </w:r>
      <w:r>
        <w:rPr>
          <w:rFonts w:ascii="Times New Roman" w:cs="Times New Roman" w:eastAsia="Times New Roman" w:hAnsi="Times New Roman"/>
          <w:sz w:val="22"/>
          <w:szCs w:val="22"/>
          <w:color w:val="auto"/>
        </w:rPr>
        <w:t xml:space="preserve"> Each of the parties hereto agrees that the exclusive place of performance </w:t>
      </w:r>
      <w:r>
        <w:rPr>
          <w:rFonts w:ascii="Times New Roman" w:cs="Times New Roman" w:eastAsia="Times New Roman" w:hAnsi="Times New Roman"/>
          <w:sz w:val="22"/>
          <w:szCs w:val="22"/>
          <w:i w:val="1"/>
          <w:iCs w:val="1"/>
          <w:color w:val="auto"/>
        </w:rPr>
        <w:t>(Erfüllungsort)</w:t>
      </w:r>
      <w:r>
        <w:rPr>
          <w:rFonts w:ascii="Times New Roman" w:cs="Times New Roman" w:eastAsia="Times New Roman" w:hAnsi="Times New Roman"/>
          <w:sz w:val="22"/>
          <w:szCs w:val="22"/>
          <w:color w:val="auto"/>
        </w:rPr>
        <w:t xml:space="preserve"> for all rights and obligations under this Agreement and the other Credit Documents shall be outside the Republic of Austria, and the payment of amounts under this Agreement must be made to a bank account outside the Republic of Austria. The Administrative Agent, the Collateral Agent and each Lender agrees to designate and maintain one or more accounts at one or more lending offices located outside the Republic of Austria to which all amounts payable to such party under this Agreement and the other Credit Documents shall be made.</w:t>
      </w:r>
    </w:p>
    <w:p>
      <w:pPr>
        <w:spacing w:after="0" w:line="181"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9.19. </w:t>
      </w:r>
      <w:r>
        <w:rPr>
          <w:rFonts w:ascii="Times New Roman" w:cs="Times New Roman" w:eastAsia="Times New Roman" w:hAnsi="Times New Roman"/>
          <w:sz w:val="22"/>
          <w:szCs w:val="22"/>
          <w:u w:val="single" w:color="auto"/>
          <w:color w:val="auto"/>
        </w:rPr>
        <w:t>No Fiduciary Relationship.</w:t>
      </w:r>
      <w:r>
        <w:rPr>
          <w:rFonts w:ascii="Times New Roman" w:cs="Times New Roman" w:eastAsia="Times New Roman" w:hAnsi="Times New Roman"/>
          <w:sz w:val="22"/>
          <w:szCs w:val="22"/>
          <w:color w:val="auto"/>
        </w:rPr>
        <w:t xml:space="preserve"> The Borrower, on behalf of itself and its Subsidiaries, agrees that in connection with all aspects of the transactions contemplated hereby and any communications in connection therewith, the Borrower, the Subsidiaries and their Affiliates, on the one hand, and the Administrative Agent, the Lenders and their Affiliates, on the other hand, will have a business relationship that does not create, by implication or otherwise, any fiduciary duty on the part of the Administrative Agent, the Lenders or their Affiliates, and no such duty will be deemed to have arisen in connection with any such transactions or communications. The Administrative Agent, the Arrangers, the Lenders, the Issuing Banks and their Affiliates may be engaged, for their own accounts or the accounts of customers, in a broad range of transactions that involve interests that differ from those of the Borrower and its Affiliates, and none of the Administrative Agent, the Arrangers, the Lenders, the Issuing Banks or their Affiliates has any obligation to disclose any of such interests to the Borrower or any of its Affiliates.</w:t>
      </w:r>
    </w:p>
    <w:p>
      <w:pPr>
        <w:spacing w:after="0" w:line="18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The Borrower further acknowledges and agrees, and acknowledges its Subsidiaries’ understanding, that the Administrative Agent and each of the Issuing Banks,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1" w:right="339" w:bottom="1440" w:gutter="0" w:footer="0" w:header="0"/>
        </w:sectPr>
      </w:pPr>
    </w:p>
    <w:bookmarkStart w:id="378" w:name="page379"/>
    <w:bookmarkEnd w:id="378"/>
    <w:p>
      <w:pPr>
        <w:jc w:val="both"/>
        <w:spacing w:after="0" w:line="248" w:lineRule="auto"/>
        <w:rPr>
          <w:sz w:val="20"/>
          <w:szCs w:val="20"/>
          <w:color w:val="auto"/>
        </w:rPr>
      </w:pPr>
      <w:r>
        <w:rPr>
          <w:rFonts w:ascii="Times New Roman" w:cs="Times New Roman" w:eastAsia="Times New Roman" w:hAnsi="Times New Roman"/>
          <w:sz w:val="22"/>
          <w:szCs w:val="22"/>
          <w:color w:val="auto"/>
        </w:rPr>
        <w:t>the Lenders and their respective Affiliates, in addition to providing or participating in commercial lending facilities such as that provided hereunder, may be a full service securities or banking firm engaged in securities trading and brokerage activities as well as providing investment banking and other financial services. In the ordinary course of business, any of the Administrative Agent, any Issuing Bank, any Lender or any of their respective affiliates may provide investment banking and other financial services to, and/or acquire, hold or sell, for its own accounts and the accounts of customers, equity, debt and other securities and financial instruments (including bank loans and other obligations) of, the Borrower and other companies with which the Borrower may have commercial or other relationships, it being understood that the Administrative Agent, each of the Issuing Banks, the Lenders and their respective Affiliates shall continue to remain subject to their obligations hereunder. With respect to any securities and/or financial instruments so held by any of the Administrative Agent, any Issuing Bank, any Lender, any of their respective affiliates or any of their respective customers, all rights in respect of such securities and financial instruments, including any voting rights, will be exercised by the holder of the rights, in its sole discretion.</w:t>
      </w:r>
    </w:p>
    <w:p>
      <w:pPr>
        <w:spacing w:after="0" w:line="189"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9.20. </w:t>
      </w:r>
      <w:r>
        <w:rPr>
          <w:rFonts w:ascii="Times New Roman" w:cs="Times New Roman" w:eastAsia="Times New Roman" w:hAnsi="Times New Roman"/>
          <w:sz w:val="22"/>
          <w:szCs w:val="22"/>
          <w:u w:val="single" w:color="auto"/>
          <w:color w:val="auto"/>
        </w:rPr>
        <w:t>Non-Public Information.</w:t>
      </w:r>
      <w:r>
        <w:rPr>
          <w:rFonts w:ascii="Times New Roman" w:cs="Times New Roman" w:eastAsia="Times New Roman" w:hAnsi="Times New Roman"/>
          <w:sz w:val="22"/>
          <w:szCs w:val="22"/>
          <w:color w:val="auto"/>
        </w:rPr>
        <w:t xml:space="preserve"> Each Lender acknowledges that all information, including requests for waivers and amendments, furnished by the Borrower or the Administrative Agent pursuant to or in connection with, or in the course of administering, this Agreement will be syndicate-level information, which may contain MNPI. Each Lender represents to the Borrower and the Administrative Agent that (i) it has developed compliance procedures regarding the use of MNPI and that it will handle MNPI in accordance with such procedures and applicable law, including, to the extent such laws are applicable, Federal, state and foreign securities laws, and (ii) it has identified in its Administrative Questionnaire a credit contact who may receive information that may contain MNPI in accordance with its compliance procedures and applicable law, including, to the extent such laws are applicable, Federal, state and foreign securities laws.</w:t>
      </w:r>
    </w:p>
    <w:p>
      <w:pPr>
        <w:spacing w:after="0" w:line="195"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9.21. </w:t>
      </w:r>
      <w:r>
        <w:rPr>
          <w:rFonts w:ascii="Times New Roman" w:cs="Times New Roman" w:eastAsia="Times New Roman" w:hAnsi="Times New Roman"/>
          <w:sz w:val="22"/>
          <w:szCs w:val="22"/>
          <w:u w:val="single" w:color="auto"/>
          <w:color w:val="auto"/>
        </w:rPr>
        <w:t>Acknowledgement and Consent to Bail-In of Affected Financial Institutions.</w:t>
      </w:r>
      <w:r>
        <w:rPr>
          <w:rFonts w:ascii="Times New Roman" w:cs="Times New Roman" w:eastAsia="Times New Roman" w:hAnsi="Times New Roman"/>
          <w:sz w:val="22"/>
          <w:szCs w:val="22"/>
          <w:color w:val="auto"/>
        </w:rPr>
        <w:t xml:space="preserve"> Notwithstanding anything to the contrary in any Credit Document or in any other agreement, arrangement or understanding among the parties hereto, each party hereto acknowledges that any liability of any Affected Financial Institution arising under any Credit Document, to the extent such liability is unsecured, may be subject to the write-down and conversion powers of the applicable Resolution Authority and agrees and consents to, and acknowledges and agrees to be bound by:</w:t>
      </w:r>
    </w:p>
    <w:p>
      <w:pPr>
        <w:spacing w:after="0" w:line="194" w:lineRule="exact"/>
        <w:rPr>
          <w:sz w:val="20"/>
          <w:szCs w:val="20"/>
          <w:color w:val="auto"/>
        </w:rPr>
      </w:pPr>
    </w:p>
    <w:p>
      <w:pPr>
        <w:jc w:val="both"/>
        <w:ind w:left="660" w:firstLine="725"/>
        <w:spacing w:after="0" w:line="257" w:lineRule="auto"/>
        <w:tabs>
          <w:tab w:leader="none" w:pos="1710" w:val="left"/>
        </w:tabs>
        <w:numPr>
          <w:ilvl w:val="0"/>
          <w:numId w:val="3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72" w:lineRule="exact"/>
        <w:rPr>
          <w:rFonts w:ascii="Times New Roman" w:cs="Times New Roman" w:eastAsia="Times New Roman" w:hAnsi="Times New Roman"/>
          <w:sz w:val="22"/>
          <w:szCs w:val="22"/>
          <w:color w:val="auto"/>
        </w:rPr>
      </w:pPr>
    </w:p>
    <w:p>
      <w:pPr>
        <w:ind w:left="1700" w:hanging="315"/>
        <w:spacing w:after="0"/>
        <w:tabs>
          <w:tab w:leader="none" w:pos="1700" w:val="left"/>
        </w:tabs>
        <w:numPr>
          <w:ilvl w:val="0"/>
          <w:numId w:val="3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effects of any Bail-In Action on any such liability, including,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1" w:right="339" w:bottom="1440" w:gutter="0" w:footer="0" w:header="0"/>
        </w:sectPr>
      </w:pPr>
    </w:p>
    <w:bookmarkStart w:id="379" w:name="page380"/>
    <w:bookmarkEnd w:id="379"/>
    <w:p>
      <w:pPr>
        <w:ind w:left="1600" w:hanging="296"/>
        <w:spacing w:after="0"/>
        <w:tabs>
          <w:tab w:leader="none" w:pos="1600" w:val="left"/>
        </w:tabs>
        <w:numPr>
          <w:ilvl w:val="0"/>
          <w:numId w:val="3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full or in part or cancellation of any such liability;</w:t>
      </w:r>
    </w:p>
    <w:p>
      <w:pPr>
        <w:spacing w:after="0" w:line="219" w:lineRule="exact"/>
        <w:rPr>
          <w:rFonts w:ascii="Times New Roman" w:cs="Times New Roman" w:eastAsia="Times New Roman" w:hAnsi="Times New Roman"/>
          <w:sz w:val="22"/>
          <w:szCs w:val="22"/>
          <w:color w:val="auto"/>
        </w:rPr>
      </w:pPr>
    </w:p>
    <w:p>
      <w:pPr>
        <w:jc w:val="both"/>
        <w:ind w:left="1300" w:firstLine="4"/>
        <w:spacing w:after="0" w:line="256" w:lineRule="auto"/>
        <w:tabs>
          <w:tab w:leader="none" w:pos="1606" w:val="left"/>
        </w:tabs>
        <w:numPr>
          <w:ilvl w:val="0"/>
          <w:numId w:val="3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Credit Document; or</w:t>
      </w:r>
    </w:p>
    <w:p>
      <w:pPr>
        <w:spacing w:after="0" w:line="176" w:lineRule="exact"/>
        <w:rPr>
          <w:rFonts w:ascii="Times New Roman" w:cs="Times New Roman" w:eastAsia="Times New Roman" w:hAnsi="Times New Roman"/>
          <w:sz w:val="22"/>
          <w:szCs w:val="22"/>
          <w:color w:val="auto"/>
        </w:rPr>
      </w:pPr>
    </w:p>
    <w:p>
      <w:pPr>
        <w:ind w:left="1300" w:firstLine="4"/>
        <w:spacing w:after="0" w:line="271" w:lineRule="auto"/>
        <w:tabs>
          <w:tab w:leader="none" w:pos="1625" w:val="left"/>
        </w:tabs>
        <w:numPr>
          <w:ilvl w:val="0"/>
          <w:numId w:val="3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variation of the terms of such liability in connection with the exercise of the write-down and conversion powers of the applicable Resolution Authority.</w:t>
      </w:r>
    </w:p>
    <w:p>
      <w:pPr>
        <w:spacing w:after="0" w:line="157" w:lineRule="exact"/>
        <w:rPr>
          <w:rFonts w:ascii="Times New Roman" w:cs="Times New Roman" w:eastAsia="Times New Roman" w:hAnsi="Times New Roman"/>
          <w:sz w:val="22"/>
          <w:szCs w:val="22"/>
          <w:color w:val="auto"/>
        </w:rPr>
      </w:pPr>
    </w:p>
    <w:p>
      <w:pPr>
        <w:ind w:left="1680" w:hanging="295"/>
        <w:spacing w:after="0"/>
        <w:tabs>
          <w:tab w:leader="none" w:pos="1680" w:val="left"/>
        </w:tabs>
        <w:numPr>
          <w:ilvl w:val="1"/>
          <w:numId w:val="3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terms shall for purposes of this Agreement have the meanings set forth below:</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Affected Financial Institution</w:t>
      </w:r>
      <w:r>
        <w:rPr>
          <w:rFonts w:ascii="Times New Roman" w:cs="Times New Roman" w:eastAsia="Times New Roman" w:hAnsi="Times New Roman"/>
          <w:sz w:val="22"/>
          <w:szCs w:val="22"/>
          <w:color w:val="auto"/>
        </w:rPr>
        <w:t>” means (a) any EEA Financial Institution or (b) any UK Financial Institution.</w:t>
      </w:r>
    </w:p>
    <w:p>
      <w:pPr>
        <w:spacing w:after="0" w:line="220"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Action</w:t>
      </w:r>
      <w:r>
        <w:rPr>
          <w:rFonts w:ascii="Times New Roman" w:cs="Times New Roman" w:eastAsia="Times New Roman" w:hAnsi="Times New Roman"/>
          <w:sz w:val="22"/>
          <w:szCs w:val="22"/>
          <w:color w:val="auto"/>
        </w:rPr>
        <w:t>” means the exercise of any Write-Down and Conversion Powers by the applicable Resolution Authority in respect of any liability of an Affected Financial Institution.</w:t>
      </w:r>
    </w:p>
    <w:p>
      <w:pPr>
        <w:spacing w:after="0" w:line="158"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Legislation</w:t>
      </w:r>
      <w:r>
        <w:rPr>
          <w:rFonts w:ascii="Times New Roman" w:cs="Times New Roman" w:eastAsia="Times New Roman" w:hAnsi="Times New Roman"/>
          <w:sz w:val="22"/>
          <w:szCs w:val="22"/>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Financial Institution</w:t>
      </w:r>
      <w:r>
        <w:rPr>
          <w:rFonts w:ascii="Times New Roman" w:cs="Times New Roman" w:eastAsia="Times New Roman" w:hAnsi="Times New Roman"/>
          <w:sz w:val="22"/>
          <w:szCs w:val="22"/>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Member Country</w:t>
      </w:r>
      <w:r>
        <w:rPr>
          <w:rFonts w:ascii="Times New Roman" w:cs="Times New Roman" w:eastAsia="Times New Roman" w:hAnsi="Times New Roman"/>
          <w:sz w:val="22"/>
          <w:szCs w:val="22"/>
          <w:color w:val="auto"/>
        </w:rPr>
        <w:t>” means any of the member states of the European Union, Iceland, Liechtenstein, and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Norway.</w:t>
      </w:r>
    </w:p>
    <w:p>
      <w:pPr>
        <w:spacing w:after="0" w:line="20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Resolution Authority</w:t>
      </w:r>
      <w:r>
        <w:rPr>
          <w:rFonts w:ascii="Times New Roman" w:cs="Times New Roman" w:eastAsia="Times New Roman" w:hAnsi="Times New Roman"/>
          <w:sz w:val="22"/>
          <w:szCs w:val="22"/>
          <w:color w:val="auto"/>
        </w:rPr>
        <w:t>” means any public administrative authority or any person entrusted with public administrative authority of any EEA Member Country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1" w:right="339" w:bottom="1440" w:gutter="0" w:footer="0" w:header="0"/>
        </w:sectPr>
      </w:pPr>
    </w:p>
    <w:bookmarkStart w:id="380" w:name="page381"/>
    <w:bookmarkEnd w:id="380"/>
    <w:p>
      <w:pPr>
        <w:spacing w:after="0"/>
        <w:rPr>
          <w:sz w:val="20"/>
          <w:szCs w:val="20"/>
          <w:color w:val="auto"/>
        </w:rPr>
      </w:pPr>
      <w:r>
        <w:rPr>
          <w:rFonts w:ascii="Times New Roman" w:cs="Times New Roman" w:eastAsia="Times New Roman" w:hAnsi="Times New Roman"/>
          <w:sz w:val="22"/>
          <w:szCs w:val="22"/>
          <w:color w:val="auto"/>
        </w:rPr>
        <w:t>(including any delegee) having responsibility for the resolutions of any EEA Financial Institution.</w:t>
      </w:r>
    </w:p>
    <w:p>
      <w:pPr>
        <w:spacing w:after="0" w:line="220"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 Bail-In Legislation Schedule</w:t>
      </w:r>
      <w:r>
        <w:rPr>
          <w:rFonts w:ascii="Times New Roman" w:cs="Times New Roman" w:eastAsia="Times New Roman" w:hAnsi="Times New Roman"/>
          <w:sz w:val="22"/>
          <w:szCs w:val="22"/>
          <w:color w:val="auto"/>
        </w:rPr>
        <w:t>” means the EU Bail-In Legislation Schedule published by the Loan Market Association (or any successor Person), as in effect from time to time.</w:t>
      </w:r>
    </w:p>
    <w:p>
      <w:pPr>
        <w:spacing w:after="0" w:line="17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Resolution Authority</w:t>
      </w:r>
      <w:r>
        <w:rPr>
          <w:rFonts w:ascii="Times New Roman" w:cs="Times New Roman" w:eastAsia="Times New Roman" w:hAnsi="Times New Roman"/>
          <w:sz w:val="22"/>
          <w:szCs w:val="22"/>
          <w:color w:val="auto"/>
        </w:rPr>
        <w:t>” means an EEA Resolution Authority or, with respect to any UK Financial Institution, a UK Resolution Authority.</w:t>
      </w:r>
    </w:p>
    <w:p>
      <w:pPr>
        <w:spacing w:after="0" w:line="15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Financial Institution</w:t>
      </w:r>
      <w:r>
        <w:rPr>
          <w:rFonts w:ascii="Times New Roman" w:cs="Times New Roman" w:eastAsia="Times New Roman" w:hAnsi="Times New Roman"/>
          <w:sz w:val="22"/>
          <w:szCs w:val="22"/>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9"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Resolution Authority</w:t>
      </w:r>
      <w:r>
        <w:rPr>
          <w:rFonts w:ascii="Times New Roman" w:cs="Times New Roman" w:eastAsia="Times New Roman" w:hAnsi="Times New Roman"/>
          <w:sz w:val="22"/>
          <w:szCs w:val="22"/>
          <w:color w:val="auto"/>
        </w:rPr>
        <w:t>” means the Bank of England or any other public administrative authority having responsibility for the resolution of any UK Financial Institution.</w:t>
      </w:r>
    </w:p>
    <w:p>
      <w:pPr>
        <w:spacing w:after="0" w:line="158"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Write-Down and Conversion Powers</w:t>
      </w:r>
      <w:r>
        <w:rPr>
          <w:rFonts w:ascii="Times New Roman" w:cs="Times New Roman" w:eastAsia="Times New Roman" w:hAnsi="Times New Roman"/>
          <w:sz w:val="22"/>
          <w:szCs w:val="22"/>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0"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9.22. </w:t>
      </w:r>
      <w:r>
        <w:rPr>
          <w:rFonts w:ascii="Times New Roman" w:cs="Times New Roman" w:eastAsia="Times New Roman" w:hAnsi="Times New Roman"/>
          <w:sz w:val="22"/>
          <w:szCs w:val="22"/>
          <w:u w:val="single" w:color="auto"/>
          <w:color w:val="auto"/>
        </w:rPr>
        <w:t>Acknowledgement Regarding Any Supported QFCs</w:t>
      </w:r>
      <w:r>
        <w:rPr>
          <w:rFonts w:ascii="Times New Roman" w:cs="Times New Roman" w:eastAsia="Times New Roman" w:hAnsi="Times New Roman"/>
          <w:sz w:val="22"/>
          <w:szCs w:val="22"/>
          <w:color w:val="auto"/>
        </w:rPr>
        <w:t>. To the extent that the Credit Documents provide support, through a guarantee or otherwise, for hedge agreements in respect of Hedging Obligations or any other agreement or instrument that is a QFC (such support “</w:t>
      </w:r>
      <w:r>
        <w:rPr>
          <w:rFonts w:ascii="Times New Roman" w:cs="Times New Roman" w:eastAsia="Times New Roman" w:hAnsi="Times New Roman"/>
          <w:sz w:val="22"/>
          <w:szCs w:val="22"/>
          <w:u w:val="single" w:color="auto"/>
          <w:color w:val="auto"/>
        </w:rPr>
        <w:t>QFC Credit Support</w:t>
      </w:r>
      <w:r>
        <w:rPr>
          <w:rFonts w:ascii="Times New Roman" w:cs="Times New Roman" w:eastAsia="Times New Roman" w:hAnsi="Times New Roman"/>
          <w:sz w:val="22"/>
          <w:szCs w:val="22"/>
          <w:color w:val="auto"/>
        </w:rPr>
        <w:t>” and each such QFC a “</w:t>
      </w:r>
      <w:r>
        <w:rPr>
          <w:rFonts w:ascii="Times New Roman" w:cs="Times New Roman" w:eastAsia="Times New Roman" w:hAnsi="Times New Roman"/>
          <w:sz w:val="22"/>
          <w:szCs w:val="22"/>
          <w:u w:val="single" w:color="auto"/>
          <w:color w:val="auto"/>
        </w:rPr>
        <w:t>Supported QFC</w:t>
      </w:r>
      <w:r>
        <w:rPr>
          <w:rFonts w:ascii="Times New Roman" w:cs="Times New Roman" w:eastAsia="Times New Roman" w:hAnsi="Times New Roman"/>
          <w:sz w:val="22"/>
          <w:szCs w:val="22"/>
          <w:color w:val="auto"/>
        </w:rPr>
        <w:t xml:space="preserve">”),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 </w:t>
      </w:r>
      <w:r>
        <w:rPr>
          <w:rFonts w:ascii="Times New Roman" w:cs="Times New Roman" w:eastAsia="Times New Roman" w:hAnsi="Times New Roman"/>
          <w:sz w:val="22"/>
          <w:szCs w:val="22"/>
          <w:u w:val="single" w:color="auto"/>
          <w:color w:val="auto"/>
        </w:rPr>
        <w:t>U.S. Special Resolution Regimes</w:t>
      </w:r>
      <w:r>
        <w:rPr>
          <w:rFonts w:ascii="Times New Roman" w:cs="Times New Roman" w:eastAsia="Times New Roman" w:hAnsi="Times New Roman"/>
          <w:sz w:val="22"/>
          <w:szCs w:val="22"/>
          <w:color w:val="auto"/>
        </w:rPr>
        <w:t>”) in respect of such Supported QFC and QFC Credit Support (with the provisions below applicable notwithstanding that the Credit Documents and any Supported QFC may in fact be stated to be governed by the laws of the State of New York and/or of the United States or any other state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1" w:right="339" w:bottom="1440" w:gutter="0" w:footer="0" w:header="0"/>
        </w:sectPr>
      </w:pPr>
    </w:p>
    <w:bookmarkStart w:id="381" w:name="page382"/>
    <w:bookmarkEnd w:id="381"/>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In the event a Covered Entity that is party to a Supported QFC (each, a “</w:t>
      </w:r>
      <w:r>
        <w:rPr>
          <w:rFonts w:ascii="Times New Roman" w:cs="Times New Roman" w:eastAsia="Times New Roman" w:hAnsi="Times New Roman"/>
          <w:sz w:val="22"/>
          <w:szCs w:val="22"/>
          <w:u w:val="single" w:color="auto"/>
          <w:color w:val="auto"/>
        </w:rPr>
        <w:t>Covered Party</w:t>
      </w:r>
      <w:r>
        <w:rPr>
          <w:rFonts w:ascii="Times New Roman" w:cs="Times New Roman" w:eastAsia="Times New Roman" w:hAnsi="Times New Roman"/>
          <w:sz w:val="22"/>
          <w:szCs w:val="22"/>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Credit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Credit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421" w:right="339" w:bottom="1440" w:gutter="0" w:footer="0" w:header="0"/>
        </w:sectPr>
      </w:pPr>
    </w:p>
    <w:bookmarkStart w:id="382" w:name="page383"/>
    <w:bookmarkEnd w:id="382"/>
    <w:p>
      <w:pPr>
        <w:ind w:firstLine="1296"/>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duly executed by their respective authorized officers as of the day and year first above written.</w:t>
      </w:r>
    </w:p>
    <w:p>
      <w:pPr>
        <w:spacing w:after="0" w:line="172"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THE GOODYEAR TIRE &amp; RUBBER</w:t>
      </w:r>
    </w:p>
    <w:p>
      <w:pPr>
        <w:ind w:left="3980"/>
        <w:spacing w:after="0"/>
        <w:rPr>
          <w:sz w:val="20"/>
          <w:szCs w:val="20"/>
          <w:color w:val="auto"/>
        </w:rPr>
      </w:pPr>
      <w:r>
        <w:rPr>
          <w:rFonts w:ascii="Times New Roman" w:cs="Times New Roman" w:eastAsia="Times New Roman" w:hAnsi="Times New Roman"/>
          <w:sz w:val="22"/>
          <w:szCs w:val="22"/>
          <w:color w:val="auto"/>
        </w:rPr>
        <w:t>COMPANY,</w:t>
      </w:r>
    </w:p>
    <w:p>
      <w:pPr>
        <w:spacing w:after="0" w:line="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by</w:t>
      </w:r>
    </w:p>
    <w:p>
      <w:pPr>
        <w:spacing w:after="0" w:line="1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/s/ Jordan Coughlin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12065</wp:posOffset>
            </wp:positionV>
            <wp:extent cx="197993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1">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25" w:lineRule="exact"/>
        <w:rPr>
          <w:sz w:val="20"/>
          <w:szCs w:val="20"/>
          <w:color w:val="auto"/>
        </w:rPr>
      </w:pPr>
    </w:p>
    <w:p>
      <w:pPr>
        <w:ind w:left="4520"/>
        <w:spacing w:after="0"/>
        <w:tabs>
          <w:tab w:leader="none" w:pos="53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Jordan Coughlin</w:t>
      </w:r>
    </w:p>
    <w:p>
      <w:pPr>
        <w:spacing w:after="0" w:line="58" w:lineRule="exact"/>
        <w:rPr>
          <w:sz w:val="20"/>
          <w:szCs w:val="20"/>
          <w:color w:val="auto"/>
        </w:rPr>
      </w:pPr>
    </w:p>
    <w:p>
      <w:pPr>
        <w:ind w:left="4520"/>
        <w:spacing w:after="0"/>
        <w:tabs>
          <w:tab w:leader="none" w:pos="51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Vice President and</w:t>
      </w:r>
    </w:p>
    <w:p>
      <w:pPr>
        <w:spacing w:after="0" w:line="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JPMORGAN CHASE BANK, N.A.,</w:t>
      </w:r>
    </w:p>
    <w:p>
      <w:pPr>
        <w:spacing w:after="0" w:line="2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individually and as Administrative</w:t>
      </w:r>
    </w:p>
    <w:p>
      <w:pPr>
        <w:spacing w:after="0" w:line="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Agent, Collateral Agent, Issuing Bank</w:t>
      </w:r>
    </w:p>
    <w:p>
      <w:pPr>
        <w:spacing w:after="0" w:line="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and Swingline Lender</w:t>
      </w:r>
    </w:p>
    <w:p>
      <w:pPr>
        <w:spacing w:after="0" w:line="23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/s/ Robert P. Kellas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12065</wp:posOffset>
            </wp:positionV>
            <wp:extent cx="197993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2">
                      <a:extLst>
                        <a:ext uri="{28A0092B-C50C-407E-A947-70E740481C1C}"/>
                      </a:extLst>
                    </a:blip>
                    <a:srcRect/>
                    <a:stretch>
                      <a:fillRect/>
                    </a:stretch>
                  </pic:blipFill>
                  <pic:spPr bwMode="auto">
                    <a:xfrm>
                      <a:off x="0" y="0"/>
                      <a:ext cx="1979930" cy="8890"/>
                    </a:xfrm>
                    <a:prstGeom prst="rect">
                      <a:avLst/>
                    </a:prstGeom>
                    <a:noFill/>
                  </pic:spPr>
                </pic:pic>
              </a:graphicData>
            </a:graphic>
          </wp:anchor>
        </w:drawing>
      </w:r>
    </w:p>
    <w:p>
      <w:pPr>
        <w:spacing w:after="0" w:line="25" w:lineRule="exact"/>
        <w:rPr>
          <w:sz w:val="20"/>
          <w:szCs w:val="20"/>
          <w:color w:val="auto"/>
        </w:rPr>
      </w:pPr>
    </w:p>
    <w:p>
      <w:pPr>
        <w:ind w:left="4520"/>
        <w:spacing w:after="0"/>
        <w:tabs>
          <w:tab w:leader="none" w:pos="53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Robert P. Kellas</w:t>
      </w:r>
    </w:p>
    <w:p>
      <w:pPr>
        <w:spacing w:after="0" w:line="5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THE GOODYEAR TIRE &amp; RUBBER COMPANY</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FIRST LIEN CREDIT AGREEMENT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080"/>
          </w:cols>
          <w:pgMar w:left="320" w:top="1421" w:right="499" w:bottom="1440" w:gutter="0" w:footer="0" w:header="0"/>
        </w:sectPr>
      </w:pPr>
    </w:p>
    <w:bookmarkStart w:id="383" w:name="page384"/>
    <w:bookmarkEnd w:id="383"/>
    <w:p>
      <w:pPr>
        <w:jc w:val="right"/>
        <w:spacing w:after="0"/>
        <w:rPr>
          <w:sz w:val="20"/>
          <w:szCs w:val="20"/>
          <w:color w:val="auto"/>
        </w:rPr>
      </w:pPr>
      <w:r>
        <w:rPr>
          <w:rFonts w:ascii="Times New Roman" w:cs="Times New Roman" w:eastAsia="Times New Roman" w:hAnsi="Times New Roman"/>
          <w:sz w:val="22"/>
          <w:szCs w:val="22"/>
          <w:color w:val="auto"/>
        </w:rPr>
        <w:t>Signature Page to</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The Goodyear Tire &amp; Rubber Company’s</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Amended and Restated First Lien</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BANK OF AMERICA, N.A. as Joint</w:t>
      </w:r>
    </w:p>
    <w:p>
      <w:pPr>
        <w:spacing w:after="0" w:line="2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Lead Arranger, Joint Bookrunner,</w:t>
      </w:r>
    </w:p>
    <w:p>
      <w:pPr>
        <w:spacing w:after="0" w:line="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Syndication Agent, Issuing Bank, and a</w:t>
      </w:r>
    </w:p>
    <w:p>
      <w:pPr>
        <w:spacing w:after="0" w:line="1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Lender</w:t>
      </w:r>
    </w:p>
    <w:p>
      <w:pPr>
        <w:spacing w:after="0" w:line="22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/s/ Karla M. Ruppert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12065</wp:posOffset>
            </wp:positionV>
            <wp:extent cx="196278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3">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25" w:lineRule="exact"/>
        <w:rPr>
          <w:sz w:val="20"/>
          <w:szCs w:val="20"/>
          <w:color w:val="auto"/>
        </w:rPr>
      </w:pPr>
    </w:p>
    <w:p>
      <w:pPr>
        <w:ind w:left="4560"/>
        <w:spacing w:after="0"/>
        <w:tabs>
          <w:tab w:leader="none" w:pos="53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Karla M. Ruppert</w:t>
      </w:r>
    </w:p>
    <w:p>
      <w:pPr>
        <w:spacing w:after="0" w:line="58" w:lineRule="exact"/>
        <w:rPr>
          <w:sz w:val="20"/>
          <w:szCs w:val="20"/>
          <w:color w:val="auto"/>
        </w:rPr>
      </w:pPr>
    </w:p>
    <w:p>
      <w:pPr>
        <w:ind w:left="4560"/>
        <w:spacing w:after="0"/>
        <w:tabs>
          <w:tab w:leader="none" w:pos="52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25" w:right="339" w:bottom="1440" w:gutter="0" w:footer="0" w:header="0"/>
        </w:sectPr>
      </w:pPr>
    </w:p>
    <w:bookmarkStart w:id="384" w:name="page385"/>
    <w:bookmarkEnd w:id="384"/>
    <w:p>
      <w:pPr>
        <w:jc w:val="right"/>
        <w:spacing w:after="0"/>
        <w:rPr>
          <w:sz w:val="20"/>
          <w:szCs w:val="20"/>
          <w:color w:val="auto"/>
        </w:rPr>
      </w:pPr>
      <w:r>
        <w:rPr>
          <w:rFonts w:ascii="Times New Roman" w:cs="Times New Roman" w:eastAsia="Times New Roman" w:hAnsi="Times New Roman"/>
          <w:sz w:val="22"/>
          <w:szCs w:val="22"/>
          <w:color w:val="auto"/>
        </w:rPr>
        <w:t>Signature Page to</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The Goodyear Tire &amp; Rubber Company’s</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Amended and Restated First Lien</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BNP PARIBAS</w:t>
      </w:r>
    </w:p>
    <w:p>
      <w:pPr>
        <w:spacing w:after="0" w:line="24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/s/ Zachary Kaiser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12065</wp:posOffset>
            </wp:positionV>
            <wp:extent cx="195453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4">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25" w:lineRule="exact"/>
        <w:rPr>
          <w:sz w:val="20"/>
          <w:szCs w:val="20"/>
          <w:color w:val="auto"/>
        </w:rPr>
      </w:pPr>
    </w:p>
    <w:p>
      <w:pPr>
        <w:ind w:left="4560"/>
        <w:spacing w:after="0"/>
        <w:tabs>
          <w:tab w:leader="none" w:pos="53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Zachary Kaiser</w:t>
      </w:r>
    </w:p>
    <w:p>
      <w:pPr>
        <w:spacing w:after="0" w:line="58" w:lineRule="exact"/>
        <w:rPr>
          <w:sz w:val="20"/>
          <w:szCs w:val="20"/>
          <w:color w:val="auto"/>
        </w:rPr>
      </w:pPr>
    </w:p>
    <w:p>
      <w:pPr>
        <w:ind w:left="4560"/>
        <w:spacing w:after="0"/>
        <w:tabs>
          <w:tab w:leader="none" w:pos="52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Director</w:t>
      </w:r>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/s/ Guelay Mese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12065</wp:posOffset>
            </wp:positionV>
            <wp:extent cx="195453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5">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25" w:lineRule="exact"/>
        <w:rPr>
          <w:sz w:val="20"/>
          <w:szCs w:val="20"/>
          <w:color w:val="auto"/>
        </w:rPr>
      </w:pPr>
    </w:p>
    <w:p>
      <w:pPr>
        <w:ind w:left="4560"/>
        <w:spacing w:after="0"/>
        <w:tabs>
          <w:tab w:leader="none" w:pos="53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Guelay Mese</w:t>
      </w:r>
    </w:p>
    <w:p>
      <w:pPr>
        <w:spacing w:after="0" w:line="58" w:lineRule="exact"/>
        <w:rPr>
          <w:sz w:val="20"/>
          <w:szCs w:val="20"/>
          <w:color w:val="auto"/>
        </w:rPr>
      </w:pPr>
    </w:p>
    <w:p>
      <w:pPr>
        <w:ind w:left="4560"/>
        <w:spacing w:after="0"/>
        <w:tabs>
          <w:tab w:leader="none" w:pos="52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25" w:right="339" w:bottom="1440" w:gutter="0" w:footer="0" w:header="0"/>
        </w:sectPr>
      </w:pPr>
    </w:p>
    <w:bookmarkStart w:id="385" w:name="page386"/>
    <w:bookmarkEnd w:id="385"/>
    <w:p>
      <w:pPr>
        <w:jc w:val="right"/>
        <w:spacing w:after="0"/>
        <w:rPr>
          <w:sz w:val="20"/>
          <w:szCs w:val="20"/>
          <w:color w:val="auto"/>
        </w:rPr>
      </w:pPr>
      <w:r>
        <w:rPr>
          <w:rFonts w:ascii="Times New Roman" w:cs="Times New Roman" w:eastAsia="Times New Roman" w:hAnsi="Times New Roman"/>
          <w:sz w:val="22"/>
          <w:szCs w:val="22"/>
          <w:color w:val="auto"/>
        </w:rPr>
        <w:t>Signature Page to</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The Goodyear Tire &amp; Rubber Company’s</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Amended and Restated First Lien</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CITIBANK N.A.</w:t>
      </w:r>
    </w:p>
    <w:p>
      <w:pPr>
        <w:spacing w:after="0" w:line="24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/s/ Allister 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12065</wp:posOffset>
            </wp:positionV>
            <wp:extent cx="195453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6">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25" w:lineRule="exact"/>
        <w:rPr>
          <w:sz w:val="20"/>
          <w:szCs w:val="20"/>
          <w:color w:val="auto"/>
        </w:rPr>
      </w:pPr>
    </w:p>
    <w:p>
      <w:pPr>
        <w:ind w:left="4560"/>
        <w:spacing w:after="0"/>
        <w:tabs>
          <w:tab w:leader="none" w:pos="53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Allister Chan</w:t>
      </w:r>
    </w:p>
    <w:p>
      <w:pPr>
        <w:spacing w:after="0" w:line="58" w:lineRule="exact"/>
        <w:rPr>
          <w:sz w:val="20"/>
          <w:szCs w:val="20"/>
          <w:color w:val="auto"/>
        </w:rPr>
      </w:pPr>
    </w:p>
    <w:p>
      <w:pPr>
        <w:ind w:left="4560"/>
        <w:spacing w:after="0"/>
        <w:tabs>
          <w:tab w:leader="none" w:pos="52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Vice President &amp;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25" w:right="339" w:bottom="1440" w:gutter="0" w:footer="0" w:header="0"/>
        </w:sectPr>
      </w:pPr>
    </w:p>
    <w:bookmarkStart w:id="386" w:name="page387"/>
    <w:bookmarkEnd w:id="386"/>
    <w:p>
      <w:pPr>
        <w:jc w:val="right"/>
        <w:spacing w:after="0"/>
        <w:rPr>
          <w:sz w:val="20"/>
          <w:szCs w:val="20"/>
          <w:color w:val="auto"/>
        </w:rPr>
      </w:pPr>
      <w:r>
        <w:rPr>
          <w:rFonts w:ascii="Times New Roman" w:cs="Times New Roman" w:eastAsia="Times New Roman" w:hAnsi="Times New Roman"/>
          <w:sz w:val="22"/>
          <w:szCs w:val="22"/>
          <w:color w:val="auto"/>
        </w:rPr>
        <w:t>Signature Page to</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The Goodyear Tire &amp; Rubber Company’s</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Amended and Restated First Lien</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CREDIT AGRICOLE CORPORATE AND</w:t>
      </w:r>
    </w:p>
    <w:p>
      <w:pPr>
        <w:ind w:left="3980"/>
        <w:spacing w:after="0"/>
        <w:rPr>
          <w:sz w:val="20"/>
          <w:szCs w:val="20"/>
          <w:color w:val="auto"/>
        </w:rPr>
      </w:pPr>
      <w:r>
        <w:rPr>
          <w:rFonts w:ascii="Times New Roman" w:cs="Times New Roman" w:eastAsia="Times New Roman" w:hAnsi="Times New Roman"/>
          <w:sz w:val="22"/>
          <w:szCs w:val="22"/>
          <w:color w:val="auto"/>
        </w:rPr>
        <w:t>INVESTMENT BANK</w:t>
      </w:r>
    </w:p>
    <w:p>
      <w:pPr>
        <w:spacing w:after="0" w:line="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by</w:t>
      </w:r>
    </w:p>
    <w:p>
      <w:pPr>
        <w:spacing w:after="0" w:line="1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/s/ Jill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12065</wp:posOffset>
            </wp:positionV>
            <wp:extent cx="210883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7">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25" w:lineRule="exact"/>
        <w:rPr>
          <w:sz w:val="20"/>
          <w:szCs w:val="20"/>
          <w:color w:val="auto"/>
        </w:rPr>
      </w:pPr>
    </w:p>
    <w:p>
      <w:pPr>
        <w:ind w:left="4560"/>
        <w:spacing w:after="0"/>
        <w:tabs>
          <w:tab w:leader="none" w:pos="53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Jill Wong</w:t>
      </w:r>
    </w:p>
    <w:p>
      <w:pPr>
        <w:spacing w:after="0" w:line="5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330"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/s/ Gordon Yip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12065</wp:posOffset>
            </wp:positionV>
            <wp:extent cx="204851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8">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5" w:lineRule="exact"/>
        <w:rPr>
          <w:sz w:val="20"/>
          <w:szCs w:val="20"/>
          <w:color w:val="auto"/>
        </w:rPr>
      </w:pPr>
    </w:p>
    <w:p>
      <w:pPr>
        <w:ind w:left="4640"/>
        <w:spacing w:after="0"/>
        <w:tabs>
          <w:tab w:leader="none" w:pos="54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Gordon Yip</w:t>
      </w:r>
    </w:p>
    <w:p>
      <w:pPr>
        <w:spacing w:after="0" w:line="5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25" w:right="339" w:bottom="1440" w:gutter="0" w:footer="0" w:header="0"/>
        </w:sectPr>
      </w:pPr>
    </w:p>
    <w:bookmarkStart w:id="387" w:name="page388"/>
    <w:bookmarkEnd w:id="387"/>
    <w:p>
      <w:pPr>
        <w:jc w:val="right"/>
        <w:spacing w:after="0"/>
        <w:rPr>
          <w:sz w:val="20"/>
          <w:szCs w:val="20"/>
          <w:color w:val="auto"/>
        </w:rPr>
      </w:pPr>
      <w:r>
        <w:rPr>
          <w:rFonts w:ascii="Times New Roman" w:cs="Times New Roman" w:eastAsia="Times New Roman" w:hAnsi="Times New Roman"/>
          <w:sz w:val="22"/>
          <w:szCs w:val="22"/>
          <w:color w:val="auto"/>
        </w:rPr>
        <w:t>Signature Page to</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The Goodyear Tire &amp; Rubber Company’s</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Amended and Restated First Lien</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DEUTSCHE BANK AG NEW YORK</w:t>
      </w:r>
    </w:p>
    <w:p>
      <w:pPr>
        <w:spacing w:after="0" w:line="2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BRANCH</w:t>
      </w:r>
    </w:p>
    <w:p>
      <w:pPr>
        <w:spacing w:after="0" w:line="22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/s/ Philip Tancorra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12065</wp:posOffset>
            </wp:positionV>
            <wp:extent cx="196278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9">
                      <a:extLst>
                        <a:ext uri="{28A0092B-C50C-407E-A947-70E740481C1C}"/>
                      </a:extLst>
                    </a:blip>
                    <a:srcRect/>
                    <a:stretch>
                      <a:fillRect/>
                    </a:stretch>
                  </pic:blipFill>
                  <pic:spPr bwMode="auto">
                    <a:xfrm>
                      <a:off x="0" y="0"/>
                      <a:ext cx="1962785" cy="8890"/>
                    </a:xfrm>
                    <a:prstGeom prst="rect">
                      <a:avLst/>
                    </a:prstGeom>
                    <a:noFill/>
                  </pic:spPr>
                </pic:pic>
              </a:graphicData>
            </a:graphic>
          </wp:anchor>
        </w:drawing>
      </w:r>
    </w:p>
    <w:p>
      <w:pPr>
        <w:spacing w:after="0" w:line="25" w:lineRule="exact"/>
        <w:rPr>
          <w:sz w:val="20"/>
          <w:szCs w:val="20"/>
          <w:color w:val="auto"/>
        </w:rPr>
      </w:pPr>
    </w:p>
    <w:p>
      <w:pPr>
        <w:ind w:left="4560"/>
        <w:spacing w:after="0"/>
        <w:tabs>
          <w:tab w:leader="none" w:pos="53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Philip Tancorra</w:t>
      </w:r>
    </w:p>
    <w:p>
      <w:pPr>
        <w:spacing w:after="0" w:line="58" w:lineRule="exact"/>
        <w:rPr>
          <w:sz w:val="20"/>
          <w:szCs w:val="20"/>
          <w:color w:val="auto"/>
        </w:rPr>
      </w:pPr>
    </w:p>
    <w:p>
      <w:pPr>
        <w:ind w:left="4560"/>
        <w:spacing w:after="0"/>
        <w:tabs>
          <w:tab w:leader="none" w:pos="52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Director</w:t>
      </w:r>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by</w:t>
      </w:r>
    </w:p>
    <w:p>
      <w:pPr>
        <w:spacing w:after="0" w:line="28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/s/ Suzan 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27940</wp:posOffset>
            </wp:positionV>
            <wp:extent cx="196278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0">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51" w:lineRule="exact"/>
        <w:rPr>
          <w:sz w:val="20"/>
          <w:szCs w:val="20"/>
          <w:color w:val="auto"/>
        </w:rPr>
      </w:pPr>
    </w:p>
    <w:p>
      <w:pPr>
        <w:ind w:left="4560"/>
        <w:spacing w:after="0"/>
        <w:tabs>
          <w:tab w:leader="none" w:pos="53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Suzan Onal</w:t>
      </w:r>
    </w:p>
    <w:p>
      <w:pPr>
        <w:spacing w:after="0" w:line="58" w:lineRule="exact"/>
        <w:rPr>
          <w:sz w:val="20"/>
          <w:szCs w:val="20"/>
          <w:color w:val="auto"/>
        </w:rPr>
      </w:pPr>
    </w:p>
    <w:p>
      <w:pPr>
        <w:ind w:left="4560"/>
        <w:spacing w:after="0"/>
        <w:tabs>
          <w:tab w:leader="none" w:pos="52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25" w:right="339" w:bottom="1440" w:gutter="0" w:footer="0" w:header="0"/>
        </w:sectPr>
      </w:pPr>
    </w:p>
    <w:bookmarkStart w:id="388" w:name="page389"/>
    <w:bookmarkEnd w:id="388"/>
    <w:p>
      <w:pPr>
        <w:jc w:val="right"/>
        <w:spacing w:after="0"/>
        <w:rPr>
          <w:sz w:val="20"/>
          <w:szCs w:val="20"/>
          <w:color w:val="auto"/>
        </w:rPr>
      </w:pPr>
      <w:r>
        <w:rPr>
          <w:rFonts w:ascii="Times New Roman" w:cs="Times New Roman" w:eastAsia="Times New Roman" w:hAnsi="Times New Roman"/>
          <w:sz w:val="22"/>
          <w:szCs w:val="22"/>
          <w:color w:val="auto"/>
        </w:rPr>
        <w:t>Signature Page to</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The Goodyear Tire &amp; Rubber Company’s</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Amended and Restated First Lien</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FIFTH THIRD BANK, NATIONAL</w:t>
      </w:r>
    </w:p>
    <w:p>
      <w:pPr>
        <w:spacing w:after="0" w:line="2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ASSOCIATION</w:t>
      </w:r>
    </w:p>
    <w:p>
      <w:pPr>
        <w:spacing w:after="0" w:line="22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/s/ Robert S. Sheppard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12065</wp:posOffset>
            </wp:positionV>
            <wp:extent cx="196278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1">
                      <a:extLst>
                        <a:ext uri="{28A0092B-C50C-407E-A947-70E740481C1C}"/>
                      </a:extLst>
                    </a:blip>
                    <a:srcRect/>
                    <a:stretch>
                      <a:fillRect/>
                    </a:stretch>
                  </pic:blipFill>
                  <pic:spPr bwMode="auto">
                    <a:xfrm>
                      <a:off x="0" y="0"/>
                      <a:ext cx="1962785" cy="8890"/>
                    </a:xfrm>
                    <a:prstGeom prst="rect">
                      <a:avLst/>
                    </a:prstGeom>
                    <a:noFill/>
                  </pic:spPr>
                </pic:pic>
              </a:graphicData>
            </a:graphic>
          </wp:anchor>
        </w:drawing>
      </w:r>
    </w:p>
    <w:p>
      <w:pPr>
        <w:spacing w:after="0" w:line="25" w:lineRule="exact"/>
        <w:rPr>
          <w:sz w:val="20"/>
          <w:szCs w:val="20"/>
          <w:color w:val="auto"/>
        </w:rPr>
      </w:pPr>
    </w:p>
    <w:p>
      <w:pPr>
        <w:ind w:left="4560"/>
        <w:spacing w:after="0"/>
        <w:tabs>
          <w:tab w:leader="none" w:pos="53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Robert S. Sheppard</w:t>
      </w:r>
    </w:p>
    <w:p>
      <w:pPr>
        <w:spacing w:after="0" w:line="58" w:lineRule="exact"/>
        <w:rPr>
          <w:sz w:val="20"/>
          <w:szCs w:val="20"/>
          <w:color w:val="auto"/>
        </w:rPr>
      </w:pPr>
    </w:p>
    <w:p>
      <w:pPr>
        <w:ind w:left="4560"/>
        <w:spacing w:after="0"/>
        <w:tabs>
          <w:tab w:leader="none" w:pos="52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25" w:right="339" w:bottom="1440" w:gutter="0" w:footer="0" w:header="0"/>
        </w:sectPr>
      </w:pPr>
    </w:p>
    <w:bookmarkStart w:id="389" w:name="page390"/>
    <w:bookmarkEnd w:id="389"/>
    <w:p>
      <w:pPr>
        <w:jc w:val="right"/>
        <w:spacing w:after="0"/>
        <w:rPr>
          <w:sz w:val="20"/>
          <w:szCs w:val="20"/>
          <w:color w:val="auto"/>
        </w:rPr>
      </w:pPr>
      <w:r>
        <w:rPr>
          <w:rFonts w:ascii="Times New Roman" w:cs="Times New Roman" w:eastAsia="Times New Roman" w:hAnsi="Times New Roman"/>
          <w:sz w:val="22"/>
          <w:szCs w:val="22"/>
          <w:color w:val="auto"/>
        </w:rPr>
        <w:t>Signature Page to</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The Goodyear Tire &amp; Rubber Company’s</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Amended and Restated First Lien</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2"/>
          <w:szCs w:val="22"/>
          <w:color w:val="auto"/>
        </w:rPr>
        <w:t>GOLDMAN SACKS BANK USA</w:t>
      </w:r>
    </w:p>
    <w:p>
      <w:pPr>
        <w:spacing w:after="0" w:line="24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/s/ Jonathan Dworkin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12065</wp:posOffset>
            </wp:positionV>
            <wp:extent cx="196278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2">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25" w:lineRule="exact"/>
        <w:rPr>
          <w:sz w:val="20"/>
          <w:szCs w:val="20"/>
          <w:color w:val="auto"/>
        </w:rPr>
      </w:pPr>
    </w:p>
    <w:p>
      <w:pPr>
        <w:ind w:left="4560"/>
        <w:spacing w:after="0"/>
        <w:tabs>
          <w:tab w:leader="none" w:pos="53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Jonathan Dworkin</w:t>
      </w:r>
    </w:p>
    <w:p>
      <w:pPr>
        <w:spacing w:after="0" w:line="5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25" w:right="339" w:bottom="1440" w:gutter="0" w:footer="0" w:header="0"/>
        </w:sectPr>
      </w:pPr>
    </w:p>
    <w:bookmarkStart w:id="390" w:name="page391"/>
    <w:bookmarkEnd w:id="390"/>
    <w:p>
      <w:pPr>
        <w:jc w:val="right"/>
        <w:spacing w:after="0"/>
        <w:rPr>
          <w:sz w:val="20"/>
          <w:szCs w:val="20"/>
          <w:color w:val="auto"/>
        </w:rPr>
      </w:pPr>
      <w:r>
        <w:rPr>
          <w:rFonts w:ascii="Times New Roman" w:cs="Times New Roman" w:eastAsia="Times New Roman" w:hAnsi="Times New Roman"/>
          <w:sz w:val="22"/>
          <w:szCs w:val="22"/>
          <w:color w:val="auto"/>
        </w:rPr>
        <w:t>Signature Page to</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The Goodyear Tire &amp; Rubber Company’s</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Amended and Restated First Lien</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MUFG BANK, LTD.</w:t>
      </w:r>
    </w:p>
    <w:p>
      <w:pPr>
        <w:spacing w:after="0" w:line="24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/s/ Thomas Kainamura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12065</wp:posOffset>
            </wp:positionV>
            <wp:extent cx="196278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3">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25" w:lineRule="exact"/>
        <w:rPr>
          <w:sz w:val="20"/>
          <w:szCs w:val="20"/>
          <w:color w:val="auto"/>
        </w:rPr>
      </w:pPr>
    </w:p>
    <w:p>
      <w:pPr>
        <w:ind w:left="4560"/>
        <w:spacing w:after="0"/>
        <w:tabs>
          <w:tab w:leader="none" w:pos="53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Thomas Kainamura</w:t>
      </w:r>
    </w:p>
    <w:p>
      <w:pPr>
        <w:spacing w:after="0" w:line="58" w:lineRule="exact"/>
        <w:rPr>
          <w:sz w:val="20"/>
          <w:szCs w:val="20"/>
          <w:color w:val="auto"/>
        </w:rPr>
      </w:pPr>
    </w:p>
    <w:p>
      <w:pPr>
        <w:ind w:left="4560"/>
        <w:spacing w:after="0"/>
        <w:tabs>
          <w:tab w:leader="none" w:pos="52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25" w:right="339" w:bottom="1440" w:gutter="0" w:footer="0" w:header="0"/>
        </w:sectPr>
      </w:pPr>
    </w:p>
    <w:bookmarkStart w:id="391" w:name="page392"/>
    <w:bookmarkEnd w:id="391"/>
    <w:p>
      <w:pPr>
        <w:jc w:val="right"/>
        <w:spacing w:after="0"/>
        <w:rPr>
          <w:sz w:val="20"/>
          <w:szCs w:val="20"/>
          <w:color w:val="auto"/>
        </w:rPr>
      </w:pPr>
      <w:r>
        <w:rPr>
          <w:rFonts w:ascii="Times New Roman" w:cs="Times New Roman" w:eastAsia="Times New Roman" w:hAnsi="Times New Roman"/>
          <w:sz w:val="22"/>
          <w:szCs w:val="22"/>
          <w:color w:val="auto"/>
        </w:rPr>
        <w:t>Signature Page to</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The Goodyear Tire &amp; Rubber Company’s</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Amended and Restated First Lien</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PNC BANK, NATIONAL</w:t>
      </w:r>
    </w:p>
    <w:p>
      <w:pPr>
        <w:ind w:left="3980"/>
        <w:spacing w:after="0"/>
        <w:rPr>
          <w:sz w:val="20"/>
          <w:szCs w:val="20"/>
          <w:color w:val="auto"/>
        </w:rPr>
      </w:pPr>
      <w:r>
        <w:rPr>
          <w:rFonts w:ascii="Times New Roman" w:cs="Times New Roman" w:eastAsia="Times New Roman" w:hAnsi="Times New Roman"/>
          <w:sz w:val="22"/>
          <w:szCs w:val="22"/>
          <w:color w:val="auto"/>
        </w:rPr>
        <w:t>ASSOCIATION</w:t>
      </w:r>
    </w:p>
    <w:p>
      <w:pPr>
        <w:spacing w:after="0" w:line="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by</w:t>
      </w:r>
    </w:p>
    <w:p>
      <w:pPr>
        <w:spacing w:after="0" w:line="1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/s/ Keven Larkin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12065</wp:posOffset>
            </wp:positionV>
            <wp:extent cx="196278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4">
                      <a:extLst>
                        <a:ext uri="{28A0092B-C50C-407E-A947-70E740481C1C}"/>
                      </a:extLst>
                    </a:blip>
                    <a:srcRect/>
                    <a:stretch>
                      <a:fillRect/>
                    </a:stretch>
                  </pic:blipFill>
                  <pic:spPr bwMode="auto">
                    <a:xfrm>
                      <a:off x="0" y="0"/>
                      <a:ext cx="1962785" cy="8890"/>
                    </a:xfrm>
                    <a:prstGeom prst="rect">
                      <a:avLst/>
                    </a:prstGeom>
                    <a:noFill/>
                  </pic:spPr>
                </pic:pic>
              </a:graphicData>
            </a:graphic>
          </wp:anchor>
        </w:drawing>
      </w:r>
    </w:p>
    <w:p>
      <w:pPr>
        <w:spacing w:after="0" w:line="25" w:lineRule="exact"/>
        <w:rPr>
          <w:sz w:val="20"/>
          <w:szCs w:val="20"/>
          <w:color w:val="auto"/>
        </w:rPr>
      </w:pPr>
    </w:p>
    <w:p>
      <w:pPr>
        <w:ind w:left="4560"/>
        <w:spacing w:after="0"/>
        <w:tabs>
          <w:tab w:leader="none" w:pos="53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Keven Larkin</w:t>
      </w:r>
    </w:p>
    <w:p>
      <w:pPr>
        <w:spacing w:after="0" w:line="58" w:lineRule="exact"/>
        <w:rPr>
          <w:sz w:val="20"/>
          <w:szCs w:val="20"/>
          <w:color w:val="auto"/>
        </w:rPr>
      </w:pPr>
    </w:p>
    <w:p>
      <w:pPr>
        <w:ind w:left="4560"/>
        <w:spacing w:after="0"/>
        <w:tabs>
          <w:tab w:leader="none" w:pos="52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25" w:right="339" w:bottom="1440" w:gutter="0" w:footer="0" w:header="0"/>
        </w:sectPr>
      </w:pPr>
    </w:p>
    <w:bookmarkStart w:id="392" w:name="page393"/>
    <w:bookmarkEnd w:id="392"/>
    <w:p>
      <w:pPr>
        <w:jc w:val="right"/>
        <w:spacing w:after="0"/>
        <w:rPr>
          <w:sz w:val="20"/>
          <w:szCs w:val="20"/>
          <w:color w:val="auto"/>
        </w:rPr>
      </w:pPr>
      <w:r>
        <w:rPr>
          <w:rFonts w:ascii="Times New Roman" w:cs="Times New Roman" w:eastAsia="Times New Roman" w:hAnsi="Times New Roman"/>
          <w:sz w:val="22"/>
          <w:szCs w:val="22"/>
          <w:color w:val="auto"/>
        </w:rPr>
        <w:t>Signature Page to</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The Goodyear Tire &amp; Rubber Company’s</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Amended and Restated First Lien</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CAPITAL ONE, NATIONAL</w:t>
      </w:r>
    </w:p>
    <w:p>
      <w:pPr>
        <w:spacing w:after="0" w:line="2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ASSOCIATION</w:t>
      </w:r>
    </w:p>
    <w:p>
      <w:pPr>
        <w:spacing w:after="0" w:line="22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/s/ Julianne 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12065</wp:posOffset>
            </wp:positionV>
            <wp:extent cx="196278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5">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25" w:lineRule="exact"/>
        <w:rPr>
          <w:sz w:val="20"/>
          <w:szCs w:val="20"/>
          <w:color w:val="auto"/>
        </w:rPr>
      </w:pPr>
    </w:p>
    <w:p>
      <w:pPr>
        <w:ind w:left="4560"/>
        <w:spacing w:after="0"/>
        <w:tabs>
          <w:tab w:leader="none" w:pos="53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Julianne Low</w:t>
      </w:r>
    </w:p>
    <w:p>
      <w:pPr>
        <w:spacing w:after="0" w:line="58" w:lineRule="exact"/>
        <w:rPr>
          <w:sz w:val="20"/>
          <w:szCs w:val="20"/>
          <w:color w:val="auto"/>
        </w:rPr>
      </w:pPr>
    </w:p>
    <w:p>
      <w:pPr>
        <w:ind w:left="4560"/>
        <w:spacing w:after="0"/>
        <w:tabs>
          <w:tab w:leader="none" w:pos="52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Senior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25" w:right="339" w:bottom="1440" w:gutter="0" w:footer="0" w:header="0"/>
        </w:sectPr>
      </w:pPr>
    </w:p>
    <w:bookmarkStart w:id="393" w:name="page394"/>
    <w:bookmarkEnd w:id="393"/>
    <w:p>
      <w:pPr>
        <w:jc w:val="right"/>
        <w:spacing w:after="0"/>
        <w:rPr>
          <w:sz w:val="20"/>
          <w:szCs w:val="20"/>
          <w:color w:val="auto"/>
        </w:rPr>
      </w:pPr>
      <w:r>
        <w:rPr>
          <w:rFonts w:ascii="Times New Roman" w:cs="Times New Roman" w:eastAsia="Times New Roman" w:hAnsi="Times New Roman"/>
          <w:sz w:val="22"/>
          <w:szCs w:val="22"/>
          <w:color w:val="auto"/>
        </w:rPr>
        <w:t>Signature Page to</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The Goodyear Tire &amp; Rubber Company’s</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Amended and Restated First Lien</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CIBC BANK USA</w:t>
      </w:r>
    </w:p>
    <w:p>
      <w:pPr>
        <w:spacing w:after="0" w:line="24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/s/ James Belletire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12065</wp:posOffset>
            </wp:positionV>
            <wp:extent cx="196278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6">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25" w:lineRule="exact"/>
        <w:rPr>
          <w:sz w:val="20"/>
          <w:szCs w:val="20"/>
          <w:color w:val="auto"/>
        </w:rPr>
      </w:pPr>
    </w:p>
    <w:p>
      <w:pPr>
        <w:ind w:left="4560"/>
        <w:spacing w:after="0"/>
        <w:tabs>
          <w:tab w:leader="none" w:pos="53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James Belletire</w:t>
      </w:r>
    </w:p>
    <w:p>
      <w:pPr>
        <w:spacing w:after="0" w:line="58" w:lineRule="exact"/>
        <w:rPr>
          <w:sz w:val="20"/>
          <w:szCs w:val="20"/>
          <w:color w:val="auto"/>
        </w:rPr>
      </w:pPr>
    </w:p>
    <w:p>
      <w:pPr>
        <w:ind w:left="4560"/>
        <w:spacing w:after="0"/>
        <w:tabs>
          <w:tab w:leader="none" w:pos="52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25" w:right="339" w:bottom="1440" w:gutter="0" w:footer="0" w:header="0"/>
        </w:sectPr>
      </w:pPr>
    </w:p>
    <w:bookmarkStart w:id="394" w:name="page395"/>
    <w:bookmarkEnd w:id="394"/>
    <w:p>
      <w:pPr>
        <w:jc w:val="right"/>
        <w:spacing w:after="0"/>
        <w:rPr>
          <w:sz w:val="20"/>
          <w:szCs w:val="20"/>
          <w:color w:val="auto"/>
        </w:rPr>
      </w:pPr>
      <w:r>
        <w:rPr>
          <w:rFonts w:ascii="Times New Roman" w:cs="Times New Roman" w:eastAsia="Times New Roman" w:hAnsi="Times New Roman"/>
          <w:sz w:val="22"/>
          <w:szCs w:val="22"/>
          <w:color w:val="auto"/>
        </w:rPr>
        <w:t>Signature Page to</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The Goodyear Tire &amp; Rubber Company’s</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Amended and Restated First Lien</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FLAGSTAR BANK, N.A. (as Assignee</w:t>
      </w:r>
    </w:p>
    <w:p>
      <w:pPr>
        <w:spacing w:after="0" w:line="2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of Flagstar Specialty Finance Company,</w:t>
      </w:r>
    </w:p>
    <w:p>
      <w:pPr>
        <w:spacing w:after="0" w:line="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LLC, F/K/A NYCB Specialty Finance</w:t>
      </w:r>
    </w:p>
    <w:p>
      <w:pPr>
        <w:spacing w:after="0" w:line="1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Company, LLC)</w:t>
      </w:r>
    </w:p>
    <w:p>
      <w:pPr>
        <w:spacing w:after="0" w:line="22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/s/ James Dore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12065</wp:posOffset>
            </wp:positionV>
            <wp:extent cx="196278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7">
                      <a:extLst>
                        <a:ext uri="{28A0092B-C50C-407E-A947-70E740481C1C}"/>
                      </a:extLst>
                    </a:blip>
                    <a:srcRect/>
                    <a:stretch>
                      <a:fillRect/>
                    </a:stretch>
                  </pic:blipFill>
                  <pic:spPr bwMode="auto">
                    <a:xfrm>
                      <a:off x="0" y="0"/>
                      <a:ext cx="1962785" cy="8890"/>
                    </a:xfrm>
                    <a:prstGeom prst="rect">
                      <a:avLst/>
                    </a:prstGeom>
                    <a:noFill/>
                  </pic:spPr>
                </pic:pic>
              </a:graphicData>
            </a:graphic>
          </wp:anchor>
        </w:drawing>
      </w:r>
    </w:p>
    <w:p>
      <w:pPr>
        <w:spacing w:after="0" w:line="25" w:lineRule="exact"/>
        <w:rPr>
          <w:sz w:val="20"/>
          <w:szCs w:val="20"/>
          <w:color w:val="auto"/>
        </w:rPr>
      </w:pPr>
    </w:p>
    <w:p>
      <w:pPr>
        <w:ind w:left="4560"/>
        <w:spacing w:after="0"/>
        <w:tabs>
          <w:tab w:leader="none" w:pos="53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James Dore</w:t>
      </w:r>
    </w:p>
    <w:p>
      <w:pPr>
        <w:spacing w:after="0" w:line="58" w:lineRule="exact"/>
        <w:rPr>
          <w:sz w:val="20"/>
          <w:szCs w:val="20"/>
          <w:color w:val="auto"/>
        </w:rPr>
      </w:pPr>
    </w:p>
    <w:p>
      <w:pPr>
        <w:ind w:left="4560"/>
        <w:spacing w:after="0"/>
        <w:tabs>
          <w:tab w:leader="none" w:pos="52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SVP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25" w:right="339" w:bottom="1440" w:gutter="0" w:footer="0" w:header="0"/>
        </w:sectPr>
      </w:pPr>
    </w:p>
    <w:bookmarkStart w:id="395" w:name="page396"/>
    <w:bookmarkEnd w:id="395"/>
    <w:p>
      <w:pPr>
        <w:jc w:val="right"/>
        <w:spacing w:after="0"/>
        <w:rPr>
          <w:sz w:val="20"/>
          <w:szCs w:val="20"/>
          <w:color w:val="auto"/>
        </w:rPr>
      </w:pPr>
      <w:r>
        <w:rPr>
          <w:rFonts w:ascii="Times New Roman" w:cs="Times New Roman" w:eastAsia="Times New Roman" w:hAnsi="Times New Roman"/>
          <w:sz w:val="22"/>
          <w:szCs w:val="22"/>
          <w:color w:val="auto"/>
        </w:rPr>
        <w:t>Signature Page to</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The Goodyear Tire &amp; Rubber Company’s</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Amended and Restated First Lien</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THE HUNTINGTON NATIONAL</w:t>
      </w:r>
    </w:p>
    <w:p>
      <w:pPr>
        <w:spacing w:after="0" w:line="2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BANK</w:t>
      </w:r>
    </w:p>
    <w:p>
      <w:pPr>
        <w:spacing w:after="0" w:line="22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/s/ Roger F. Reeder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12065</wp:posOffset>
            </wp:positionV>
            <wp:extent cx="196278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8">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25" w:lineRule="exact"/>
        <w:rPr>
          <w:sz w:val="20"/>
          <w:szCs w:val="20"/>
          <w:color w:val="auto"/>
        </w:rPr>
      </w:pPr>
    </w:p>
    <w:p>
      <w:pPr>
        <w:ind w:left="4560"/>
        <w:spacing w:after="0"/>
        <w:tabs>
          <w:tab w:leader="none" w:pos="53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Roger F. Reeder</w:t>
      </w:r>
    </w:p>
    <w:p>
      <w:pPr>
        <w:spacing w:after="0" w:line="5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25" w:right="339" w:bottom="1440" w:gutter="0" w:footer="0" w:header="0"/>
        </w:sectPr>
      </w:pPr>
    </w:p>
    <w:bookmarkStart w:id="396" w:name="page397"/>
    <w:bookmarkEnd w:id="396"/>
    <w:p>
      <w:pPr>
        <w:jc w:val="right"/>
        <w:spacing w:after="0"/>
        <w:rPr>
          <w:sz w:val="20"/>
          <w:szCs w:val="20"/>
          <w:color w:val="auto"/>
        </w:rPr>
      </w:pPr>
      <w:r>
        <w:rPr>
          <w:rFonts w:ascii="Times New Roman" w:cs="Times New Roman" w:eastAsia="Times New Roman" w:hAnsi="Times New Roman"/>
          <w:sz w:val="22"/>
          <w:szCs w:val="22"/>
          <w:color w:val="auto"/>
        </w:rPr>
        <w:t>Signature Page to</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The Goodyear Tire &amp; Rubber Company’s</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Amended and Restated First Lien</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REGIONS BANK</w:t>
      </w:r>
    </w:p>
    <w:p>
      <w:pPr>
        <w:spacing w:after="0" w:line="24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/s/ Darius Sutrinaitis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12065</wp:posOffset>
            </wp:positionV>
            <wp:extent cx="196278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9">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25" w:lineRule="exact"/>
        <w:rPr>
          <w:sz w:val="20"/>
          <w:szCs w:val="20"/>
          <w:color w:val="auto"/>
        </w:rPr>
      </w:pPr>
    </w:p>
    <w:p>
      <w:pPr>
        <w:ind w:left="4560"/>
        <w:spacing w:after="0"/>
        <w:tabs>
          <w:tab w:leader="none" w:pos="53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Darius Sutrinaitis</w:t>
      </w:r>
    </w:p>
    <w:p>
      <w:pPr>
        <w:spacing w:after="0" w:line="5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25" w:right="339" w:bottom="1440" w:gutter="0" w:footer="0" w:header="0"/>
        </w:sectPr>
      </w:pPr>
    </w:p>
    <w:bookmarkStart w:id="397" w:name="page398"/>
    <w:bookmarkEnd w:id="397"/>
    <w:p>
      <w:pPr>
        <w:jc w:val="right"/>
        <w:spacing w:after="0"/>
        <w:rPr>
          <w:sz w:val="20"/>
          <w:szCs w:val="20"/>
          <w:color w:val="auto"/>
        </w:rPr>
      </w:pPr>
      <w:r>
        <w:rPr>
          <w:rFonts w:ascii="Times New Roman" w:cs="Times New Roman" w:eastAsia="Times New Roman" w:hAnsi="Times New Roman"/>
          <w:sz w:val="22"/>
          <w:szCs w:val="22"/>
          <w:color w:val="auto"/>
        </w:rPr>
        <w:t>Signature Page to</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The Goodyear Tire &amp; Rubber Company’s</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Amended and Restated First Lien</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CITIZENS BANK, N.A.</w:t>
      </w:r>
    </w:p>
    <w:p>
      <w:pPr>
        <w:spacing w:after="0" w:line="24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/s/ David Slattery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12065</wp:posOffset>
            </wp:positionV>
            <wp:extent cx="196278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0">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25" w:lineRule="exact"/>
        <w:rPr>
          <w:sz w:val="20"/>
          <w:szCs w:val="20"/>
          <w:color w:val="auto"/>
        </w:rPr>
      </w:pPr>
    </w:p>
    <w:p>
      <w:pPr>
        <w:ind w:left="4560"/>
        <w:spacing w:after="0"/>
        <w:tabs>
          <w:tab w:leader="none" w:pos="53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David Slattery</w:t>
      </w:r>
    </w:p>
    <w:p>
      <w:pPr>
        <w:spacing w:after="0" w:line="58" w:lineRule="exact"/>
        <w:rPr>
          <w:sz w:val="20"/>
          <w:szCs w:val="20"/>
          <w:color w:val="auto"/>
        </w:rPr>
      </w:pPr>
    </w:p>
    <w:p>
      <w:pPr>
        <w:ind w:left="4560"/>
        <w:spacing w:after="0"/>
        <w:tabs>
          <w:tab w:leader="none" w:pos="52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25" w:right="339" w:bottom="1440" w:gutter="0" w:footer="0" w:header="0"/>
        </w:sectPr>
      </w:pPr>
    </w:p>
    <w:bookmarkStart w:id="398" w:name="page399"/>
    <w:bookmarkEnd w:id="398"/>
    <w:p>
      <w:pPr>
        <w:jc w:val="right"/>
        <w:spacing w:after="0"/>
        <w:rPr>
          <w:sz w:val="20"/>
          <w:szCs w:val="20"/>
          <w:color w:val="auto"/>
        </w:rPr>
      </w:pPr>
      <w:r>
        <w:rPr>
          <w:rFonts w:ascii="Times New Roman" w:cs="Times New Roman" w:eastAsia="Times New Roman" w:hAnsi="Times New Roman"/>
          <w:sz w:val="22"/>
          <w:szCs w:val="22"/>
          <w:color w:val="auto"/>
        </w:rPr>
        <w:t>Signature Page to</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The Goodyear Tire &amp; Rubber Company’s</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Amended and Restated First Lien</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FIRST NATIONAL BANK OF</w:t>
      </w:r>
    </w:p>
    <w:p>
      <w:pPr>
        <w:spacing w:after="0" w:line="2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PENNSYLVANIA</w:t>
      </w:r>
    </w:p>
    <w:p>
      <w:pPr>
        <w:spacing w:after="0" w:line="22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/s/ Anthony J. Leone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12065</wp:posOffset>
            </wp:positionV>
            <wp:extent cx="196278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1">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25" w:lineRule="exact"/>
        <w:rPr>
          <w:sz w:val="20"/>
          <w:szCs w:val="20"/>
          <w:color w:val="auto"/>
        </w:rPr>
      </w:pPr>
    </w:p>
    <w:p>
      <w:pPr>
        <w:ind w:left="4560"/>
        <w:spacing w:after="0"/>
        <w:tabs>
          <w:tab w:leader="none" w:pos="53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Anthony J. Leone</w:t>
      </w:r>
    </w:p>
    <w:p>
      <w:pPr>
        <w:spacing w:after="0" w:line="58" w:lineRule="exact"/>
        <w:rPr>
          <w:sz w:val="20"/>
          <w:szCs w:val="20"/>
          <w:color w:val="auto"/>
        </w:rPr>
      </w:pPr>
    </w:p>
    <w:p>
      <w:pPr>
        <w:ind w:left="4560"/>
        <w:spacing w:after="0"/>
        <w:tabs>
          <w:tab w:leader="none" w:pos="52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25" w:right="339" w:bottom="1440" w:gutter="0" w:footer="0" w:header="0"/>
        </w:sectPr>
      </w:pPr>
    </w:p>
    <w:bookmarkStart w:id="399" w:name="page400"/>
    <w:bookmarkEnd w:id="399"/>
    <w:p>
      <w:pPr>
        <w:jc w:val="right"/>
        <w:spacing w:after="0"/>
        <w:rPr>
          <w:sz w:val="20"/>
          <w:szCs w:val="20"/>
          <w:color w:val="auto"/>
        </w:rPr>
      </w:pPr>
      <w:r>
        <w:rPr>
          <w:rFonts w:ascii="Times New Roman" w:cs="Times New Roman" w:eastAsia="Times New Roman" w:hAnsi="Times New Roman"/>
          <w:sz w:val="22"/>
          <w:szCs w:val="22"/>
          <w:color w:val="auto"/>
        </w:rPr>
        <w:t>Signature Page to</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The Goodyear Tire &amp; Rubber Company’s</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Amended and Restated First Lien</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KEYBANK NATIONAL</w:t>
      </w:r>
    </w:p>
    <w:p>
      <w:pPr>
        <w:spacing w:after="0" w:line="2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ASSOCIATION</w:t>
      </w:r>
    </w:p>
    <w:p>
      <w:pPr>
        <w:spacing w:after="0" w:line="22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/s/ Dylan Gugliotta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12065</wp:posOffset>
            </wp:positionV>
            <wp:extent cx="196278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2">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25" w:lineRule="exact"/>
        <w:rPr>
          <w:sz w:val="20"/>
          <w:szCs w:val="20"/>
          <w:color w:val="auto"/>
        </w:rPr>
      </w:pPr>
    </w:p>
    <w:p>
      <w:pPr>
        <w:ind w:left="4560"/>
        <w:spacing w:after="0"/>
        <w:tabs>
          <w:tab w:leader="none" w:pos="53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Dylan Gugliotta</w:t>
      </w:r>
    </w:p>
    <w:p>
      <w:pPr>
        <w:spacing w:after="0" w:line="58" w:lineRule="exact"/>
        <w:rPr>
          <w:sz w:val="20"/>
          <w:szCs w:val="20"/>
          <w:color w:val="auto"/>
        </w:rPr>
      </w:pPr>
    </w:p>
    <w:p>
      <w:pPr>
        <w:ind w:left="4560"/>
        <w:spacing w:after="0"/>
        <w:tabs>
          <w:tab w:leader="none" w:pos="52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Associate Portfolio</w:t>
      </w:r>
    </w:p>
    <w:p>
      <w:pPr>
        <w:spacing w:after="0" w:line="2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25" w:right="339" w:bottom="1440" w:gutter="0" w:footer="0" w:header="0"/>
        </w:sectPr>
      </w:pPr>
    </w:p>
    <w:bookmarkStart w:id="400" w:name="page401"/>
    <w:bookmarkEnd w:id="400"/>
    <w:p>
      <w:pPr>
        <w:jc w:val="right"/>
        <w:spacing w:after="0"/>
        <w:rPr>
          <w:sz w:val="20"/>
          <w:szCs w:val="20"/>
          <w:color w:val="auto"/>
        </w:rPr>
      </w:pPr>
      <w:r>
        <w:rPr>
          <w:rFonts w:ascii="Times New Roman" w:cs="Times New Roman" w:eastAsia="Times New Roman" w:hAnsi="Times New Roman"/>
          <w:sz w:val="22"/>
          <w:szCs w:val="22"/>
          <w:color w:val="auto"/>
        </w:rPr>
        <w:t>Signature Page to</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The Goodyear Tire &amp; Rubber Company’s</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Amended and Restated First Lien</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HSBC BANK USA, N.A.</w:t>
      </w:r>
    </w:p>
    <w:p>
      <w:pPr>
        <w:spacing w:after="0" w:line="24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/s/ Robert F. Mello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12065</wp:posOffset>
            </wp:positionV>
            <wp:extent cx="196278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3">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25" w:lineRule="exact"/>
        <w:rPr>
          <w:sz w:val="20"/>
          <w:szCs w:val="20"/>
          <w:color w:val="auto"/>
        </w:rPr>
      </w:pPr>
    </w:p>
    <w:p>
      <w:pPr>
        <w:ind w:left="4560"/>
        <w:spacing w:after="0"/>
        <w:tabs>
          <w:tab w:leader="none" w:pos="53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Robert F. Mello</w:t>
      </w:r>
    </w:p>
    <w:p>
      <w:pPr>
        <w:spacing w:after="0" w:line="58" w:lineRule="exact"/>
        <w:rPr>
          <w:sz w:val="20"/>
          <w:szCs w:val="20"/>
          <w:color w:val="auto"/>
        </w:rPr>
      </w:pPr>
    </w:p>
    <w:p>
      <w:pPr>
        <w:ind w:left="4560"/>
        <w:spacing w:after="0"/>
        <w:tabs>
          <w:tab w:leader="none" w:pos="52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25" w:right="339" w:bottom="1440" w:gutter="0" w:footer="0" w:header="0"/>
        </w:sectPr>
      </w:pPr>
    </w:p>
    <w:bookmarkStart w:id="401" w:name="page402"/>
    <w:bookmarkEnd w:id="401"/>
    <w:p>
      <w:pPr>
        <w:jc w:val="right"/>
        <w:spacing w:after="0"/>
        <w:rPr>
          <w:sz w:val="20"/>
          <w:szCs w:val="20"/>
          <w:color w:val="auto"/>
        </w:rPr>
      </w:pPr>
      <w:r>
        <w:rPr>
          <w:rFonts w:ascii="Times New Roman" w:cs="Times New Roman" w:eastAsia="Times New Roman" w:hAnsi="Times New Roman"/>
          <w:sz w:val="22"/>
          <w:szCs w:val="22"/>
          <w:color w:val="auto"/>
        </w:rPr>
        <w:t>Signature Page to</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The Goodyear Tire &amp; Rubber Company’s</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Amended and Restated First Lien</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ROYAL BANK OF CANADA</w:t>
      </w:r>
    </w:p>
    <w:p>
      <w:pPr>
        <w:spacing w:after="0" w:line="24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/s/ Juliya Regy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12065</wp:posOffset>
            </wp:positionV>
            <wp:extent cx="196278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4">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25" w:lineRule="exact"/>
        <w:rPr>
          <w:sz w:val="20"/>
          <w:szCs w:val="20"/>
          <w:color w:val="auto"/>
        </w:rPr>
      </w:pPr>
    </w:p>
    <w:p>
      <w:pPr>
        <w:ind w:left="4560"/>
        <w:spacing w:after="0"/>
        <w:tabs>
          <w:tab w:leader="none" w:pos="53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Juliya Regy</w:t>
      </w:r>
    </w:p>
    <w:p>
      <w:pPr>
        <w:spacing w:after="0" w:line="58" w:lineRule="exact"/>
        <w:rPr>
          <w:sz w:val="20"/>
          <w:szCs w:val="20"/>
          <w:color w:val="auto"/>
        </w:rPr>
      </w:pPr>
    </w:p>
    <w:p>
      <w:pPr>
        <w:ind w:left="4560"/>
        <w:spacing w:after="0"/>
        <w:tabs>
          <w:tab w:leader="none" w:pos="52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Vice President, Corporate</w:t>
      </w:r>
    </w:p>
    <w:p>
      <w:pPr>
        <w:spacing w:after="0" w:line="12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Client Group – Asset Based Lending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25" w:right="339" w:bottom="1440" w:gutter="0" w:footer="0" w:header="0"/>
        </w:sectPr>
      </w:pPr>
    </w:p>
    <w:bookmarkStart w:id="402" w:name="page403"/>
    <w:bookmarkEnd w:id="402"/>
    <w:p>
      <w:pPr>
        <w:jc w:val="right"/>
        <w:spacing w:after="0"/>
        <w:rPr>
          <w:sz w:val="20"/>
          <w:szCs w:val="20"/>
          <w:color w:val="auto"/>
        </w:rPr>
      </w:pPr>
      <w:r>
        <w:rPr>
          <w:rFonts w:ascii="Times New Roman" w:cs="Times New Roman" w:eastAsia="Times New Roman" w:hAnsi="Times New Roman"/>
          <w:sz w:val="22"/>
          <w:szCs w:val="22"/>
          <w:color w:val="auto"/>
        </w:rPr>
        <w:t>Signature Page to</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The Goodyear Tire &amp; Rubber Company’s</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Amended and Restated First Lien</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SANTANDER BANK, N.A.</w:t>
      </w:r>
    </w:p>
    <w:p>
      <w:pPr>
        <w:spacing w:after="0" w:line="24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/s/ Robert Anastasio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12065</wp:posOffset>
            </wp:positionV>
            <wp:extent cx="196278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5">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25" w:lineRule="exact"/>
        <w:rPr>
          <w:sz w:val="20"/>
          <w:szCs w:val="20"/>
          <w:color w:val="auto"/>
        </w:rPr>
      </w:pPr>
    </w:p>
    <w:p>
      <w:pPr>
        <w:ind w:left="4560"/>
        <w:spacing w:after="0"/>
        <w:tabs>
          <w:tab w:leader="none" w:pos="53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Robert Anastasio</w:t>
      </w:r>
    </w:p>
    <w:p>
      <w:pPr>
        <w:spacing w:after="0" w:line="58" w:lineRule="exact"/>
        <w:rPr>
          <w:sz w:val="20"/>
          <w:szCs w:val="20"/>
          <w:color w:val="auto"/>
        </w:rPr>
      </w:pPr>
    </w:p>
    <w:p>
      <w:pPr>
        <w:ind w:left="4560"/>
        <w:spacing w:after="0"/>
        <w:tabs>
          <w:tab w:leader="none" w:pos="52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25" w:right="339" w:bottom="1440" w:gutter="0" w:footer="0" w:header="0"/>
        </w:sectPr>
      </w:pPr>
    </w:p>
    <w:bookmarkStart w:id="403" w:name="page404"/>
    <w:bookmarkEnd w:id="403"/>
    <w:p>
      <w:pPr>
        <w:jc w:val="right"/>
        <w:spacing w:after="0"/>
        <w:rPr>
          <w:sz w:val="20"/>
          <w:szCs w:val="20"/>
          <w:color w:val="auto"/>
        </w:rPr>
      </w:pPr>
      <w:r>
        <w:rPr>
          <w:rFonts w:ascii="Times New Roman" w:cs="Times New Roman" w:eastAsia="Times New Roman" w:hAnsi="Times New Roman"/>
          <w:sz w:val="22"/>
          <w:szCs w:val="22"/>
          <w:color w:val="auto"/>
        </w:rPr>
        <w:t>Signature Page to</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The Goodyear Tire &amp; Rubber Company’s</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Amended and Restated First Lien</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STANDARD CHARTERED BANK</w:t>
      </w:r>
    </w:p>
    <w:p>
      <w:pPr>
        <w:spacing w:after="0" w:line="24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/s/ Lavanya Gunasekaran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12065</wp:posOffset>
            </wp:positionV>
            <wp:extent cx="196278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6">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25" w:lineRule="exact"/>
        <w:rPr>
          <w:sz w:val="20"/>
          <w:szCs w:val="20"/>
          <w:color w:val="auto"/>
        </w:rPr>
      </w:pPr>
    </w:p>
    <w:p>
      <w:pPr>
        <w:ind w:left="4560"/>
        <w:spacing w:after="0"/>
        <w:tabs>
          <w:tab w:leader="none" w:pos="53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Lavanya Gunasekaran</w:t>
      </w:r>
    </w:p>
    <w:p>
      <w:pPr>
        <w:spacing w:after="0" w:line="58" w:lineRule="exact"/>
        <w:rPr>
          <w:sz w:val="20"/>
          <w:szCs w:val="20"/>
          <w:color w:val="auto"/>
        </w:rPr>
      </w:pPr>
    </w:p>
    <w:p>
      <w:pPr>
        <w:ind w:left="4560"/>
        <w:spacing w:after="0"/>
        <w:tabs>
          <w:tab w:leader="none" w:pos="52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25" w:right="339" w:bottom="1440" w:gutter="0" w:footer="0" w:header="0"/>
        </w:sectPr>
      </w:pPr>
    </w:p>
    <w:bookmarkStart w:id="404" w:name="page405"/>
    <w:bookmarkEnd w:id="404"/>
    <w:p>
      <w:pPr>
        <w:jc w:val="right"/>
        <w:spacing w:after="0"/>
        <w:rPr>
          <w:sz w:val="20"/>
          <w:szCs w:val="20"/>
          <w:color w:val="auto"/>
        </w:rPr>
      </w:pPr>
      <w:r>
        <w:rPr>
          <w:rFonts w:ascii="Times New Roman" w:cs="Times New Roman" w:eastAsia="Times New Roman" w:hAnsi="Times New Roman"/>
          <w:sz w:val="22"/>
          <w:szCs w:val="22"/>
          <w:color w:val="auto"/>
        </w:rPr>
        <w:t>Signature Page to</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The Goodyear Tire &amp; Rubber Company’s</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Amended and Restated First Lien</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U.S. BANK, NATIONAL</w:t>
      </w:r>
    </w:p>
    <w:p>
      <w:pPr>
        <w:spacing w:after="0" w:line="2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ASSOCIATION</w:t>
      </w:r>
    </w:p>
    <w:p>
      <w:pPr>
        <w:spacing w:after="0" w:line="22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/s/ James Steimer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12065</wp:posOffset>
            </wp:positionV>
            <wp:extent cx="196278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7">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25" w:lineRule="exact"/>
        <w:rPr>
          <w:sz w:val="20"/>
          <w:szCs w:val="20"/>
          <w:color w:val="auto"/>
        </w:rPr>
      </w:pPr>
    </w:p>
    <w:p>
      <w:pPr>
        <w:ind w:left="4560"/>
        <w:spacing w:after="0"/>
        <w:tabs>
          <w:tab w:leader="none" w:pos="53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James Steimer</w:t>
      </w:r>
    </w:p>
    <w:p>
      <w:pPr>
        <w:spacing w:after="0" w:line="58" w:lineRule="exact"/>
        <w:rPr>
          <w:sz w:val="20"/>
          <w:szCs w:val="20"/>
          <w:color w:val="auto"/>
        </w:rPr>
      </w:pPr>
    </w:p>
    <w:p>
      <w:pPr>
        <w:ind w:left="4560"/>
        <w:spacing w:after="0"/>
        <w:tabs>
          <w:tab w:leader="none" w:pos="52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[[6773422v.21]]</w:t>
      </w:r>
    </w:p>
    <w:p>
      <w:pPr>
        <w:sectPr>
          <w:pgSz w:w="11900" w:h="16838" w:orient="portrait"/>
          <w:cols w:equalWidth="0" w:num="1">
            <w:col w:w="11240"/>
          </w:cols>
          <w:pgMar w:left="320" w:top="125" w:right="339" w:bottom="1440" w:gutter="0" w:footer="0" w:header="0"/>
        </w:sectPr>
      </w:pPr>
    </w:p>
    <w:bookmarkStart w:id="405" w:name="page406"/>
    <w:bookmarkEnd w:id="405"/>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1960" w:firstLine="648"/>
        <w:spacing w:after="0" w:line="267" w:lineRule="auto"/>
        <w:rPr>
          <w:sz w:val="20"/>
          <w:szCs w:val="20"/>
          <w:color w:val="auto"/>
        </w:rPr>
      </w:pPr>
      <w:r>
        <w:rPr>
          <w:rFonts w:ascii="Times New Roman" w:cs="Times New Roman" w:eastAsia="Times New Roman" w:hAnsi="Times New Roman"/>
          <w:sz w:val="21"/>
          <w:szCs w:val="21"/>
          <w:color w:val="auto"/>
        </w:rPr>
        <w:t>REAFFIRMATION AGREEMENT, dated as of May 19, 2025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among THE GOODYEAR TIRE &amp; RUBBER COMPANY (“</w:t>
      </w:r>
      <w:r>
        <w:rPr>
          <w:rFonts w:ascii="Times New Roman" w:cs="Times New Roman" w:eastAsia="Times New Roman" w:hAnsi="Times New Roman"/>
          <w:sz w:val="21"/>
          <w:szCs w:val="21"/>
          <w:u w:val="single" w:color="auto"/>
          <w:color w:val="auto"/>
        </w:rPr>
        <w:t>Goodyear</w:t>
      </w:r>
      <w:r>
        <w:rPr>
          <w:rFonts w:ascii="Times New Roman" w:cs="Times New Roman" w:eastAsia="Times New Roman" w:hAnsi="Times New Roman"/>
          <w:sz w:val="21"/>
          <w:szCs w:val="21"/>
          <w:color w:val="auto"/>
        </w:rPr>
        <w:t>”), the Subsidiaries of THE GOODYEAR TIRE</w:t>
      </w:r>
    </w:p>
    <w:p>
      <w:pPr>
        <w:spacing w:after="0" w:line="2" w:lineRule="exact"/>
        <w:rPr>
          <w:sz w:val="20"/>
          <w:szCs w:val="20"/>
          <w:color w:val="auto"/>
        </w:rPr>
      </w:pPr>
    </w:p>
    <w:p>
      <w:pPr>
        <w:jc w:val="both"/>
        <w:ind w:left="1960" w:hanging="8"/>
        <w:spacing w:after="0" w:line="248" w:lineRule="auto"/>
        <w:tabs>
          <w:tab w:leader="none" w:pos="2227" w:val="left"/>
        </w:tabs>
        <w:numPr>
          <w:ilvl w:val="0"/>
          <w:numId w:val="3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RUBBER COMPANY identified as Grantors and Guarantors under the Reaffirmed Documents (as defined below) (collectively with Goodyear, the “</w:t>
      </w:r>
      <w:r>
        <w:rPr>
          <w:rFonts w:ascii="Times New Roman" w:cs="Times New Roman" w:eastAsia="Times New Roman" w:hAnsi="Times New Roman"/>
          <w:sz w:val="22"/>
          <w:szCs w:val="22"/>
          <w:u w:val="single" w:color="auto"/>
          <w:color w:val="auto"/>
        </w:rPr>
        <w:t>Reaffirming Parties</w:t>
      </w:r>
      <w:r>
        <w:rPr>
          <w:rFonts w:ascii="Times New Roman" w:cs="Times New Roman" w:eastAsia="Times New Roman" w:hAnsi="Times New Roman"/>
          <w:sz w:val="22"/>
          <w:szCs w:val="22"/>
          <w:color w:val="auto"/>
        </w:rPr>
        <w:t>”) and JPMORGAN CHASE BANK, N.A., as Administrative Agent and Collateral Agent under the Restated Credit Agreement referred to below.</w:t>
      </w:r>
    </w:p>
    <w:p>
      <w:pPr>
        <w:spacing w:after="0" w:line="292"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Goodyear has requested that the Amended and Restated First Lien Credit Agreement dated as of June 7, 2021, among Goodyear, the Lenders party thereto, the Issuing Banks party thereto, the Syndication Agents and Documentation Agents party thereto, and JPMorgan Chase Bank, N.A., as Administrative Agent and Collateral Agent (as amended as of September 15, 2022, the “Existing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be amended and restated as of the date hereof (the “</w:t>
      </w:r>
      <w:r>
        <w:rPr>
          <w:rFonts w:ascii="Times New Roman" w:cs="Times New Roman" w:eastAsia="Times New Roman" w:hAnsi="Times New Roman"/>
          <w:sz w:val="22"/>
          <w:szCs w:val="22"/>
          <w:u w:val="single" w:color="auto"/>
          <w:color w:val="auto"/>
        </w:rPr>
        <w:t>Restatement Date</w:t>
      </w:r>
      <w:r>
        <w:rPr>
          <w:rFonts w:ascii="Times New Roman" w:cs="Times New Roman" w:eastAsia="Times New Roman" w:hAnsi="Times New Roman"/>
          <w:sz w:val="22"/>
          <w:szCs w:val="22"/>
          <w:color w:val="auto"/>
        </w:rPr>
        <w:t>” and the Existing Credit Agreement as amended and restated, the “</w:t>
      </w:r>
      <w:r>
        <w:rPr>
          <w:rFonts w:ascii="Times New Roman" w:cs="Times New Roman" w:eastAsia="Times New Roman" w:hAnsi="Times New Roman"/>
          <w:sz w:val="22"/>
          <w:szCs w:val="22"/>
          <w:u w:val="single" w:color="auto"/>
          <w:color w:val="auto"/>
        </w:rPr>
        <w:t>Restated Credit Agreement</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Reaffirmed Documents</w:t>
      </w:r>
      <w:r>
        <w:rPr>
          <w:rFonts w:ascii="Times New Roman" w:cs="Times New Roman" w:eastAsia="Times New Roman" w:hAnsi="Times New Roman"/>
          <w:sz w:val="22"/>
          <w:szCs w:val="22"/>
          <w:color w:val="auto"/>
        </w:rPr>
        <w:t>” as used herein shall mean the Security Documents, including, but not limited to (i) the First Lien Guarantee and Collateral Agreement dated as of April 8, 2005, as amended and restated as of April 7, 2016, as amended and restated as of April 9, 2020, as amended and restated as of June 7. 2021, as supplemented by the Additional Subsidiary Agreements dated as of July 2, 2021, December 16, 2021 and January 31, 2022 and as amended as of September 15, 2022 (the “</w:t>
      </w:r>
      <w:r>
        <w:rPr>
          <w:rFonts w:ascii="Times New Roman" w:cs="Times New Roman" w:eastAsia="Times New Roman" w:hAnsi="Times New Roman"/>
          <w:sz w:val="22"/>
          <w:szCs w:val="22"/>
          <w:u w:val="single" w:color="auto"/>
          <w:color w:val="auto"/>
        </w:rPr>
        <w:t>Existing Guarantee and Collateral Agreement</w:t>
      </w:r>
      <w:r>
        <w:rPr>
          <w:rFonts w:ascii="Times New Roman" w:cs="Times New Roman" w:eastAsia="Times New Roman" w:hAnsi="Times New Roman"/>
          <w:sz w:val="22"/>
          <w:szCs w:val="22"/>
          <w:color w:val="auto"/>
        </w:rPr>
        <w:t>” and, as further amended and restated as of the Restatement Date in the form attached hereto as Exhibit A (it being understood and agreed that the schedules and exhibits thereto are not being updated as of the Restatement Date) (the “</w:t>
      </w:r>
      <w:r>
        <w:rPr>
          <w:rFonts w:ascii="Times New Roman" w:cs="Times New Roman" w:eastAsia="Times New Roman" w:hAnsi="Times New Roman"/>
          <w:sz w:val="22"/>
          <w:szCs w:val="22"/>
          <w:u w:val="single" w:color="auto"/>
          <w:color w:val="auto"/>
        </w:rPr>
        <w:t>Guarantee and Collateral Agreement</w:t>
      </w:r>
      <w:r>
        <w:rPr>
          <w:rFonts w:ascii="Times New Roman" w:cs="Times New Roman" w:eastAsia="Times New Roman" w:hAnsi="Times New Roman"/>
          <w:sz w:val="22"/>
          <w:szCs w:val="22"/>
          <w:color w:val="auto"/>
        </w:rPr>
        <w:t>”), among Goodyear, JPMorgan Chase Bank, N.A., as Collateral Agent, and the other parties from time to time party thereto, and (ii) the Canadian First Lien Guarantee and Collateral Agreement dated as of April 8, 2005, as amended and restated as of April 7, 2016, as amended and restated as of April 9, 2020, as amended and restated as of June 7, 2021, and as further amended and restated as of the Restatement Date, between Goodyear Canada Inc. and JPMorgan Chase Bank, N.A., as Collateral Agent (the “</w:t>
      </w:r>
      <w:r>
        <w:rPr>
          <w:rFonts w:ascii="Times New Roman" w:cs="Times New Roman" w:eastAsia="Times New Roman" w:hAnsi="Times New Roman"/>
          <w:sz w:val="22"/>
          <w:szCs w:val="22"/>
          <w:u w:val="single" w:color="auto"/>
          <w:color w:val="auto"/>
        </w:rPr>
        <w:t>Canadian GCA</w:t>
      </w:r>
      <w:r>
        <w:rPr>
          <w:rFonts w:ascii="Times New Roman" w:cs="Times New Roman" w:eastAsia="Times New Roman" w:hAnsi="Times New Roman"/>
          <w:sz w:val="22"/>
          <w:szCs w:val="22"/>
          <w:color w:val="auto"/>
        </w:rPr>
        <w:t>”). Capitalized terms used but not defined herein have the meanings given them by the Restated Credit Agreement.</w:t>
      </w:r>
    </w:p>
    <w:p>
      <w:pPr>
        <w:spacing w:after="0" w:line="204"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Each of the Reaffirming Parties is party to one or more of the Reaffirmed Documents, and each Reaffirming Party expects to realize, or has realized, substantial direct and indirect benefits as a result of the Restated Credit Agreement becoming effective and the consummation of the transactions contemplated thereby. The execution and delivery of this Agreement is a condition precedent to the effectiveness of the Restated Credit Agreement and the consummation of the transactions contemplated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[[6811507]]</w:t>
      </w:r>
    </w:p>
    <w:p>
      <w:pPr>
        <w:sectPr>
          <w:pgSz w:w="11900" w:h="16838" w:orient="portrait"/>
          <w:cols w:equalWidth="0" w:num="1">
            <w:col w:w="11240"/>
          </w:cols>
          <w:pgMar w:left="320" w:top="117" w:right="339" w:bottom="1440" w:gutter="0" w:footer="0" w:header="0"/>
        </w:sectPr>
      </w:pPr>
    </w:p>
    <w:bookmarkStart w:id="406" w:name="page407"/>
    <w:bookmarkEnd w:id="406"/>
    <w:p>
      <w:pPr>
        <w:jc w:val="right"/>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In consideration of the premises and the agreements, provisions and covenants herein contained, the parties hereto hereby agree, on the terms and subject to the conditions set forth herein, as follows:</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Reaffirmation.</w:t>
      </w:r>
    </w:p>
    <w:p>
      <w:pPr>
        <w:spacing w:after="0" w:line="220" w:lineRule="exact"/>
        <w:rPr>
          <w:sz w:val="20"/>
          <w:szCs w:val="20"/>
          <w:color w:val="auto"/>
        </w:rPr>
      </w:pPr>
    </w:p>
    <w:p>
      <w:pPr>
        <w:jc w:val="both"/>
        <w:ind w:firstLine="1304"/>
        <w:spacing w:after="0" w:line="261" w:lineRule="auto"/>
        <w:tabs>
          <w:tab w:leader="none" w:pos="1617" w:val="left"/>
        </w:tabs>
        <w:numPr>
          <w:ilvl w:val="0"/>
          <w:numId w:val="3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Reaffirming Parties confirms that (i) the security interests granted by it under the Reaffirmed Documents and in existence immediately prior to the Restatement Date shall continue in full force and effect on the terms of the respective Reaffirmed Documents and (ii) on the Restatement Date, the Obligations under the Restated Credit Agreement shall constitute (x) “Obligations” under the Guarantee and Collateral Agreement, (y) “Obligations” under the Canadian GCA and (z) “secured obligations” (however defined) under the other Reaffirmed Documents (in each case, subject to any limitations set forth in any Reaffirmed Document). Each party hereto confirms that the intention of the parties is that each Reaffirmed Document shall not terminate on the Restatement Date and shall continue in full force and effect (or, in the case of the Guarantee and Collateral Agreement and any other Reaffirmed Documents that are being amended or amended and restated in connection with the Restated Credit Agreement, shall continue in full force and effect as so amended or amended and restated, as applicable).</w:t>
      </w:r>
    </w:p>
    <w:p>
      <w:pPr>
        <w:spacing w:after="0" w:line="174" w:lineRule="exact"/>
        <w:rPr>
          <w:rFonts w:ascii="Times New Roman" w:cs="Times New Roman" w:eastAsia="Times New Roman" w:hAnsi="Times New Roman"/>
          <w:sz w:val="21"/>
          <w:szCs w:val="21"/>
          <w:color w:val="auto"/>
        </w:rPr>
      </w:pPr>
    </w:p>
    <w:p>
      <w:pPr>
        <w:ind w:firstLine="1304"/>
        <w:spacing w:after="0" w:line="284" w:lineRule="auto"/>
        <w:tabs>
          <w:tab w:leader="none" w:pos="1602" w:val="left"/>
        </w:tabs>
        <w:numPr>
          <w:ilvl w:val="0"/>
          <w:numId w:val="3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and after the Restatement Date, the term “Credit Agreement”, as used in the Reaffirmed Documents, shall mean the Restated Credit Agreement.</w:t>
      </w:r>
    </w:p>
    <w:p>
      <w:pPr>
        <w:spacing w:after="0" w:line="144"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Existing Guarantee and Collateral Agreement</w:t>
      </w:r>
      <w:r>
        <w:rPr>
          <w:rFonts w:ascii="Times New Roman" w:cs="Times New Roman" w:eastAsia="Times New Roman" w:hAnsi="Times New Roman"/>
          <w:sz w:val="22"/>
          <w:szCs w:val="22"/>
          <w:color w:val="auto"/>
        </w:rPr>
        <w:t>. The Guarantee and Collateral Agreement hereby amends and restates the Existing Guarantee and Collateral Agreement. The obligations of the Reaffirming Parties under, and as defined in, the Existing Guarantee and Collateral Agreement and the grant of security interests in the Collateral by the Grantors under the Existing Guarantee and Collateral Agreement in favor of the Collateral Agent, for the benefit of the Secured Parties, shall continue under the Guarantee and Collateral Agreement in favor of the Collateral Agent, for the benefit of the Secured Parties, and shall not in any event be terminated, extinguished or annulled, but shall hereafter be governed by the Guarantee and Collateral Agreement. All references to the Existing Guarantee and Collateral Agreement in any Credit Document or other document or instrument delivered in connection therewith shall be deemed to refer to the Guarantee and Collateral Agreement and the provisions thereof. It is understood and agreed that the Existing Guarantee and Collateral Agreement is being amended and restated by entry into this Agreement on the date hereof. The Grantors hereby acknowledge and confirm each of the financing statements, fixture filings, filings with the United States Patent and Trademark Office or the United States Copyright Office or other instrument similar in effect to the foregoing under applicable law covering all or any part of the Collateral that were previously filed in favor of the Collateral Agent, for the benefit of the Secured Parties under the Existing Guarantee and Collateral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[[6811507]]</w:t>
      </w:r>
    </w:p>
    <w:p>
      <w:pPr>
        <w:sectPr>
          <w:pgSz w:w="11900" w:h="16838" w:orient="portrait"/>
          <w:cols w:equalWidth="0" w:num="1">
            <w:col w:w="11240"/>
          </w:cols>
          <w:pgMar w:left="320" w:top="125" w:right="339" w:bottom="1440" w:gutter="0" w:footer="0" w:header="0"/>
        </w:sectPr>
      </w:pPr>
    </w:p>
    <w:bookmarkStart w:id="407" w:name="page408"/>
    <w:bookmarkEnd w:id="407"/>
    <w:p>
      <w:pPr>
        <w:jc w:val="right"/>
        <w:spacing w:after="0"/>
        <w:rPr>
          <w:sz w:val="20"/>
          <w:szCs w:val="20"/>
          <w:color w:val="auto"/>
        </w:rPr>
      </w:pPr>
      <w:r>
        <w:rPr>
          <w:rFonts w:ascii="Times New Roman" w:cs="Times New Roman" w:eastAsia="Times New Roman" w:hAnsi="Times New Roman"/>
          <w:sz w:val="22"/>
          <w:szCs w:val="22"/>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shall continue to be in full force and effect in favor of the Collateral Agent, for the benefit of the Secured Parties.</w:t>
      </w:r>
    </w:p>
    <w:p>
      <w:pPr>
        <w:spacing w:after="0" w:line="220"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SECTION 3. Releases. Notwithstanding the foregoing, it is understood and agreed that all pledges, security interests and Liens created in respect of any Mortgaged Properties (as defined in the Existing Credit Agreement) that do not constitute Mortgaged Properties (as defined in the Restated Credit Agreement), shall be immediately released as of the Restatement Date, and the Collateral Agent shall execute and deliver to Goodyear, at Goodyear’s expense, all documents that Goodyear shall reasonably request to evidence such release. Any execution and delivery of documents pursuant to this Section shall be without recourse to or representation or warranty by the Collateral Agent.</w:t>
      </w:r>
    </w:p>
    <w:p>
      <w:pPr>
        <w:spacing w:after="0" w:line="19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SECTION 4. </w:t>
      </w:r>
      <w:r>
        <w:rPr>
          <w:rFonts w:ascii="Times New Roman" w:cs="Times New Roman" w:eastAsia="Times New Roman" w:hAnsi="Times New Roman"/>
          <w:sz w:val="22"/>
          <w:szCs w:val="22"/>
          <w:b w:val="1"/>
          <w:bCs w:val="1"/>
          <w:u w:val="single" w:color="auto"/>
          <w:color w:val="auto"/>
        </w:rPr>
        <w:t>Applicable Law.</w:t>
      </w:r>
      <w:r>
        <w:rPr>
          <w:rFonts w:ascii="Times New Roman" w:cs="Times New Roman" w:eastAsia="Times New Roman" w:hAnsi="Times New Roman"/>
          <w:sz w:val="22"/>
          <w:szCs w:val="22"/>
          <w:b w:val="1"/>
          <w:bCs w:val="1"/>
          <w:color w:val="auto"/>
        </w:rPr>
        <w:t xml:space="preserve"> THIS AGREEMENT AND ANY CLAIM, CONTROVERSY, DISPUTE OR CAUSE OF ACTION (WHETHER BASED UPON CONTRACT, TORT OR OTHERWISE AND IN LAW OR IN EQUITY) ARISING UNDER OR RELATING TO THIS AGREEMENT OR THE TRANSACTIONS CONTEMPLATED HEREBY SHALL BE CONSTRUED IN ACCORDANCE WITH AND GOVERNED BY THE LAW OF THE STATE OF NEW YORK, WITHOUT REGARD TO CONFLICT OF LAWS PRINCIPLES THEREOF THAT WOULD RESULT IN THE APPLICATION OF ANY LAW OTHER THAN THE LAW OF THE STATE OF NEW YORK.</w:t>
      </w:r>
    </w:p>
    <w:p>
      <w:pPr>
        <w:spacing w:after="0" w:line="184"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xml:space="preserve"> This Agreement may be executed in two or more counterparts, each of which shall constitute an original but all of which when taken together shall constitute but one contract. The words “execution,” “signed,” “signature,” “delivery,” and words of like import in or relating to this Agreement and/or any document to be signed in connection with this Agreement and the transactions contemplated hereby shall be deemed to include Electronic Signatures (as defined below), deliveries or the keeping of records in electronic form, each of which shall be of the same legal effect, validity or enforceability as a manually executed signature, physical delivery thereof or the use of a paper-based recordkeeping system, as the case may be. “</w:t>
      </w:r>
      <w:r>
        <w:rPr>
          <w:rFonts w:ascii="Times New Roman" w:cs="Times New Roman" w:eastAsia="Times New Roman" w:hAnsi="Times New Roman"/>
          <w:sz w:val="22"/>
          <w:szCs w:val="22"/>
          <w:u w:val="single" w:color="auto"/>
          <w:color w:val="auto"/>
        </w:rPr>
        <w:t>Electronic Signatures</w:t>
      </w:r>
      <w:r>
        <w:rPr>
          <w:rFonts w:ascii="Times New Roman" w:cs="Times New Roman" w:eastAsia="Times New Roman" w:hAnsi="Times New Roman"/>
          <w:sz w:val="22"/>
          <w:szCs w:val="22"/>
          <w:color w:val="auto"/>
        </w:rPr>
        <w:t>” means an electronic sound, symbol, or process attached to, or associated with, a contract or other record and adopted by a person with the intent to sign, authenticate or accept such contract or record.</w:t>
      </w:r>
    </w:p>
    <w:p>
      <w:pPr>
        <w:spacing w:after="0" w:line="182"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xml:space="preserve"> Goodyear agrees to reimburse the Administrative Agent and the Collateral Agent for all reasonable out-of-pocket expenses incurred by it in connection with this Agreement, including the reasonable fees, charges and disbursements of Cravath, Swaine &amp; Moore LLP and other counsel for the Administrative Agent and the Collateral Agent.</w:t>
      </w:r>
    </w:p>
    <w:p>
      <w:pPr>
        <w:spacing w:after="0" w:line="16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xml:space="preserve"> The headings of this Agreement are for purposes of reference only and shall not limit or otherwise affect the meaning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[[6811507]]</w:t>
      </w:r>
    </w:p>
    <w:p>
      <w:pPr>
        <w:sectPr>
          <w:pgSz w:w="11900" w:h="16838" w:orient="portrait"/>
          <w:cols w:equalWidth="0" w:num="1">
            <w:col w:w="11240"/>
          </w:cols>
          <w:pgMar w:left="320" w:top="125" w:right="339" w:bottom="1440" w:gutter="0" w:footer="0" w:header="0"/>
        </w:sectPr>
      </w:pPr>
    </w:p>
    <w:bookmarkStart w:id="408" w:name="page409"/>
    <w:bookmarkEnd w:id="408"/>
    <w:p>
      <w:pPr>
        <w:jc w:val="right"/>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No Novation.</w:t>
      </w:r>
      <w:r>
        <w:rPr>
          <w:rFonts w:ascii="Times New Roman" w:cs="Times New Roman" w:eastAsia="Times New Roman" w:hAnsi="Times New Roman"/>
          <w:sz w:val="22"/>
          <w:szCs w:val="22"/>
          <w:color w:val="auto"/>
        </w:rPr>
        <w:t xml:space="preserve"> Neither this Agreement nor the execution, delivery or effectiveness of the Restated Credit Agreement shall extinguish the obligations for the payment of money outstanding under the Restated Credit Agreement or the Credit Agreement or discharge or release the Lien or priority of any Reaffirmed Document or any other security therefor. Nothing herein contained shall be construed as a substitution or novation of the obligations outstanding under the Restated Credit Agreement or the Credit Agreement or instruments securing the same, which shall remain in full force and effect, except to any extent modified hereby or by instruments executed concurrently herewith. Nothing implied in this Agreement, the Restated Credit Agreement or in any other document contemplated hereby or thereby shall be construed as a release or other discharge of the Borrower or any Guarantor or any Grantor under any Reaffirmed Document from any of its obligations and liabilities under the Restated Credit Agreement or the Reaffirmed Documents. Each of the Restated Credit Agreement and the Reaffirmed Documents shall remain in full force and effect, until (as applicable) and except to any extent modified hereby or by the Restated Credit Agreement or in connection herewith or therewith.</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[[6811507]]</w:t>
      </w:r>
    </w:p>
    <w:p>
      <w:pPr>
        <w:sectPr>
          <w:pgSz w:w="11900" w:h="16838" w:orient="portrait"/>
          <w:cols w:equalWidth="0" w:num="1">
            <w:col w:w="11240"/>
          </w:cols>
          <w:pgMar w:left="320" w:top="125" w:right="339" w:bottom="1440" w:gutter="0" w:footer="0" w:header="0"/>
        </w:sectPr>
      </w:pPr>
    </w:p>
    <w:bookmarkStart w:id="409" w:name="page410"/>
    <w:bookmarkEnd w:id="409"/>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duly executed by their respective authorized officers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THE GOODYEAR TIRE &amp; RUBBER</w:t>
      </w:r>
    </w:p>
    <w:p>
      <w:pPr>
        <w:ind w:left="3920"/>
        <w:spacing w:after="0"/>
        <w:rPr>
          <w:sz w:val="20"/>
          <w:szCs w:val="20"/>
          <w:color w:val="auto"/>
        </w:rPr>
      </w:pPr>
      <w:r>
        <w:rPr>
          <w:rFonts w:ascii="Times New Roman" w:cs="Times New Roman" w:eastAsia="Times New Roman" w:hAnsi="Times New Roman"/>
          <w:sz w:val="22"/>
          <w:szCs w:val="22"/>
          <w:color w:val="auto"/>
        </w:rPr>
        <w:t>COMPANY,</w:t>
      </w:r>
    </w:p>
    <w:p>
      <w:pPr>
        <w:spacing w:after="0" w:line="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by</w:t>
      </w:r>
    </w:p>
    <w:p>
      <w:pPr>
        <w:spacing w:after="0" w:line="27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/s/ Jordan Coughlin</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 Jordan Coughlin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-160020</wp:posOffset>
            </wp:positionV>
            <wp:extent cx="186880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8">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ind w:left="4460"/>
        <w:spacing w:after="0"/>
        <w:rPr>
          <w:sz w:val="20"/>
          <w:szCs w:val="20"/>
          <w:color w:val="auto"/>
        </w:rPr>
      </w:pPr>
      <w:r>
        <w:rPr>
          <w:rFonts w:ascii="Times New Roman" w:cs="Times New Roman" w:eastAsia="Times New Roman" w:hAnsi="Times New Roman"/>
          <w:sz w:val="22"/>
          <w:szCs w:val="22"/>
          <w:color w:val="auto"/>
        </w:rPr>
        <w:t>Title: Vice President and</w:t>
      </w:r>
    </w:p>
    <w:p>
      <w:pPr>
        <w:ind w:left="4460"/>
        <w:spacing w:after="0"/>
        <w:rPr>
          <w:sz w:val="20"/>
          <w:szCs w:val="20"/>
          <w:color w:val="auto"/>
        </w:rPr>
      </w:pPr>
      <w:r>
        <w:rPr>
          <w:rFonts w:ascii="Times New Roman" w:cs="Times New Roman" w:eastAsia="Times New Roman" w:hAnsi="Times New Roman"/>
          <w:sz w:val="22"/>
          <w:szCs w:val="22"/>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the Reaffirmation Agreement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[[6811507]]</w:t>
      </w:r>
    </w:p>
    <w:p>
      <w:pPr>
        <w:sectPr>
          <w:pgSz w:w="11900" w:h="16838" w:orient="portrait"/>
          <w:cols w:equalWidth="0" w:num="1">
            <w:col w:w="11240"/>
          </w:cols>
          <w:pgMar w:left="320" w:top="1421" w:right="339" w:bottom="1440" w:gutter="0" w:footer="0" w:header="0"/>
        </w:sectPr>
      </w:pPr>
    </w:p>
    <w:bookmarkStart w:id="410" w:name="page411"/>
    <w:bookmarkEnd w:id="410"/>
    <w:p>
      <w:pPr>
        <w:spacing w:after="0" w:line="36"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JPMORGAN CHASE BANK, N.A., as</w:t>
      </w:r>
    </w:p>
    <w:p>
      <w:pPr>
        <w:spacing w:after="0" w:line="2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1"/>
          <w:szCs w:val="21"/>
          <w:color w:val="auto"/>
        </w:rPr>
        <w:t>Administrative Agent and Collateral Agent,</w:t>
      </w:r>
    </w:p>
    <w:p>
      <w:pPr>
        <w:spacing w:after="0" w:line="23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/s/ Robert P. Kellas</w:t>
      </w:r>
    </w:p>
    <w:p>
      <w:pPr>
        <w:spacing w:after="0" w:line="1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 Robert P. Kellas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-160020</wp:posOffset>
            </wp:positionV>
            <wp:extent cx="216027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9">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ind w:right="239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the Reaffirmation Agreement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[[6811507]]</w:t>
      </w:r>
    </w:p>
    <w:p>
      <w:pPr>
        <w:sectPr>
          <w:pgSz w:w="11900" w:h="16838" w:orient="portrait"/>
          <w:cols w:equalWidth="0" w:num="1">
            <w:col w:w="10139"/>
          </w:cols>
          <w:pgMar w:left="320" w:top="1440" w:right="1440" w:bottom="1440" w:gutter="0" w:footer="0" w:header="0"/>
        </w:sectPr>
      </w:pPr>
    </w:p>
    <w:bookmarkStart w:id="411" w:name="page412"/>
    <w:bookmarkEnd w:id="411"/>
    <w:p>
      <w:pPr>
        <w:ind w:left="3960"/>
        <w:spacing w:after="0"/>
        <w:rPr>
          <w:sz w:val="20"/>
          <w:szCs w:val="20"/>
          <w:color w:val="auto"/>
        </w:rPr>
      </w:pPr>
      <w:r>
        <w:rPr>
          <w:rFonts w:ascii="Times New Roman" w:cs="Times New Roman" w:eastAsia="Times New Roman" w:hAnsi="Times New Roman"/>
          <w:sz w:val="22"/>
          <w:szCs w:val="22"/>
          <w:b w:val="1"/>
          <w:bCs w:val="1"/>
          <w:color w:val="auto"/>
        </w:rPr>
        <w:t>GRANTORS AND GUARANTORS</w:t>
      </w:r>
    </w:p>
    <w:p>
      <w:pPr>
        <w:spacing w:after="0" w:line="200" w:lineRule="exact"/>
        <w:rPr>
          <w:sz w:val="20"/>
          <w:szCs w:val="20"/>
          <w:color w:val="auto"/>
        </w:rPr>
      </w:pPr>
    </w:p>
    <w:p>
      <w:pPr>
        <w:spacing w:after="0" w:line="32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CELERON CORPORATION,</w:t>
      </w:r>
    </w:p>
    <w:p>
      <w:pPr>
        <w:spacing w:after="0" w:line="2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by</w:t>
      </w:r>
    </w:p>
    <w:p>
      <w:pPr>
        <w:spacing w:after="0" w:line="1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/s/ Jordan Coughlin</w:t>
      </w:r>
    </w:p>
    <w:p>
      <w:pPr>
        <w:spacing w:after="0" w:line="1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 Jordan Coughlin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-160020</wp:posOffset>
            </wp:positionV>
            <wp:extent cx="180022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0">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ind w:left="4460"/>
        <w:spacing w:after="0"/>
        <w:rPr>
          <w:sz w:val="20"/>
          <w:szCs w:val="20"/>
          <w:color w:val="auto"/>
        </w:rPr>
      </w:pPr>
      <w:r>
        <w:rPr>
          <w:rFonts w:ascii="Times New Roman" w:cs="Times New Roman" w:eastAsia="Times New Roman" w:hAnsi="Times New Roman"/>
          <w:sz w:val="22"/>
          <w:szCs w:val="22"/>
          <w:color w:val="auto"/>
        </w:rPr>
        <w:t>Title: Vice President and</w:t>
      </w:r>
    </w:p>
    <w:p>
      <w:pPr>
        <w:jc w:val="center"/>
        <w:ind w:right="399"/>
        <w:spacing w:after="0"/>
        <w:rPr>
          <w:sz w:val="20"/>
          <w:szCs w:val="20"/>
          <w:color w:val="auto"/>
        </w:rPr>
      </w:pPr>
      <w:r>
        <w:rPr>
          <w:rFonts w:ascii="Times New Roman" w:cs="Times New Roman" w:eastAsia="Times New Roman" w:hAnsi="Times New Roman"/>
          <w:sz w:val="22"/>
          <w:szCs w:val="22"/>
          <w:color w:val="auto"/>
        </w:rPr>
        <w:t>Treasurer</w:t>
      </w:r>
    </w:p>
    <w:p>
      <w:pPr>
        <w:spacing w:after="0" w:line="200" w:lineRule="exact"/>
        <w:rPr>
          <w:sz w:val="20"/>
          <w:szCs w:val="20"/>
          <w:color w:val="auto"/>
        </w:rPr>
      </w:pPr>
    </w:p>
    <w:p>
      <w:pPr>
        <w:spacing w:after="0" w:line="38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DIVESTED COMPANIES</w:t>
      </w:r>
    </w:p>
    <w:p>
      <w:pPr>
        <w:ind w:left="3920"/>
        <w:spacing w:after="0"/>
        <w:rPr>
          <w:sz w:val="20"/>
          <w:szCs w:val="20"/>
          <w:color w:val="auto"/>
        </w:rPr>
      </w:pPr>
      <w:r>
        <w:rPr>
          <w:rFonts w:ascii="Times New Roman" w:cs="Times New Roman" w:eastAsia="Times New Roman" w:hAnsi="Times New Roman"/>
          <w:sz w:val="22"/>
          <w:szCs w:val="22"/>
          <w:color w:val="auto"/>
        </w:rPr>
        <w:t>HOLDING COMPANY,</w:t>
      </w:r>
    </w:p>
    <w:p>
      <w:pPr>
        <w:spacing w:after="0" w:line="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by</w:t>
      </w:r>
    </w:p>
    <w:p>
      <w:pPr>
        <w:spacing w:after="0" w:line="1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/s/ Jordan Coughlin</w:t>
      </w:r>
    </w:p>
    <w:p>
      <w:pPr>
        <w:spacing w:after="0" w:line="1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 Jordan Coughlin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-160020</wp:posOffset>
            </wp:positionV>
            <wp:extent cx="180022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1">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ind w:left="4460"/>
        <w:spacing w:after="0"/>
        <w:rPr>
          <w:sz w:val="20"/>
          <w:szCs w:val="20"/>
          <w:color w:val="auto"/>
        </w:rPr>
      </w:pPr>
      <w:r>
        <w:rPr>
          <w:rFonts w:ascii="Times New Roman" w:cs="Times New Roman" w:eastAsia="Times New Roman" w:hAnsi="Times New Roman"/>
          <w:sz w:val="22"/>
          <w:szCs w:val="22"/>
          <w:color w:val="auto"/>
        </w:rPr>
        <w:t>Title: Vice President and</w:t>
      </w:r>
    </w:p>
    <w:p>
      <w:pPr>
        <w:jc w:val="center"/>
        <w:ind w:right="399"/>
        <w:spacing w:after="0"/>
        <w:rPr>
          <w:sz w:val="20"/>
          <w:szCs w:val="20"/>
          <w:color w:val="auto"/>
        </w:rPr>
      </w:pPr>
      <w:r>
        <w:rPr>
          <w:rFonts w:ascii="Times New Roman" w:cs="Times New Roman" w:eastAsia="Times New Roman" w:hAnsi="Times New Roman"/>
          <w:sz w:val="22"/>
          <w:szCs w:val="22"/>
          <w:color w:val="auto"/>
        </w:rPr>
        <w:t>Treasurer</w:t>
      </w:r>
    </w:p>
    <w:p>
      <w:pPr>
        <w:spacing w:after="0" w:line="29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by</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/s/ Daniel T. Coughlin</w:t>
      </w:r>
    </w:p>
    <w:p>
      <w:pPr>
        <w:spacing w:after="0" w:line="3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 Daniel T.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-160020</wp:posOffset>
            </wp:positionV>
            <wp:extent cx="180022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2">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Title: Secretary</w:t>
      </w:r>
    </w:p>
    <w:p>
      <w:pPr>
        <w:spacing w:after="0" w:line="200" w:lineRule="exact"/>
        <w:rPr>
          <w:sz w:val="20"/>
          <w:szCs w:val="20"/>
          <w:color w:val="auto"/>
        </w:rPr>
      </w:pPr>
    </w:p>
    <w:p>
      <w:pPr>
        <w:spacing w:after="0" w:line="39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DIVESTED LITCHFIELD PARK</w:t>
      </w:r>
    </w:p>
    <w:p>
      <w:pPr>
        <w:ind w:left="3920"/>
        <w:spacing w:after="0"/>
        <w:rPr>
          <w:sz w:val="20"/>
          <w:szCs w:val="20"/>
          <w:color w:val="auto"/>
        </w:rPr>
      </w:pPr>
      <w:r>
        <w:rPr>
          <w:rFonts w:ascii="Times New Roman" w:cs="Times New Roman" w:eastAsia="Times New Roman" w:hAnsi="Times New Roman"/>
          <w:sz w:val="22"/>
          <w:szCs w:val="22"/>
          <w:color w:val="auto"/>
        </w:rPr>
        <w:t>PROPERTIES, INC.,</w:t>
      </w:r>
    </w:p>
    <w:p>
      <w:pPr>
        <w:spacing w:after="0" w:line="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by</w:t>
      </w:r>
    </w:p>
    <w:p>
      <w:pPr>
        <w:spacing w:after="0" w:line="1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/s/ Jordan Coughlin</w:t>
      </w:r>
    </w:p>
    <w:p>
      <w:pPr>
        <w:spacing w:after="0" w:line="1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 Jordan Coughlin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-160020</wp:posOffset>
            </wp:positionV>
            <wp:extent cx="180022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3">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ind w:left="4460"/>
        <w:spacing w:after="0"/>
        <w:rPr>
          <w:sz w:val="20"/>
          <w:szCs w:val="20"/>
          <w:color w:val="auto"/>
        </w:rPr>
      </w:pPr>
      <w:r>
        <w:rPr>
          <w:rFonts w:ascii="Times New Roman" w:cs="Times New Roman" w:eastAsia="Times New Roman" w:hAnsi="Times New Roman"/>
          <w:sz w:val="22"/>
          <w:szCs w:val="22"/>
          <w:color w:val="auto"/>
        </w:rPr>
        <w:t>Title: Vice President and</w:t>
      </w:r>
    </w:p>
    <w:p>
      <w:pPr>
        <w:jc w:val="center"/>
        <w:ind w:right="399"/>
        <w:spacing w:after="0"/>
        <w:rPr>
          <w:sz w:val="20"/>
          <w:szCs w:val="20"/>
          <w:color w:val="auto"/>
        </w:rPr>
      </w:pPr>
      <w:r>
        <w:rPr>
          <w:rFonts w:ascii="Times New Roman" w:cs="Times New Roman" w:eastAsia="Times New Roman" w:hAnsi="Times New Roman"/>
          <w:sz w:val="22"/>
          <w:szCs w:val="22"/>
          <w:color w:val="auto"/>
        </w:rPr>
        <w:t>Treasurer</w:t>
      </w:r>
    </w:p>
    <w:p>
      <w:pPr>
        <w:spacing w:after="0" w:line="29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by</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/s/ Daniel T. Young</w:t>
      </w:r>
    </w:p>
    <w:p>
      <w:pPr>
        <w:spacing w:after="0" w:line="3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 Daniel T.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-160020</wp:posOffset>
            </wp:positionV>
            <wp:extent cx="180022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4">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Title: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ind w:right="239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the Reaffirmation Agreement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[[6811507]]</w:t>
      </w:r>
    </w:p>
    <w:p>
      <w:pPr>
        <w:sectPr>
          <w:pgSz w:w="11900" w:h="16838" w:orient="portrait"/>
          <w:cols w:equalWidth="0" w:num="1">
            <w:col w:w="10139"/>
          </w:cols>
          <w:pgMar w:left="320" w:top="1417" w:right="1440" w:bottom="1440" w:gutter="0" w:footer="0" w:header="0"/>
        </w:sectPr>
      </w:pPr>
    </w:p>
    <w:bookmarkStart w:id="412" w:name="page413"/>
    <w:bookmarkEnd w:id="412"/>
    <w:p>
      <w:pPr>
        <w:spacing w:after="0" w:line="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GOODYEAR EXPORT INC.,</w:t>
      </w:r>
    </w:p>
    <w:p>
      <w:pPr>
        <w:spacing w:after="0" w:line="2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by</w:t>
      </w:r>
    </w:p>
    <w:p>
      <w:pPr>
        <w:spacing w:after="0" w:line="1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/s/ Jordan Coughlin</w:t>
      </w:r>
    </w:p>
    <w:p>
      <w:pPr>
        <w:spacing w:after="0" w:line="1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 Jordan Coughlin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-160020</wp:posOffset>
            </wp:positionV>
            <wp:extent cx="180022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5">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ind w:left="4460"/>
        <w:spacing w:after="0"/>
        <w:rPr>
          <w:sz w:val="20"/>
          <w:szCs w:val="20"/>
          <w:color w:val="auto"/>
        </w:rPr>
      </w:pPr>
      <w:r>
        <w:rPr>
          <w:rFonts w:ascii="Times New Roman" w:cs="Times New Roman" w:eastAsia="Times New Roman" w:hAnsi="Times New Roman"/>
          <w:sz w:val="22"/>
          <w:szCs w:val="22"/>
          <w:color w:val="auto"/>
        </w:rPr>
        <w:t>Title: Vice President and</w:t>
      </w:r>
    </w:p>
    <w:p>
      <w:pPr>
        <w:jc w:val="center"/>
        <w:ind w:right="379"/>
        <w:spacing w:after="0"/>
        <w:rPr>
          <w:sz w:val="20"/>
          <w:szCs w:val="20"/>
          <w:color w:val="auto"/>
        </w:rPr>
      </w:pPr>
      <w:r>
        <w:rPr>
          <w:rFonts w:ascii="Times New Roman" w:cs="Times New Roman" w:eastAsia="Times New Roman" w:hAnsi="Times New Roman"/>
          <w:sz w:val="22"/>
          <w:szCs w:val="22"/>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GOODYEAR FARMS, INC.,</w:t>
      </w:r>
    </w:p>
    <w:p>
      <w:pPr>
        <w:spacing w:after="0" w:line="2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by</w:t>
      </w:r>
    </w:p>
    <w:p>
      <w:pPr>
        <w:spacing w:after="0" w:line="1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/s/ Jordan Coughlin</w:t>
      </w:r>
    </w:p>
    <w:p>
      <w:pPr>
        <w:spacing w:after="0" w:line="1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 Jordan Coughlin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-160020</wp:posOffset>
            </wp:positionV>
            <wp:extent cx="180022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6">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ind w:left="4460"/>
        <w:spacing w:after="0"/>
        <w:rPr>
          <w:sz w:val="20"/>
          <w:szCs w:val="20"/>
          <w:color w:val="auto"/>
        </w:rPr>
      </w:pPr>
      <w:r>
        <w:rPr>
          <w:rFonts w:ascii="Times New Roman" w:cs="Times New Roman" w:eastAsia="Times New Roman" w:hAnsi="Times New Roman"/>
          <w:sz w:val="22"/>
          <w:szCs w:val="22"/>
          <w:color w:val="auto"/>
        </w:rPr>
        <w:t>Title: Vice President and</w:t>
      </w:r>
    </w:p>
    <w:p>
      <w:pPr>
        <w:jc w:val="center"/>
        <w:ind w:right="379"/>
        <w:spacing w:after="0"/>
        <w:rPr>
          <w:sz w:val="20"/>
          <w:szCs w:val="20"/>
          <w:color w:val="auto"/>
        </w:rPr>
      </w:pPr>
      <w:r>
        <w:rPr>
          <w:rFonts w:ascii="Times New Roman" w:cs="Times New Roman" w:eastAsia="Times New Roman" w:hAnsi="Times New Roman"/>
          <w:sz w:val="22"/>
          <w:szCs w:val="22"/>
          <w:color w:val="auto"/>
        </w:rPr>
        <w:t>Treasurer</w:t>
      </w:r>
    </w:p>
    <w:p>
      <w:pPr>
        <w:spacing w:after="0" w:line="200" w:lineRule="exact"/>
        <w:rPr>
          <w:sz w:val="20"/>
          <w:szCs w:val="20"/>
          <w:color w:val="auto"/>
        </w:rPr>
      </w:pPr>
    </w:p>
    <w:p>
      <w:pPr>
        <w:spacing w:after="0" w:line="37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GOODYEAR INTERNATIONAL</w:t>
      </w:r>
    </w:p>
    <w:p>
      <w:pPr>
        <w:ind w:left="3920"/>
        <w:spacing w:after="0"/>
        <w:rPr>
          <w:sz w:val="20"/>
          <w:szCs w:val="20"/>
          <w:color w:val="auto"/>
        </w:rPr>
      </w:pPr>
      <w:r>
        <w:rPr>
          <w:rFonts w:ascii="Times New Roman" w:cs="Times New Roman" w:eastAsia="Times New Roman" w:hAnsi="Times New Roman"/>
          <w:sz w:val="22"/>
          <w:szCs w:val="22"/>
          <w:color w:val="auto"/>
        </w:rPr>
        <w:t>CORPORATION,</w:t>
      </w:r>
    </w:p>
    <w:p>
      <w:pPr>
        <w:spacing w:after="0" w:line="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by</w:t>
      </w:r>
    </w:p>
    <w:p>
      <w:pPr>
        <w:spacing w:after="0" w:line="1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/s/ Jordan Coughlin</w:t>
      </w:r>
    </w:p>
    <w:p>
      <w:pPr>
        <w:spacing w:after="0" w:line="1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 Jordan Coughlin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-160020</wp:posOffset>
            </wp:positionV>
            <wp:extent cx="180022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7">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ind w:left="4460"/>
        <w:spacing w:after="0"/>
        <w:rPr>
          <w:sz w:val="20"/>
          <w:szCs w:val="20"/>
          <w:color w:val="auto"/>
        </w:rPr>
      </w:pPr>
      <w:r>
        <w:rPr>
          <w:rFonts w:ascii="Times New Roman" w:cs="Times New Roman" w:eastAsia="Times New Roman" w:hAnsi="Times New Roman"/>
          <w:sz w:val="22"/>
          <w:szCs w:val="22"/>
          <w:color w:val="auto"/>
        </w:rPr>
        <w:t>Title: Vice President and</w:t>
      </w:r>
    </w:p>
    <w:p>
      <w:pPr>
        <w:jc w:val="center"/>
        <w:ind w:right="379"/>
        <w:spacing w:after="0"/>
        <w:rPr>
          <w:sz w:val="20"/>
          <w:szCs w:val="20"/>
          <w:color w:val="auto"/>
        </w:rPr>
      </w:pPr>
      <w:r>
        <w:rPr>
          <w:rFonts w:ascii="Times New Roman" w:cs="Times New Roman" w:eastAsia="Times New Roman" w:hAnsi="Times New Roman"/>
          <w:sz w:val="22"/>
          <w:szCs w:val="22"/>
          <w:color w:val="auto"/>
        </w:rPr>
        <w:t>Treasurer</w:t>
      </w:r>
    </w:p>
    <w:p>
      <w:pPr>
        <w:spacing w:after="0" w:line="200" w:lineRule="exact"/>
        <w:rPr>
          <w:sz w:val="20"/>
          <w:szCs w:val="20"/>
          <w:color w:val="auto"/>
        </w:rPr>
      </w:pPr>
    </w:p>
    <w:p>
      <w:pPr>
        <w:spacing w:after="0" w:line="38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GOODYEAR WESTERN</w:t>
      </w:r>
    </w:p>
    <w:p>
      <w:pPr>
        <w:ind w:left="3920"/>
        <w:spacing w:after="0"/>
        <w:rPr>
          <w:sz w:val="20"/>
          <w:szCs w:val="20"/>
          <w:color w:val="auto"/>
        </w:rPr>
      </w:pPr>
      <w:r>
        <w:rPr>
          <w:rFonts w:ascii="Times New Roman" w:cs="Times New Roman" w:eastAsia="Times New Roman" w:hAnsi="Times New Roman"/>
          <w:sz w:val="22"/>
          <w:szCs w:val="22"/>
          <w:color w:val="auto"/>
        </w:rPr>
        <w:t>HEMISPHERE CORPORATION,</w:t>
      </w:r>
    </w:p>
    <w:p>
      <w:pPr>
        <w:spacing w:after="0" w:line="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by</w:t>
      </w:r>
    </w:p>
    <w:p>
      <w:pPr>
        <w:spacing w:after="0" w:line="1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/s/ Jordan Coughlin</w:t>
      </w:r>
    </w:p>
    <w:p>
      <w:pPr>
        <w:spacing w:after="0" w:line="1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 Jordan Coughlin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-160020</wp:posOffset>
            </wp:positionV>
            <wp:extent cx="180022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8">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ind w:left="4460"/>
        <w:spacing w:after="0"/>
        <w:rPr>
          <w:sz w:val="20"/>
          <w:szCs w:val="20"/>
          <w:color w:val="auto"/>
        </w:rPr>
      </w:pPr>
      <w:r>
        <w:rPr>
          <w:rFonts w:ascii="Times New Roman" w:cs="Times New Roman" w:eastAsia="Times New Roman" w:hAnsi="Times New Roman"/>
          <w:sz w:val="22"/>
          <w:szCs w:val="22"/>
          <w:color w:val="auto"/>
        </w:rPr>
        <w:t>Title: Vice President and</w:t>
      </w:r>
    </w:p>
    <w:p>
      <w:pPr>
        <w:jc w:val="center"/>
        <w:ind w:right="379"/>
        <w:spacing w:after="0"/>
        <w:rPr>
          <w:sz w:val="20"/>
          <w:szCs w:val="20"/>
          <w:color w:val="auto"/>
        </w:rPr>
      </w:pPr>
      <w:r>
        <w:rPr>
          <w:rFonts w:ascii="Times New Roman" w:cs="Times New Roman" w:eastAsia="Times New Roman" w:hAnsi="Times New Roman"/>
          <w:sz w:val="22"/>
          <w:szCs w:val="22"/>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T&amp;WA, INC.,</w:t>
      </w:r>
    </w:p>
    <w:p>
      <w:pPr>
        <w:spacing w:after="0" w:line="2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by</w:t>
      </w:r>
    </w:p>
    <w:p>
      <w:pPr>
        <w:spacing w:after="0" w:line="1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/s/ Jordan Coughlin</w:t>
      </w:r>
    </w:p>
    <w:p>
      <w:pPr>
        <w:spacing w:after="0" w:line="1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 Jordan Coughlin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-160020</wp:posOffset>
            </wp:positionV>
            <wp:extent cx="180022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9">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ind w:left="4460"/>
        <w:spacing w:after="0"/>
        <w:rPr>
          <w:sz w:val="20"/>
          <w:szCs w:val="20"/>
          <w:color w:val="auto"/>
        </w:rPr>
      </w:pPr>
      <w:r>
        <w:rPr>
          <w:rFonts w:ascii="Times New Roman" w:cs="Times New Roman" w:eastAsia="Times New Roman" w:hAnsi="Times New Roman"/>
          <w:sz w:val="22"/>
          <w:szCs w:val="22"/>
          <w:color w:val="auto"/>
        </w:rPr>
        <w:t>Title: Vice President and</w:t>
      </w:r>
    </w:p>
    <w:p>
      <w:pPr>
        <w:jc w:val="center"/>
        <w:ind w:right="379"/>
        <w:spacing w:after="0"/>
        <w:rPr>
          <w:sz w:val="20"/>
          <w:szCs w:val="20"/>
          <w:color w:val="auto"/>
        </w:rPr>
      </w:pPr>
      <w:r>
        <w:rPr>
          <w:rFonts w:ascii="Times New Roman" w:cs="Times New Roman" w:eastAsia="Times New Roman" w:hAnsi="Times New Roman"/>
          <w:sz w:val="22"/>
          <w:szCs w:val="22"/>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to the Reaffirmation Agreement</w:t>
      </w:r>
      <w:r>
        <w:rPr>
          <w:rFonts w:ascii="Times New Roman" w:cs="Times New Roman" w:eastAsia="Times New Roman" w:hAnsi="Times New Roman"/>
          <w:sz w:val="21"/>
          <w:szCs w:val="21"/>
          <w:color w:val="auto"/>
        </w:rPr>
        <w:t>]</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[[6811507]]</w:t>
      </w:r>
    </w:p>
    <w:p>
      <w:pPr>
        <w:sectPr>
          <w:pgSz w:w="11900" w:h="16838" w:orient="portrait"/>
          <w:cols w:equalWidth="0" w:num="1">
            <w:col w:w="10139"/>
          </w:cols>
          <w:pgMar w:left="320" w:top="1440" w:right="1440" w:bottom="1440" w:gutter="0" w:footer="0" w:header="0"/>
          <w:type w:val="continuous"/>
        </w:sectPr>
      </w:pPr>
    </w:p>
    <w:bookmarkStart w:id="413" w:name="page414"/>
    <w:bookmarkEnd w:id="413"/>
    <w:p>
      <w:pPr>
        <w:spacing w:after="0" w:line="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RABEN TIRE CO., LLC,</w:t>
      </w:r>
    </w:p>
    <w:p>
      <w:pPr>
        <w:spacing w:after="0" w:line="4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by THE GOODYEAR TIRE &amp;</w:t>
      </w:r>
    </w:p>
    <w:p>
      <w:pPr>
        <w:spacing w:after="0" w:line="2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RUBBER COMPANY,</w:t>
      </w:r>
    </w:p>
    <w:p>
      <w:pPr>
        <w:spacing w:after="0" w:line="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its sole member</w:t>
      </w:r>
    </w:p>
    <w:p>
      <w:pPr>
        <w:spacing w:after="0" w:line="23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by</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/s/ Jordan Coughlin</w:t>
      </w:r>
    </w:p>
    <w:p>
      <w:pPr>
        <w:spacing w:after="0" w:line="3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 Jordan Coughlin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-160020</wp:posOffset>
            </wp:positionV>
            <wp:extent cx="180022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0">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ind w:left="4460"/>
        <w:spacing w:after="0"/>
        <w:rPr>
          <w:sz w:val="20"/>
          <w:szCs w:val="20"/>
          <w:color w:val="auto"/>
        </w:rPr>
      </w:pPr>
      <w:r>
        <w:rPr>
          <w:rFonts w:ascii="Times New Roman" w:cs="Times New Roman" w:eastAsia="Times New Roman" w:hAnsi="Times New Roman"/>
          <w:sz w:val="22"/>
          <w:szCs w:val="22"/>
          <w:color w:val="auto"/>
        </w:rPr>
        <w:t>Title: Vice President and</w:t>
      </w:r>
    </w:p>
    <w:p>
      <w:pPr>
        <w:jc w:val="center"/>
        <w:ind w:right="379"/>
        <w:spacing w:after="0"/>
        <w:rPr>
          <w:sz w:val="20"/>
          <w:szCs w:val="20"/>
          <w:color w:val="auto"/>
        </w:rPr>
      </w:pPr>
      <w:r>
        <w:rPr>
          <w:rFonts w:ascii="Times New Roman" w:cs="Times New Roman" w:eastAsia="Times New Roman" w:hAnsi="Times New Roman"/>
          <w:sz w:val="22"/>
          <w:szCs w:val="22"/>
          <w:color w:val="auto"/>
        </w:rPr>
        <w:t>Treasurer</w:t>
      </w:r>
    </w:p>
    <w:p>
      <w:pPr>
        <w:spacing w:after="0" w:line="200" w:lineRule="exact"/>
        <w:rPr>
          <w:sz w:val="20"/>
          <w:szCs w:val="20"/>
          <w:color w:val="auto"/>
        </w:rPr>
      </w:pPr>
    </w:p>
    <w:p>
      <w:pPr>
        <w:spacing w:after="0" w:line="38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COOPER TIRE &amp; RUBBER</w:t>
      </w:r>
    </w:p>
    <w:p>
      <w:pPr>
        <w:ind w:left="3920"/>
        <w:spacing w:after="0"/>
        <w:rPr>
          <w:sz w:val="20"/>
          <w:szCs w:val="20"/>
          <w:color w:val="auto"/>
        </w:rPr>
      </w:pPr>
      <w:r>
        <w:rPr>
          <w:rFonts w:ascii="Times New Roman" w:cs="Times New Roman" w:eastAsia="Times New Roman" w:hAnsi="Times New Roman"/>
          <w:sz w:val="22"/>
          <w:szCs w:val="22"/>
          <w:color w:val="auto"/>
        </w:rPr>
        <w:t>COMPANY LLC</w:t>
      </w:r>
    </w:p>
    <w:p>
      <w:pPr>
        <w:spacing w:after="0" w:line="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by</w:t>
      </w:r>
    </w:p>
    <w:p>
      <w:pPr>
        <w:spacing w:after="0" w:line="3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/s/ Jordan Coughlin</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 Jordan Coughlin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-160020</wp:posOffset>
            </wp:positionV>
            <wp:extent cx="180022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1">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ind w:left="4460"/>
        <w:spacing w:after="0"/>
        <w:rPr>
          <w:sz w:val="20"/>
          <w:szCs w:val="20"/>
          <w:color w:val="auto"/>
        </w:rPr>
      </w:pPr>
      <w:r>
        <w:rPr>
          <w:rFonts w:ascii="Times New Roman" w:cs="Times New Roman" w:eastAsia="Times New Roman" w:hAnsi="Times New Roman"/>
          <w:sz w:val="22"/>
          <w:szCs w:val="22"/>
          <w:color w:val="auto"/>
        </w:rPr>
        <w:t>Title: Vice President and</w:t>
      </w:r>
    </w:p>
    <w:p>
      <w:pPr>
        <w:ind w:left="4460"/>
        <w:spacing w:after="0"/>
        <w:rPr>
          <w:sz w:val="20"/>
          <w:szCs w:val="20"/>
          <w:color w:val="auto"/>
        </w:rPr>
      </w:pPr>
      <w:r>
        <w:rPr>
          <w:rFonts w:ascii="Times New Roman" w:cs="Times New Roman" w:eastAsia="Times New Roman" w:hAnsi="Times New Roman"/>
          <w:sz w:val="22"/>
          <w:szCs w:val="22"/>
          <w:color w:val="auto"/>
        </w:rPr>
        <w:t>Treasurer</w:t>
      </w:r>
    </w:p>
    <w:p>
      <w:pPr>
        <w:spacing w:after="0" w:line="200" w:lineRule="exact"/>
        <w:rPr>
          <w:sz w:val="20"/>
          <w:szCs w:val="20"/>
          <w:color w:val="auto"/>
        </w:rPr>
      </w:pPr>
    </w:p>
    <w:p>
      <w:pPr>
        <w:spacing w:after="0" w:line="38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MAX-TRAC TIRE CO., INC.</w:t>
      </w:r>
    </w:p>
    <w:p>
      <w:pPr>
        <w:spacing w:after="0" w:line="2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by</w:t>
      </w:r>
    </w:p>
    <w:p>
      <w:pPr>
        <w:spacing w:after="0" w:line="32"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/s/ Fabio Carvalho</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 Fabio Carvalho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-160020</wp:posOffset>
            </wp:positionV>
            <wp:extent cx="180022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2">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ind w:left="4460"/>
        <w:spacing w:after="0"/>
        <w:rPr>
          <w:sz w:val="20"/>
          <w:szCs w:val="20"/>
          <w:color w:val="auto"/>
        </w:rPr>
      </w:pPr>
      <w:r>
        <w:rPr>
          <w:rFonts w:ascii="Times New Roman" w:cs="Times New Roman" w:eastAsia="Times New Roman" w:hAnsi="Times New Roman"/>
          <w:sz w:val="22"/>
          <w:szCs w:val="22"/>
          <w:color w:val="auto"/>
        </w:rPr>
        <w:t>Title: Vice President and Chief</w:t>
      </w:r>
    </w:p>
    <w:p>
      <w:pPr>
        <w:ind w:left="4460"/>
        <w:spacing w:after="0"/>
        <w:rPr>
          <w:sz w:val="20"/>
          <w:szCs w:val="20"/>
          <w:color w:val="auto"/>
        </w:rPr>
      </w:pPr>
      <w:r>
        <w:rPr>
          <w:rFonts w:ascii="Times New Roman" w:cs="Times New Roman" w:eastAsia="Times New Roman" w:hAnsi="Times New Roman"/>
          <w:sz w:val="22"/>
          <w:szCs w:val="22"/>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WINGFOOT BRANDS LLC</w:t>
      </w:r>
    </w:p>
    <w:p>
      <w:pPr>
        <w:spacing w:after="0" w:line="2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by</w:t>
      </w:r>
    </w:p>
    <w:p>
      <w:pPr>
        <w:spacing w:after="0" w:line="3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/s/ Jordan Coughlin</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 Jordan Coughlin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-160020</wp:posOffset>
            </wp:positionV>
            <wp:extent cx="180022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3">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ind w:left="4460"/>
        <w:spacing w:after="0"/>
        <w:rPr>
          <w:sz w:val="20"/>
          <w:szCs w:val="20"/>
          <w:color w:val="auto"/>
        </w:rPr>
      </w:pPr>
      <w:r>
        <w:rPr>
          <w:rFonts w:ascii="Times New Roman" w:cs="Times New Roman" w:eastAsia="Times New Roman" w:hAnsi="Times New Roman"/>
          <w:sz w:val="22"/>
          <w:szCs w:val="22"/>
          <w:color w:val="auto"/>
        </w:rPr>
        <w:t>Title: Vice President and</w:t>
      </w:r>
    </w:p>
    <w:p>
      <w:pPr>
        <w:ind w:left="4460"/>
        <w:spacing w:after="0"/>
        <w:rPr>
          <w:sz w:val="20"/>
          <w:szCs w:val="20"/>
          <w:color w:val="auto"/>
        </w:rPr>
      </w:pPr>
      <w:r>
        <w:rPr>
          <w:rFonts w:ascii="Times New Roman" w:cs="Times New Roman" w:eastAsia="Times New Roman" w:hAnsi="Times New Roman"/>
          <w:sz w:val="22"/>
          <w:szCs w:val="22"/>
          <w:color w:val="auto"/>
        </w:rPr>
        <w:t>Treasurer</w:t>
      </w:r>
    </w:p>
    <w:p>
      <w:pPr>
        <w:spacing w:after="0" w:line="200" w:lineRule="exact"/>
        <w:rPr>
          <w:sz w:val="20"/>
          <w:szCs w:val="20"/>
          <w:color w:val="auto"/>
        </w:rPr>
      </w:pPr>
    </w:p>
    <w:p>
      <w:pPr>
        <w:spacing w:after="0" w:line="38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COOPER INTERNATIONAL</w:t>
      </w:r>
    </w:p>
    <w:p>
      <w:pPr>
        <w:ind w:left="3920"/>
        <w:spacing w:after="0"/>
        <w:rPr>
          <w:sz w:val="20"/>
          <w:szCs w:val="20"/>
          <w:color w:val="auto"/>
        </w:rPr>
      </w:pPr>
      <w:r>
        <w:rPr>
          <w:rFonts w:ascii="Times New Roman" w:cs="Times New Roman" w:eastAsia="Times New Roman" w:hAnsi="Times New Roman"/>
          <w:sz w:val="22"/>
          <w:szCs w:val="22"/>
          <w:color w:val="auto"/>
        </w:rPr>
        <w:t>HOLDING CORPORATION</w:t>
      </w:r>
    </w:p>
    <w:p>
      <w:pPr>
        <w:spacing w:after="0" w:line="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by</w:t>
      </w:r>
    </w:p>
    <w:p>
      <w:pPr>
        <w:spacing w:after="0" w:line="3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/s/ Jordan Coughlin</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 Jordan Coughlin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-160020</wp:posOffset>
            </wp:positionV>
            <wp:extent cx="180022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4">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Title: Treasurer</w:t>
      </w:r>
    </w:p>
    <w:p>
      <w:pPr>
        <w:spacing w:after="0" w:line="200" w:lineRule="exact"/>
        <w:rPr>
          <w:sz w:val="20"/>
          <w:szCs w:val="20"/>
          <w:color w:val="auto"/>
        </w:rPr>
      </w:pPr>
    </w:p>
    <w:p>
      <w:pPr>
        <w:spacing w:after="0" w:line="3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to the Reaffirmation Agreement</w:t>
      </w:r>
      <w:r>
        <w:rPr>
          <w:rFonts w:ascii="Times New Roman" w:cs="Times New Roman" w:eastAsia="Times New Roman" w:hAnsi="Times New Roman"/>
          <w:sz w:val="21"/>
          <w:szCs w:val="21"/>
          <w:color w:val="auto"/>
        </w:rPr>
        <w:t>]</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[[6811507]]</w:t>
      </w:r>
    </w:p>
    <w:p>
      <w:pPr>
        <w:sectPr>
          <w:pgSz w:w="11900" w:h="16838" w:orient="portrait"/>
          <w:cols w:equalWidth="0" w:num="1">
            <w:col w:w="10139"/>
          </w:cols>
          <w:pgMar w:left="320" w:top="1440" w:right="1440" w:bottom="1440" w:gutter="0" w:footer="0" w:header="0"/>
          <w:type w:val="continuous"/>
        </w:sectPr>
      </w:pPr>
    </w:p>
    <w:bookmarkStart w:id="414" w:name="page415"/>
    <w:bookmarkEnd w:id="414"/>
    <w:p>
      <w:pPr>
        <w:spacing w:after="0" w:line="200" w:lineRule="exact"/>
        <w:rPr>
          <w:sz w:val="20"/>
          <w:szCs w:val="20"/>
          <w:color w:val="auto"/>
        </w:rPr>
      </w:pPr>
    </w:p>
    <w:p>
      <w:pPr>
        <w:spacing w:after="0" w:line="28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COOPER TIRE &amp; RUBBER</w:t>
      </w:r>
    </w:p>
    <w:p>
      <w:pPr>
        <w:ind w:left="3920"/>
        <w:spacing w:after="0" w:line="204" w:lineRule="auto"/>
        <w:rPr>
          <w:sz w:val="20"/>
          <w:szCs w:val="20"/>
          <w:color w:val="auto"/>
        </w:rPr>
      </w:pPr>
      <w:r>
        <w:rPr>
          <w:rFonts w:ascii="Times New Roman" w:cs="Times New Roman" w:eastAsia="Times New Roman" w:hAnsi="Times New Roman"/>
          <w:sz w:val="22"/>
          <w:szCs w:val="22"/>
          <w:color w:val="auto"/>
        </w:rPr>
        <w:t>COMPANY VIETNAM HOLDING,</w:t>
      </w:r>
    </w:p>
    <w:p>
      <w:pPr>
        <w:spacing w:after="0" w:line="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LLC</w:t>
      </w:r>
    </w:p>
    <w:p>
      <w:pPr>
        <w:spacing w:after="0" w:line="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by</w:t>
      </w:r>
    </w:p>
    <w:p>
      <w:pPr>
        <w:spacing w:after="0" w:line="3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/s/ Jordan Coughlin</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 Jordan Coughlin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-160020</wp:posOffset>
            </wp:positionV>
            <wp:extent cx="180022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5">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Title: Treasurer</w:t>
      </w:r>
    </w:p>
    <w:p>
      <w:pPr>
        <w:spacing w:after="0" w:line="200" w:lineRule="exact"/>
        <w:rPr>
          <w:sz w:val="20"/>
          <w:szCs w:val="20"/>
          <w:color w:val="auto"/>
        </w:rPr>
      </w:pPr>
    </w:p>
    <w:p>
      <w:pPr>
        <w:spacing w:after="0" w:line="39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COOPER TIRE HOLDING</w:t>
      </w:r>
    </w:p>
    <w:p>
      <w:pPr>
        <w:ind w:left="3920"/>
        <w:spacing w:after="0"/>
        <w:rPr>
          <w:sz w:val="20"/>
          <w:szCs w:val="20"/>
          <w:color w:val="auto"/>
        </w:rPr>
      </w:pPr>
      <w:r>
        <w:rPr>
          <w:rFonts w:ascii="Times New Roman" w:cs="Times New Roman" w:eastAsia="Times New Roman" w:hAnsi="Times New Roman"/>
          <w:sz w:val="22"/>
          <w:szCs w:val="22"/>
          <w:color w:val="auto"/>
        </w:rPr>
        <w:t>COMPANY</w:t>
      </w:r>
    </w:p>
    <w:p>
      <w:pPr>
        <w:spacing w:after="0" w:line="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by</w:t>
      </w:r>
    </w:p>
    <w:p>
      <w:pPr>
        <w:spacing w:after="0" w:line="3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/s/ Jordan Coughlin</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 Jordan Coughlin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-160020</wp:posOffset>
            </wp:positionV>
            <wp:extent cx="180022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6">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Title: Treasurer</w:t>
      </w:r>
    </w:p>
    <w:p>
      <w:pPr>
        <w:spacing w:after="0" w:line="200" w:lineRule="exact"/>
        <w:rPr>
          <w:sz w:val="20"/>
          <w:szCs w:val="20"/>
          <w:color w:val="auto"/>
        </w:rPr>
      </w:pPr>
    </w:p>
    <w:p>
      <w:pPr>
        <w:spacing w:after="0" w:line="39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GOODYEAR CANADA INC.,</w:t>
      </w:r>
    </w:p>
    <w:p>
      <w:pPr>
        <w:spacing w:after="0" w:line="2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by</w:t>
      </w:r>
    </w:p>
    <w:p>
      <w:pPr>
        <w:spacing w:after="0" w:line="1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/s/ Ingrid Minott</w:t>
      </w:r>
    </w:p>
    <w:p>
      <w:pPr>
        <w:spacing w:after="0" w:line="1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 Ingrid Minott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-160020</wp:posOffset>
            </wp:positionV>
            <wp:extent cx="180022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7">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ind w:left="4460"/>
        <w:spacing w:after="0"/>
        <w:rPr>
          <w:sz w:val="20"/>
          <w:szCs w:val="20"/>
          <w:color w:val="auto"/>
        </w:rPr>
      </w:pPr>
      <w:r>
        <w:rPr>
          <w:rFonts w:ascii="Times New Roman" w:cs="Times New Roman" w:eastAsia="Times New Roman" w:hAnsi="Times New Roman"/>
          <w:sz w:val="22"/>
          <w:szCs w:val="22"/>
          <w:color w:val="auto"/>
        </w:rPr>
        <w:t>Title: Head of Legal &amp;</w:t>
      </w:r>
    </w:p>
    <w:p>
      <w:pPr>
        <w:jc w:val="center"/>
        <w:ind w:right="339"/>
        <w:spacing w:after="0"/>
        <w:rPr>
          <w:sz w:val="20"/>
          <w:szCs w:val="20"/>
          <w:color w:val="auto"/>
        </w:rPr>
      </w:pPr>
      <w:r>
        <w:rPr>
          <w:rFonts w:ascii="Times New Roman" w:cs="Times New Roman" w:eastAsia="Times New Roman" w:hAnsi="Times New Roman"/>
          <w:sz w:val="22"/>
          <w:szCs w:val="22"/>
          <w:color w:val="auto"/>
        </w:rPr>
        <w:t>Corporate</w:t>
      </w:r>
    </w:p>
    <w:p>
      <w:pPr>
        <w:spacing w:after="0" w:line="29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by</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/s/ Paul Christou</w:t>
      </w:r>
    </w:p>
    <w:p>
      <w:pPr>
        <w:spacing w:after="0" w:line="3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 Paul Christou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-160020</wp:posOffset>
            </wp:positionV>
            <wp:extent cx="180022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8">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Title: Comptroller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ind w:right="239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the Reaffirmation Agreement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[[6811507]]</w:t>
      </w:r>
    </w:p>
    <w:p>
      <w:pPr>
        <w:sectPr>
          <w:pgSz w:w="11900" w:h="16838" w:orient="portrait"/>
          <w:cols w:equalWidth="0" w:num="1">
            <w:col w:w="10139"/>
          </w:cols>
          <w:pgMar w:left="320" w:top="1440" w:right="1440" w:bottom="1440" w:gutter="0" w:footer="0" w:header="0"/>
        </w:sectPr>
      </w:pPr>
    </w:p>
    <w:bookmarkStart w:id="415" w:name="page416"/>
    <w:bookmarkEnd w:id="415"/>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5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color w:val="auto"/>
        </w:rPr>
        <w:t>Form of Amended and Restated First Lien Guarantee and Collateral Agreement</w:t>
      </w:r>
    </w:p>
    <w:p>
      <w:pPr>
        <w:spacing w:after="0" w:line="25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[[5591094v.3]]</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[[6811507]]</w:t>
      </w:r>
    </w:p>
    <w:p>
      <w:pPr>
        <w:sectPr>
          <w:pgSz w:w="11900" w:h="16838" w:orient="portrait"/>
          <w:cols w:equalWidth="0" w:num="1">
            <w:col w:w="10139"/>
          </w:cols>
          <w:pgMar w:left="320" w:top="1417" w:right="1440" w:bottom="1440" w:gutter="0" w:footer="0" w:header="0"/>
        </w:sectPr>
      </w:pPr>
    </w:p>
    <w:bookmarkStart w:id="416" w:name="page417"/>
    <w:bookmarkEnd w:id="416"/>
    <w:p>
      <w:pPr>
        <w:jc w:val="right"/>
        <w:spacing w:after="0"/>
        <w:rPr>
          <w:sz w:val="20"/>
          <w:szCs w:val="20"/>
          <w:color w:val="auto"/>
        </w:rPr>
      </w:pPr>
      <w:r>
        <w:rPr>
          <w:rFonts w:ascii="Times New Roman" w:cs="Times New Roman" w:eastAsia="Times New Roman" w:hAnsi="Times New Roman"/>
          <w:sz w:val="22"/>
          <w:szCs w:val="22"/>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913765</wp:posOffset>
            </wp:positionV>
            <wp:extent cx="706374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9">
                      <a:extLst>
                        <a:ext uri="{28A0092B-C50C-407E-A947-70E740481C1C}"/>
                      </a:extLst>
                    </a:blip>
                    <a:srcRect/>
                    <a:stretch>
                      <a:fillRect/>
                    </a:stretch>
                  </pic:blipFill>
                  <pic:spPr bwMode="auto">
                    <a:xfrm>
                      <a:off x="0" y="0"/>
                      <a:ext cx="70637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FIRST LIEN GUARANTEE AND COLLATERAL AGREEMENT</w:t>
      </w:r>
    </w:p>
    <w:p>
      <w:pPr>
        <w:spacing w:after="0" w:line="2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dated as of</w:t>
      </w:r>
    </w:p>
    <w:p>
      <w:pPr>
        <w:spacing w:after="0" w:line="2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April 8, 2005</w:t>
      </w:r>
    </w:p>
    <w:p>
      <w:pPr>
        <w:spacing w:after="0" w:line="2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as Amended and Restated as of</w:t>
      </w:r>
    </w:p>
    <w:p>
      <w:pPr>
        <w:spacing w:after="0" w:line="2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April 7, 2016</w:t>
      </w:r>
    </w:p>
    <w:p>
      <w:pPr>
        <w:spacing w:after="0" w:line="2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as Further Amended and Restated as of</w:t>
      </w:r>
    </w:p>
    <w:p>
      <w:pPr>
        <w:spacing w:after="0" w:line="2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April 9, 2020</w:t>
      </w:r>
    </w:p>
    <w:p>
      <w:pPr>
        <w:spacing w:after="0" w:line="2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as Further Amended and Restated as of</w:t>
      </w:r>
    </w:p>
    <w:p>
      <w:pPr>
        <w:spacing w:after="0" w:line="2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June 7, 2021</w:t>
      </w:r>
    </w:p>
    <w:p>
      <w:pPr>
        <w:spacing w:after="0" w:line="2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and as Further Amended and Restated as of</w:t>
      </w:r>
    </w:p>
    <w:p>
      <w:pPr>
        <w:spacing w:after="0" w:line="23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May 19, 2025</w:t>
      </w:r>
    </w:p>
    <w:p>
      <w:pPr>
        <w:spacing w:after="0" w:line="22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among</w:t>
      </w:r>
    </w:p>
    <w:p>
      <w:pPr>
        <w:spacing w:after="0" w:line="22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THE GOODYEAR TIRE &amp; RUBBER COMPANY,</w:t>
      </w:r>
    </w:p>
    <w:p>
      <w:pPr>
        <w:spacing w:after="0" w:line="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as Borrower,</w:t>
      </w:r>
    </w:p>
    <w:p>
      <w:pPr>
        <w:spacing w:after="0" w:line="1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1"/>
          <w:szCs w:val="21"/>
          <w:color w:val="auto"/>
        </w:rPr>
        <w:t>The SUBSIDIARIES OF THE GOODYEAR TIRE &amp; RUBBER COMPANY Identified as Grantors and Guarantors Herein</w:t>
      </w:r>
    </w:p>
    <w:p>
      <w:pPr>
        <w:spacing w:after="0" w:line="2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and</w:t>
      </w:r>
    </w:p>
    <w:p>
      <w:pPr>
        <w:spacing w:after="0" w:line="2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JPMORGAN CHASE BANK, N.A.,</w:t>
      </w:r>
    </w:p>
    <w:p>
      <w:pPr>
        <w:spacing w:after="0" w:line="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as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681355</wp:posOffset>
            </wp:positionV>
            <wp:extent cx="706374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0">
                      <a:extLst>
                        <a:ext uri="{28A0092B-C50C-407E-A947-70E740481C1C}"/>
                      </a:extLst>
                    </a:blip>
                    <a:srcRect/>
                    <a:stretch>
                      <a:fillRect/>
                    </a:stretch>
                  </pic:blipFill>
                  <pic:spPr bwMode="auto">
                    <a:xfrm>
                      <a:off x="0" y="0"/>
                      <a:ext cx="70637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[CS&amp;M Ref. No. 6701-315]</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[[6773428]]</w:t>
      </w:r>
    </w:p>
    <w:p>
      <w:pPr>
        <w:sectPr>
          <w:pgSz w:w="11900" w:h="16838" w:orient="portrait"/>
          <w:cols w:equalWidth="0" w:num="1">
            <w:col w:w="11240"/>
          </w:cols>
          <w:pgMar w:left="320" w:top="121" w:right="339" w:bottom="1440" w:gutter="0" w:footer="0" w:header="0"/>
          <w:type w:val="continuous"/>
        </w:sectPr>
      </w:pPr>
    </w:p>
    <w:bookmarkStart w:id="417" w:name="page418"/>
    <w:bookmarkEnd w:id="417"/>
    <w:p>
      <w:pPr>
        <w:jc w:val="center"/>
        <w:spacing w:after="0"/>
        <w:rPr>
          <w:sz w:val="20"/>
          <w:szCs w:val="20"/>
          <w:color w:val="auto"/>
        </w:rPr>
      </w:pPr>
      <w:r>
        <w:rPr>
          <w:rFonts w:ascii="Times New Roman" w:cs="Times New Roman" w:eastAsia="Times New Roman" w:hAnsi="Times New Roman"/>
          <w:sz w:val="22"/>
          <w:szCs w:val="22"/>
          <w:color w:val="auto"/>
        </w:rPr>
        <w:t>TABLE OF CONTENTS</w:t>
      </w: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ARTICLE I</w:t>
      </w:r>
    </w:p>
    <w:p>
      <w:pPr>
        <w:spacing w:after="0" w:line="27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color w:val="auto"/>
        </w:rPr>
        <w:t>Definitions</w:t>
      </w:r>
    </w:p>
    <w:p>
      <w:pPr>
        <w:spacing w:after="0" w:line="220" w:lineRule="exact"/>
        <w:rPr>
          <w:sz w:val="20"/>
          <w:szCs w:val="20"/>
          <w:color w:val="auto"/>
        </w:rPr>
      </w:pPr>
    </w:p>
    <w:p>
      <w:pPr>
        <w:ind w:left="220"/>
        <w:spacing w:after="0"/>
        <w:tabs>
          <w:tab w:leader="dot" w:pos="8220" w:val="left"/>
        </w:tabs>
        <w:rPr>
          <w:sz w:val="20"/>
          <w:szCs w:val="20"/>
          <w:color w:val="auto"/>
        </w:rPr>
      </w:pPr>
      <w:r>
        <w:rPr>
          <w:rFonts w:ascii="Times New Roman" w:cs="Times New Roman" w:eastAsia="Times New Roman" w:hAnsi="Times New Roman"/>
          <w:sz w:val="22"/>
          <w:szCs w:val="22"/>
          <w:color w:val="auto"/>
        </w:rPr>
        <w:t>SECTION 1.01. Certain Defined Terms</w:t>
      </w:r>
      <w:r>
        <w:rPr>
          <w:sz w:val="20"/>
          <w:szCs w:val="20"/>
          <w:color w:val="auto"/>
        </w:rPr>
        <w:tab/>
      </w:r>
      <w:r>
        <w:rPr>
          <w:rFonts w:ascii="Times New Roman" w:cs="Times New Roman" w:eastAsia="Times New Roman" w:hAnsi="Times New Roman"/>
          <w:sz w:val="22"/>
          <w:szCs w:val="22"/>
          <w:color w:val="auto"/>
        </w:rPr>
        <w:t>4</w:t>
      </w:r>
    </w:p>
    <w:p>
      <w:pPr>
        <w:spacing w:after="0" w:line="2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ARTICLE II</w:t>
      </w:r>
    </w:p>
    <w:p>
      <w:pPr>
        <w:spacing w:after="0" w:line="23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color w:val="auto"/>
        </w:rPr>
        <w:t>Guarantees</w:t>
      </w:r>
    </w:p>
    <w:p>
      <w:pPr>
        <w:spacing w:after="0" w:line="220" w:lineRule="exact"/>
        <w:rPr>
          <w:sz w:val="20"/>
          <w:szCs w:val="20"/>
          <w:color w:val="auto"/>
        </w:rPr>
      </w:pPr>
    </w:p>
    <w:p>
      <w:pPr>
        <w:ind w:left="220"/>
        <w:spacing w:after="0"/>
        <w:tabs>
          <w:tab w:leader="dot" w:pos="8140" w:val="left"/>
        </w:tabs>
        <w:rPr>
          <w:sz w:val="20"/>
          <w:szCs w:val="20"/>
          <w:color w:val="auto"/>
        </w:rPr>
      </w:pPr>
      <w:r>
        <w:rPr>
          <w:rFonts w:ascii="Times New Roman" w:cs="Times New Roman" w:eastAsia="Times New Roman" w:hAnsi="Times New Roman"/>
          <w:sz w:val="22"/>
          <w:szCs w:val="22"/>
          <w:color w:val="auto"/>
        </w:rPr>
        <w:t>SECTION 2.01. Guarantees</w:t>
      </w:r>
      <w:r>
        <w:rPr>
          <w:sz w:val="20"/>
          <w:szCs w:val="20"/>
          <w:color w:val="auto"/>
        </w:rPr>
        <w:tab/>
      </w:r>
      <w:r>
        <w:rPr>
          <w:rFonts w:ascii="Times New Roman" w:cs="Times New Roman" w:eastAsia="Times New Roman" w:hAnsi="Times New Roman"/>
          <w:sz w:val="22"/>
          <w:szCs w:val="22"/>
          <w:color w:val="auto"/>
        </w:rPr>
        <w:t>13</w:t>
      </w:r>
    </w:p>
    <w:p>
      <w:pPr>
        <w:spacing w:after="0" w:line="28" w:lineRule="exact"/>
        <w:rPr>
          <w:sz w:val="20"/>
          <w:szCs w:val="20"/>
          <w:color w:val="auto"/>
        </w:rPr>
      </w:pPr>
    </w:p>
    <w:p>
      <w:pPr>
        <w:ind w:left="220"/>
        <w:spacing w:after="0"/>
        <w:tabs>
          <w:tab w:leader="dot" w:pos="8120" w:val="left"/>
        </w:tabs>
        <w:rPr>
          <w:sz w:val="20"/>
          <w:szCs w:val="20"/>
          <w:color w:val="auto"/>
        </w:rPr>
      </w:pPr>
      <w:r>
        <w:rPr>
          <w:rFonts w:ascii="Times New Roman" w:cs="Times New Roman" w:eastAsia="Times New Roman" w:hAnsi="Times New Roman"/>
          <w:sz w:val="22"/>
          <w:szCs w:val="22"/>
          <w:color w:val="auto"/>
        </w:rPr>
        <w:t>SECTION 2.02. Guarantee of Payment</w:t>
      </w:r>
      <w:r>
        <w:rPr>
          <w:sz w:val="20"/>
          <w:szCs w:val="20"/>
          <w:color w:val="auto"/>
        </w:rPr>
        <w:tab/>
      </w:r>
      <w:r>
        <w:rPr>
          <w:rFonts w:ascii="Times New Roman" w:cs="Times New Roman" w:eastAsia="Times New Roman" w:hAnsi="Times New Roman"/>
          <w:sz w:val="22"/>
          <w:szCs w:val="22"/>
          <w:color w:val="auto"/>
        </w:rPr>
        <w:t>13</w:t>
      </w:r>
    </w:p>
    <w:p>
      <w:pPr>
        <w:spacing w:after="0" w:line="5" w:lineRule="exact"/>
        <w:rPr>
          <w:sz w:val="20"/>
          <w:szCs w:val="20"/>
          <w:color w:val="auto"/>
        </w:rPr>
      </w:pPr>
    </w:p>
    <w:p>
      <w:pPr>
        <w:ind w:left="220"/>
        <w:spacing w:after="0"/>
        <w:tabs>
          <w:tab w:leader="dot" w:pos="8100" w:val="left"/>
        </w:tabs>
        <w:rPr>
          <w:sz w:val="20"/>
          <w:szCs w:val="20"/>
          <w:color w:val="auto"/>
        </w:rPr>
      </w:pPr>
      <w:r>
        <w:rPr>
          <w:rFonts w:ascii="Times New Roman" w:cs="Times New Roman" w:eastAsia="Times New Roman" w:hAnsi="Times New Roman"/>
          <w:sz w:val="22"/>
          <w:szCs w:val="22"/>
          <w:color w:val="auto"/>
        </w:rPr>
        <w:t>SECTION 2.03. No Limitations</w:t>
      </w:r>
      <w:r>
        <w:rPr>
          <w:sz w:val="20"/>
          <w:szCs w:val="20"/>
          <w:color w:val="auto"/>
        </w:rPr>
        <w:tab/>
      </w:r>
      <w:r>
        <w:rPr>
          <w:rFonts w:ascii="Times New Roman" w:cs="Times New Roman" w:eastAsia="Times New Roman" w:hAnsi="Times New Roman"/>
          <w:sz w:val="22"/>
          <w:szCs w:val="22"/>
          <w:color w:val="auto"/>
        </w:rPr>
        <w:t>14</w:t>
      </w:r>
    </w:p>
    <w:p>
      <w:pPr>
        <w:spacing w:after="0" w:line="15" w:lineRule="exact"/>
        <w:rPr>
          <w:sz w:val="20"/>
          <w:szCs w:val="20"/>
          <w:color w:val="auto"/>
        </w:rPr>
      </w:pPr>
    </w:p>
    <w:p>
      <w:pPr>
        <w:ind w:left="220"/>
        <w:spacing w:after="0"/>
        <w:tabs>
          <w:tab w:leader="dot" w:pos="8140" w:val="left"/>
        </w:tabs>
        <w:rPr>
          <w:sz w:val="20"/>
          <w:szCs w:val="20"/>
          <w:color w:val="auto"/>
        </w:rPr>
      </w:pPr>
      <w:r>
        <w:rPr>
          <w:rFonts w:ascii="Times New Roman" w:cs="Times New Roman" w:eastAsia="Times New Roman" w:hAnsi="Times New Roman"/>
          <w:sz w:val="22"/>
          <w:szCs w:val="22"/>
          <w:color w:val="auto"/>
        </w:rPr>
        <w:t>SECTION 2.04. Reinstatement</w:t>
      </w:r>
      <w:r>
        <w:rPr>
          <w:sz w:val="20"/>
          <w:szCs w:val="20"/>
          <w:color w:val="auto"/>
        </w:rPr>
        <w:tab/>
      </w:r>
      <w:r>
        <w:rPr>
          <w:rFonts w:ascii="Times New Roman" w:cs="Times New Roman" w:eastAsia="Times New Roman" w:hAnsi="Times New Roman"/>
          <w:sz w:val="22"/>
          <w:szCs w:val="22"/>
          <w:color w:val="auto"/>
        </w:rPr>
        <w:t>15</w:t>
      </w:r>
    </w:p>
    <w:p>
      <w:pPr>
        <w:spacing w:after="0" w:line="4" w:lineRule="exact"/>
        <w:rPr>
          <w:sz w:val="20"/>
          <w:szCs w:val="20"/>
          <w:color w:val="auto"/>
        </w:rPr>
      </w:pPr>
    </w:p>
    <w:p>
      <w:pPr>
        <w:ind w:left="220"/>
        <w:spacing w:after="0"/>
        <w:tabs>
          <w:tab w:leader="dot" w:pos="8120" w:val="left"/>
        </w:tabs>
        <w:rPr>
          <w:sz w:val="20"/>
          <w:szCs w:val="20"/>
          <w:color w:val="auto"/>
        </w:rPr>
      </w:pPr>
      <w:r>
        <w:rPr>
          <w:rFonts w:ascii="Times New Roman" w:cs="Times New Roman" w:eastAsia="Times New Roman" w:hAnsi="Times New Roman"/>
          <w:sz w:val="22"/>
          <w:szCs w:val="22"/>
          <w:color w:val="auto"/>
        </w:rPr>
        <w:t>SECTION 2.05. Agreement To Pay; Subrogation</w:t>
      </w:r>
      <w:r>
        <w:rPr>
          <w:sz w:val="20"/>
          <w:szCs w:val="20"/>
          <w:color w:val="auto"/>
        </w:rPr>
        <w:tab/>
      </w:r>
      <w:r>
        <w:rPr>
          <w:rFonts w:ascii="Times New Roman" w:cs="Times New Roman" w:eastAsia="Times New Roman" w:hAnsi="Times New Roman"/>
          <w:sz w:val="22"/>
          <w:szCs w:val="22"/>
          <w:color w:val="auto"/>
        </w:rPr>
        <w:t>15</w:t>
      </w:r>
    </w:p>
    <w:p>
      <w:pPr>
        <w:spacing w:after="0" w:line="4" w:lineRule="exact"/>
        <w:rPr>
          <w:sz w:val="20"/>
          <w:szCs w:val="20"/>
          <w:color w:val="auto"/>
        </w:rPr>
      </w:pPr>
    </w:p>
    <w:p>
      <w:pPr>
        <w:ind w:left="220"/>
        <w:spacing w:after="0"/>
        <w:tabs>
          <w:tab w:leader="dot" w:pos="8100" w:val="left"/>
        </w:tabs>
        <w:rPr>
          <w:sz w:val="20"/>
          <w:szCs w:val="20"/>
          <w:color w:val="auto"/>
        </w:rPr>
      </w:pPr>
      <w:r>
        <w:rPr>
          <w:rFonts w:ascii="Times New Roman" w:cs="Times New Roman" w:eastAsia="Times New Roman" w:hAnsi="Times New Roman"/>
          <w:sz w:val="22"/>
          <w:szCs w:val="22"/>
          <w:color w:val="auto"/>
        </w:rPr>
        <w:t>SECTION 2.06. Information</w:t>
      </w:r>
      <w:r>
        <w:rPr>
          <w:sz w:val="20"/>
          <w:szCs w:val="20"/>
          <w:color w:val="auto"/>
        </w:rPr>
        <w:tab/>
      </w:r>
      <w:r>
        <w:rPr>
          <w:rFonts w:ascii="Times New Roman" w:cs="Times New Roman" w:eastAsia="Times New Roman" w:hAnsi="Times New Roman"/>
          <w:sz w:val="19"/>
          <w:szCs w:val="19"/>
          <w:color w:val="auto"/>
        </w:rPr>
        <w:t>15</w:t>
      </w:r>
    </w:p>
    <w:p>
      <w:pPr>
        <w:spacing w:after="0" w:line="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ARTICLE III</w:t>
      </w:r>
    </w:p>
    <w:p>
      <w:pPr>
        <w:spacing w:after="0" w:line="209" w:lineRule="exact"/>
        <w:rPr>
          <w:sz w:val="20"/>
          <w:szCs w:val="20"/>
          <w:color w:val="auto"/>
        </w:rPr>
      </w:pPr>
    </w:p>
    <w:p>
      <w:pPr>
        <w:ind w:left="220"/>
        <w:spacing w:after="0"/>
        <w:tabs>
          <w:tab w:leader="dot" w:pos="8160" w:val="left"/>
        </w:tabs>
        <w:rPr>
          <w:sz w:val="20"/>
          <w:szCs w:val="20"/>
          <w:color w:val="auto"/>
        </w:rPr>
      </w:pPr>
      <w:r>
        <w:rPr>
          <w:rFonts w:ascii="Times New Roman" w:cs="Times New Roman" w:eastAsia="Times New Roman" w:hAnsi="Times New Roman"/>
          <w:sz w:val="22"/>
          <w:szCs w:val="22"/>
          <w:color w:val="auto"/>
        </w:rPr>
        <w:t>[Intentionally omitted]</w:t>
      </w:r>
      <w:r>
        <w:rPr>
          <w:sz w:val="20"/>
          <w:szCs w:val="20"/>
          <w:color w:val="auto"/>
        </w:rPr>
        <w:tab/>
      </w:r>
      <w:r>
        <w:rPr>
          <w:rFonts w:ascii="Times New Roman" w:cs="Times New Roman" w:eastAsia="Times New Roman" w:hAnsi="Times New Roman"/>
          <w:sz w:val="22"/>
          <w:szCs w:val="22"/>
          <w:color w:val="auto"/>
        </w:rPr>
        <w:t>15</w:t>
      </w:r>
    </w:p>
    <w:p>
      <w:pPr>
        <w:spacing w:after="0" w:line="2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ARTICLE IV</w:t>
      </w:r>
    </w:p>
    <w:p>
      <w:pPr>
        <w:spacing w:after="0" w:line="23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Pledge of Securities</w:t>
      </w:r>
    </w:p>
    <w:p>
      <w:pPr>
        <w:spacing w:after="0" w:line="220" w:lineRule="exact"/>
        <w:rPr>
          <w:sz w:val="20"/>
          <w:szCs w:val="20"/>
          <w:color w:val="auto"/>
        </w:rPr>
      </w:pPr>
    </w:p>
    <w:p>
      <w:pPr>
        <w:ind w:left="220"/>
        <w:spacing w:after="0"/>
        <w:tabs>
          <w:tab w:leader="dot" w:pos="8140" w:val="left"/>
        </w:tabs>
        <w:rPr>
          <w:sz w:val="20"/>
          <w:szCs w:val="20"/>
          <w:color w:val="auto"/>
        </w:rPr>
      </w:pPr>
      <w:r>
        <w:rPr>
          <w:rFonts w:ascii="Times New Roman" w:cs="Times New Roman" w:eastAsia="Times New Roman" w:hAnsi="Times New Roman"/>
          <w:sz w:val="22"/>
          <w:szCs w:val="22"/>
          <w:color w:val="auto"/>
        </w:rPr>
        <w:t>SECTION 4.01. Pledge</w:t>
      </w:r>
      <w:r>
        <w:rPr>
          <w:sz w:val="20"/>
          <w:szCs w:val="20"/>
          <w:color w:val="auto"/>
        </w:rPr>
        <w:tab/>
      </w:r>
      <w:r>
        <w:rPr>
          <w:rFonts w:ascii="Times New Roman" w:cs="Times New Roman" w:eastAsia="Times New Roman" w:hAnsi="Times New Roman"/>
          <w:sz w:val="22"/>
          <w:szCs w:val="22"/>
          <w:color w:val="auto"/>
        </w:rPr>
        <w:t>15</w:t>
      </w:r>
    </w:p>
    <w:p>
      <w:pPr>
        <w:spacing w:after="0" w:line="28" w:lineRule="exact"/>
        <w:rPr>
          <w:sz w:val="20"/>
          <w:szCs w:val="20"/>
          <w:color w:val="auto"/>
        </w:rPr>
      </w:pPr>
    </w:p>
    <w:p>
      <w:pPr>
        <w:ind w:left="220"/>
        <w:spacing w:after="0"/>
        <w:tabs>
          <w:tab w:leader="dot" w:pos="8100" w:val="left"/>
        </w:tabs>
        <w:rPr>
          <w:sz w:val="20"/>
          <w:szCs w:val="20"/>
          <w:color w:val="auto"/>
        </w:rPr>
      </w:pPr>
      <w:r>
        <w:rPr>
          <w:rFonts w:ascii="Times New Roman" w:cs="Times New Roman" w:eastAsia="Times New Roman" w:hAnsi="Times New Roman"/>
          <w:sz w:val="22"/>
          <w:szCs w:val="22"/>
          <w:color w:val="auto"/>
        </w:rPr>
        <w:t>SECTION 4.02. Voting Rights; Dividends and Interest</w:t>
      </w:r>
      <w:r>
        <w:rPr>
          <w:sz w:val="20"/>
          <w:szCs w:val="20"/>
          <w:color w:val="auto"/>
        </w:rPr>
        <w:tab/>
      </w:r>
      <w:r>
        <w:rPr>
          <w:rFonts w:ascii="Times New Roman" w:cs="Times New Roman" w:eastAsia="Times New Roman" w:hAnsi="Times New Roman"/>
          <w:sz w:val="22"/>
          <w:szCs w:val="22"/>
          <w:color w:val="auto"/>
        </w:rPr>
        <w:t>16</w:t>
      </w:r>
    </w:p>
    <w:p>
      <w:pPr>
        <w:spacing w:after="0" w:line="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color w:val="auto"/>
        </w:rPr>
        <w:t>ARTICLE V</w:t>
      </w:r>
    </w:p>
    <w:p>
      <w:pPr>
        <w:spacing w:after="0" w:line="248"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Security Interests in Personal Property</w:t>
      </w:r>
    </w:p>
    <w:p>
      <w:pPr>
        <w:spacing w:after="0" w:line="220" w:lineRule="exact"/>
        <w:rPr>
          <w:sz w:val="20"/>
          <w:szCs w:val="20"/>
          <w:color w:val="auto"/>
        </w:rPr>
      </w:pPr>
    </w:p>
    <w:p>
      <w:pPr>
        <w:ind w:left="220"/>
        <w:spacing w:after="0"/>
        <w:tabs>
          <w:tab w:leader="dot" w:pos="8140" w:val="left"/>
        </w:tabs>
        <w:rPr>
          <w:sz w:val="20"/>
          <w:szCs w:val="20"/>
          <w:color w:val="auto"/>
        </w:rPr>
      </w:pPr>
      <w:r>
        <w:rPr>
          <w:rFonts w:ascii="Times New Roman" w:cs="Times New Roman" w:eastAsia="Times New Roman" w:hAnsi="Times New Roman"/>
          <w:sz w:val="22"/>
          <w:szCs w:val="22"/>
          <w:color w:val="auto"/>
        </w:rPr>
        <w:t>SECTION 5.01. Creation of Security Interests</w:t>
      </w:r>
      <w:r>
        <w:rPr>
          <w:sz w:val="20"/>
          <w:szCs w:val="20"/>
          <w:color w:val="auto"/>
        </w:rPr>
        <w:tab/>
      </w:r>
      <w:r>
        <w:rPr>
          <w:rFonts w:ascii="Times New Roman" w:cs="Times New Roman" w:eastAsia="Times New Roman" w:hAnsi="Times New Roman"/>
          <w:sz w:val="22"/>
          <w:szCs w:val="22"/>
          <w:color w:val="auto"/>
        </w:rPr>
        <w:t>17</w:t>
      </w:r>
    </w:p>
    <w:p>
      <w:pPr>
        <w:spacing w:after="0" w:line="28" w:lineRule="exact"/>
        <w:rPr>
          <w:sz w:val="20"/>
          <w:szCs w:val="20"/>
          <w:color w:val="auto"/>
        </w:rPr>
      </w:pPr>
    </w:p>
    <w:p>
      <w:pPr>
        <w:ind w:left="220"/>
        <w:spacing w:after="0"/>
        <w:tabs>
          <w:tab w:leader="dot" w:pos="8140" w:val="left"/>
        </w:tabs>
        <w:rPr>
          <w:sz w:val="20"/>
          <w:szCs w:val="20"/>
          <w:color w:val="auto"/>
        </w:rPr>
      </w:pPr>
      <w:r>
        <w:rPr>
          <w:rFonts w:ascii="Times New Roman" w:cs="Times New Roman" w:eastAsia="Times New Roman" w:hAnsi="Times New Roman"/>
          <w:sz w:val="22"/>
          <w:szCs w:val="22"/>
          <w:color w:val="auto"/>
        </w:rPr>
        <w:t>SECTION 5.02. Certain Filings</w:t>
      </w:r>
      <w:r>
        <w:rPr>
          <w:sz w:val="20"/>
          <w:szCs w:val="20"/>
          <w:color w:val="auto"/>
        </w:rPr>
        <w:tab/>
      </w:r>
      <w:r>
        <w:rPr>
          <w:rFonts w:ascii="Times New Roman" w:cs="Times New Roman" w:eastAsia="Times New Roman" w:hAnsi="Times New Roman"/>
          <w:sz w:val="22"/>
          <w:szCs w:val="22"/>
          <w:color w:val="auto"/>
        </w:rPr>
        <w:t>18</w:t>
      </w:r>
    </w:p>
    <w:p>
      <w:pPr>
        <w:spacing w:after="0" w:line="4" w:lineRule="exact"/>
        <w:rPr>
          <w:sz w:val="20"/>
          <w:szCs w:val="20"/>
          <w:color w:val="auto"/>
        </w:rPr>
      </w:pPr>
    </w:p>
    <w:p>
      <w:pPr>
        <w:ind w:left="220"/>
        <w:spacing w:after="0"/>
        <w:tabs>
          <w:tab w:leader="dot" w:pos="8120" w:val="left"/>
        </w:tabs>
        <w:rPr>
          <w:sz w:val="20"/>
          <w:szCs w:val="20"/>
          <w:color w:val="auto"/>
        </w:rPr>
      </w:pPr>
      <w:r>
        <w:rPr>
          <w:rFonts w:ascii="Times New Roman" w:cs="Times New Roman" w:eastAsia="Times New Roman" w:hAnsi="Times New Roman"/>
          <w:sz w:val="22"/>
          <w:szCs w:val="22"/>
          <w:color w:val="auto"/>
        </w:rPr>
        <w:t>SECTION 5.03. Representations and Warranties</w:t>
      </w:r>
      <w:r>
        <w:rPr>
          <w:sz w:val="20"/>
          <w:szCs w:val="20"/>
          <w:color w:val="auto"/>
        </w:rPr>
        <w:tab/>
      </w:r>
      <w:r>
        <w:rPr>
          <w:rFonts w:ascii="Times New Roman" w:cs="Times New Roman" w:eastAsia="Times New Roman" w:hAnsi="Times New Roman"/>
          <w:sz w:val="22"/>
          <w:szCs w:val="22"/>
          <w:color w:val="auto"/>
        </w:rPr>
        <w:t>19</w:t>
      </w:r>
    </w:p>
    <w:p>
      <w:pPr>
        <w:spacing w:after="0" w:line="4" w:lineRule="exact"/>
        <w:rPr>
          <w:sz w:val="20"/>
          <w:szCs w:val="20"/>
          <w:color w:val="auto"/>
        </w:rPr>
      </w:pPr>
    </w:p>
    <w:p>
      <w:pPr>
        <w:ind w:left="220"/>
        <w:spacing w:after="0"/>
        <w:tabs>
          <w:tab w:leader="dot" w:pos="8140" w:val="left"/>
        </w:tabs>
        <w:rPr>
          <w:sz w:val="20"/>
          <w:szCs w:val="20"/>
          <w:color w:val="auto"/>
        </w:rPr>
      </w:pPr>
      <w:r>
        <w:rPr>
          <w:rFonts w:ascii="Times New Roman" w:cs="Times New Roman" w:eastAsia="Times New Roman" w:hAnsi="Times New Roman"/>
          <w:sz w:val="22"/>
          <w:szCs w:val="22"/>
          <w:color w:val="auto"/>
        </w:rPr>
        <w:t>SECTION 5.04. Covenants</w:t>
      </w:r>
      <w:r>
        <w:rPr>
          <w:sz w:val="20"/>
          <w:szCs w:val="20"/>
          <w:color w:val="auto"/>
        </w:rPr>
        <w:tab/>
      </w:r>
      <w:r>
        <w:rPr>
          <w:rFonts w:ascii="Times New Roman" w:cs="Times New Roman" w:eastAsia="Times New Roman" w:hAnsi="Times New Roman"/>
          <w:sz w:val="22"/>
          <w:szCs w:val="22"/>
          <w:color w:val="auto"/>
        </w:rPr>
        <w:t>19</w:t>
      </w:r>
    </w:p>
    <w:p>
      <w:pPr>
        <w:spacing w:after="0" w:line="5" w:lineRule="exact"/>
        <w:rPr>
          <w:sz w:val="20"/>
          <w:szCs w:val="20"/>
          <w:color w:val="auto"/>
        </w:rPr>
      </w:pPr>
    </w:p>
    <w:p>
      <w:pPr>
        <w:ind w:left="220"/>
        <w:spacing w:after="0"/>
        <w:tabs>
          <w:tab w:leader="dot" w:pos="8120" w:val="left"/>
        </w:tabs>
        <w:rPr>
          <w:sz w:val="20"/>
          <w:szCs w:val="20"/>
          <w:color w:val="auto"/>
        </w:rPr>
      </w:pPr>
      <w:r>
        <w:rPr>
          <w:rFonts w:ascii="Times New Roman" w:cs="Times New Roman" w:eastAsia="Times New Roman" w:hAnsi="Times New Roman"/>
          <w:sz w:val="22"/>
          <w:szCs w:val="22"/>
          <w:color w:val="auto"/>
        </w:rPr>
        <w:t>SECTION 5.05. Other Actions</w:t>
      </w:r>
      <w:r>
        <w:rPr>
          <w:sz w:val="20"/>
          <w:szCs w:val="20"/>
          <w:color w:val="auto"/>
        </w:rPr>
        <w:tab/>
      </w:r>
      <w:r>
        <w:rPr>
          <w:rFonts w:ascii="Times New Roman" w:cs="Times New Roman" w:eastAsia="Times New Roman" w:hAnsi="Times New Roman"/>
          <w:sz w:val="22"/>
          <w:szCs w:val="22"/>
          <w:color w:val="auto"/>
        </w:rPr>
        <w:t>21</w:t>
      </w:r>
    </w:p>
    <w:p>
      <w:pPr>
        <w:spacing w:after="0" w:line="15" w:lineRule="exact"/>
        <w:rPr>
          <w:sz w:val="20"/>
          <w:szCs w:val="20"/>
          <w:color w:val="auto"/>
        </w:rPr>
      </w:pPr>
    </w:p>
    <w:p>
      <w:pPr>
        <w:ind w:left="220"/>
        <w:spacing w:after="0"/>
        <w:tabs>
          <w:tab w:leader="dot" w:pos="8120" w:val="left"/>
        </w:tabs>
        <w:rPr>
          <w:sz w:val="20"/>
          <w:szCs w:val="20"/>
          <w:color w:val="auto"/>
        </w:rPr>
      </w:pPr>
      <w:r>
        <w:rPr>
          <w:rFonts w:ascii="Times New Roman" w:cs="Times New Roman" w:eastAsia="Times New Roman" w:hAnsi="Times New Roman"/>
          <w:sz w:val="22"/>
          <w:szCs w:val="22"/>
          <w:color w:val="auto"/>
        </w:rPr>
        <w:t>SECTION 5.06. Covenants Regarding Patent, Trademark and Copyright Collateral</w:t>
      </w:r>
      <w:r>
        <w:rPr>
          <w:sz w:val="20"/>
          <w:szCs w:val="20"/>
          <w:color w:val="auto"/>
        </w:rPr>
        <w:tab/>
      </w:r>
      <w:r>
        <w:rPr>
          <w:rFonts w:ascii="Times New Roman" w:cs="Times New Roman" w:eastAsia="Times New Roman" w:hAnsi="Times New Roman"/>
          <w:sz w:val="22"/>
          <w:szCs w:val="22"/>
          <w:color w:val="auto"/>
        </w:rPr>
        <w:t>21</w:t>
      </w:r>
    </w:p>
    <w:p>
      <w:pPr>
        <w:spacing w:after="0" w:line="4" w:lineRule="exact"/>
        <w:rPr>
          <w:sz w:val="20"/>
          <w:szCs w:val="20"/>
          <w:color w:val="auto"/>
        </w:rPr>
      </w:pPr>
    </w:p>
    <w:p>
      <w:pPr>
        <w:ind w:left="220"/>
        <w:spacing w:after="0"/>
        <w:tabs>
          <w:tab w:leader="dot" w:pos="8140" w:val="left"/>
        </w:tabs>
        <w:rPr>
          <w:sz w:val="20"/>
          <w:szCs w:val="20"/>
          <w:color w:val="auto"/>
        </w:rPr>
      </w:pPr>
      <w:r>
        <w:rPr>
          <w:rFonts w:ascii="Times New Roman" w:cs="Times New Roman" w:eastAsia="Times New Roman" w:hAnsi="Times New Roman"/>
          <w:sz w:val="22"/>
          <w:szCs w:val="22"/>
          <w:color w:val="auto"/>
        </w:rPr>
        <w:t>SECTION 5.07. Lockbox System</w:t>
      </w:r>
      <w:r>
        <w:rPr>
          <w:sz w:val="20"/>
          <w:szCs w:val="20"/>
          <w:color w:val="auto"/>
        </w:rPr>
        <w:tab/>
      </w:r>
      <w:r>
        <w:rPr>
          <w:rFonts w:ascii="Times New Roman" w:cs="Times New Roman" w:eastAsia="Times New Roman" w:hAnsi="Times New Roman"/>
          <w:sz w:val="22"/>
          <w:szCs w:val="22"/>
          <w:color w:val="auto"/>
        </w:rPr>
        <w:t>22</w:t>
      </w:r>
    </w:p>
    <w:p>
      <w:pPr>
        <w:spacing w:after="0" w:line="4" w:lineRule="exact"/>
        <w:rPr>
          <w:sz w:val="20"/>
          <w:szCs w:val="20"/>
          <w:color w:val="auto"/>
        </w:rPr>
      </w:pPr>
    </w:p>
    <w:p>
      <w:pPr>
        <w:ind w:left="220"/>
        <w:spacing w:after="0"/>
        <w:tabs>
          <w:tab w:leader="dot" w:pos="8120" w:val="left"/>
        </w:tabs>
        <w:rPr>
          <w:sz w:val="20"/>
          <w:szCs w:val="20"/>
          <w:color w:val="auto"/>
        </w:rPr>
      </w:pPr>
      <w:r>
        <w:rPr>
          <w:rFonts w:ascii="Times New Roman" w:cs="Times New Roman" w:eastAsia="Times New Roman" w:hAnsi="Times New Roman"/>
          <w:sz w:val="22"/>
          <w:szCs w:val="22"/>
          <w:color w:val="auto"/>
        </w:rPr>
        <w:t>SECTION 5.08. Insurance</w:t>
      </w:r>
      <w:r>
        <w:rPr>
          <w:sz w:val="20"/>
          <w:szCs w:val="20"/>
          <w:color w:val="auto"/>
        </w:rPr>
        <w:tab/>
      </w:r>
      <w:r>
        <w:rPr>
          <w:rFonts w:ascii="Times New Roman" w:cs="Times New Roman" w:eastAsia="Times New Roman" w:hAnsi="Times New Roman"/>
          <w:sz w:val="22"/>
          <w:szCs w:val="22"/>
          <w:color w:val="auto"/>
        </w:rPr>
        <w:t>24</w:t>
      </w:r>
    </w:p>
    <w:p>
      <w:pPr>
        <w:spacing w:after="0" w:line="4" w:lineRule="exact"/>
        <w:rPr>
          <w:sz w:val="20"/>
          <w:szCs w:val="20"/>
          <w:color w:val="auto"/>
        </w:rPr>
      </w:pPr>
    </w:p>
    <w:p>
      <w:pPr>
        <w:ind w:left="220"/>
        <w:spacing w:after="0"/>
        <w:tabs>
          <w:tab w:leader="dot" w:pos="8140" w:val="left"/>
        </w:tabs>
        <w:rPr>
          <w:sz w:val="20"/>
          <w:szCs w:val="20"/>
          <w:color w:val="auto"/>
        </w:rPr>
      </w:pPr>
      <w:r>
        <w:rPr>
          <w:rFonts w:ascii="Times New Roman" w:cs="Times New Roman" w:eastAsia="Times New Roman" w:hAnsi="Times New Roman"/>
          <w:sz w:val="22"/>
          <w:szCs w:val="22"/>
          <w:color w:val="auto"/>
        </w:rPr>
        <w:t>SECTION 5.09. Securities Accounts</w:t>
      </w:r>
      <w:r>
        <w:rPr>
          <w:sz w:val="20"/>
          <w:szCs w:val="20"/>
          <w:color w:val="auto"/>
        </w:rPr>
        <w:tab/>
      </w:r>
      <w:r>
        <w:rPr>
          <w:rFonts w:ascii="Times New Roman" w:cs="Times New Roman" w:eastAsia="Times New Roman" w:hAnsi="Times New Roman"/>
          <w:sz w:val="22"/>
          <w:szCs w:val="22"/>
          <w:color w:val="auto"/>
        </w:rPr>
        <w:t>24</w:t>
      </w:r>
    </w:p>
    <w:p>
      <w:pPr>
        <w:spacing w:after="0" w:line="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ARTICLE VI</w:t>
      </w:r>
    </w:p>
    <w:p>
      <w:pPr>
        <w:spacing w:after="0" w:line="248"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Other Pledges, Mortgages and Security Interests</w:t>
      </w:r>
    </w:p>
    <w:p>
      <w:pPr>
        <w:spacing w:after="0" w:line="220" w:lineRule="exact"/>
        <w:rPr>
          <w:sz w:val="20"/>
          <w:szCs w:val="20"/>
          <w:color w:val="auto"/>
        </w:rPr>
      </w:pPr>
    </w:p>
    <w:p>
      <w:pPr>
        <w:ind w:left="220"/>
        <w:spacing w:after="0"/>
        <w:tabs>
          <w:tab w:leader="dot" w:pos="8120" w:val="left"/>
        </w:tabs>
        <w:rPr>
          <w:sz w:val="20"/>
          <w:szCs w:val="20"/>
          <w:color w:val="auto"/>
        </w:rPr>
      </w:pPr>
      <w:r>
        <w:rPr>
          <w:rFonts w:ascii="Times New Roman" w:cs="Times New Roman" w:eastAsia="Times New Roman" w:hAnsi="Times New Roman"/>
          <w:sz w:val="22"/>
          <w:szCs w:val="22"/>
          <w:color w:val="auto"/>
        </w:rPr>
        <w:t>SECTION 6.01. Other Security Documents</w:t>
      </w:r>
      <w:r>
        <w:rPr>
          <w:sz w:val="20"/>
          <w:szCs w:val="20"/>
          <w:color w:val="auto"/>
        </w:rPr>
        <w:tab/>
      </w:r>
      <w:r>
        <w:rPr>
          <w:rFonts w:ascii="Times New Roman" w:cs="Times New Roman" w:eastAsia="Times New Roman" w:hAnsi="Times New Roman"/>
          <w:sz w:val="22"/>
          <w:szCs w:val="22"/>
          <w:color w:val="auto"/>
        </w:rPr>
        <w:t>24</w:t>
      </w:r>
    </w:p>
    <w:p>
      <w:pPr>
        <w:spacing w:after="0" w:line="28" w:lineRule="exact"/>
        <w:rPr>
          <w:sz w:val="20"/>
          <w:szCs w:val="20"/>
          <w:color w:val="auto"/>
        </w:rPr>
      </w:pPr>
    </w:p>
    <w:p>
      <w:pPr>
        <w:ind w:left="220"/>
        <w:spacing w:after="0"/>
        <w:tabs>
          <w:tab w:leader="dot" w:pos="8120" w:val="left"/>
        </w:tabs>
        <w:rPr>
          <w:sz w:val="20"/>
          <w:szCs w:val="20"/>
          <w:color w:val="auto"/>
        </w:rPr>
      </w:pPr>
      <w:r>
        <w:rPr>
          <w:rFonts w:ascii="Times New Roman" w:cs="Times New Roman" w:eastAsia="Times New Roman" w:hAnsi="Times New Roman"/>
          <w:sz w:val="22"/>
          <w:szCs w:val="22"/>
          <w:color w:val="auto"/>
        </w:rPr>
        <w:t>SECTION 6.02. Other Security Documents Subject to This Agreement</w:t>
      </w:r>
      <w:r>
        <w:rPr>
          <w:sz w:val="20"/>
          <w:szCs w:val="20"/>
          <w:color w:val="auto"/>
        </w:rPr>
        <w:tab/>
      </w: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[[6773428]]</w:t>
      </w:r>
    </w:p>
    <w:p>
      <w:pPr>
        <w:sectPr>
          <w:pgSz w:w="11900" w:h="16838" w:orient="portrait"/>
          <w:cols w:equalWidth="0" w:num="1">
            <w:col w:w="11240"/>
          </w:cols>
          <w:pgMar w:left="320" w:top="125" w:right="339" w:bottom="1440" w:gutter="0" w:footer="0" w:header="0"/>
          <w:type w:val="continuous"/>
        </w:sectPr>
      </w:pPr>
    </w:p>
    <w:bookmarkStart w:id="418" w:name="page419"/>
    <w:bookmarkEnd w:id="418"/>
    <w:p>
      <w:pPr>
        <w:spacing w:after="0" w:line="200" w:lineRule="exact"/>
        <w:rPr>
          <w:sz w:val="20"/>
          <w:szCs w:val="20"/>
          <w:color w:val="auto"/>
        </w:rPr>
      </w:pPr>
    </w:p>
    <w:p>
      <w:pPr>
        <w:spacing w:after="0" w:line="30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ARTICLE VII</w:t>
      </w:r>
    </w:p>
    <w:p>
      <w:pPr>
        <w:spacing w:after="0" w:line="27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Remedies</w:t>
      </w:r>
    </w:p>
    <w:p>
      <w:pPr>
        <w:spacing w:after="0" w:line="220" w:lineRule="exact"/>
        <w:rPr>
          <w:sz w:val="20"/>
          <w:szCs w:val="20"/>
          <w:color w:val="auto"/>
        </w:rPr>
      </w:pPr>
    </w:p>
    <w:p>
      <w:pPr>
        <w:ind w:left="220"/>
        <w:spacing w:after="0"/>
        <w:tabs>
          <w:tab w:leader="dot" w:pos="8120" w:val="left"/>
        </w:tabs>
        <w:rPr>
          <w:sz w:val="20"/>
          <w:szCs w:val="20"/>
          <w:color w:val="auto"/>
        </w:rPr>
      </w:pPr>
      <w:r>
        <w:rPr>
          <w:rFonts w:ascii="Times New Roman" w:cs="Times New Roman" w:eastAsia="Times New Roman" w:hAnsi="Times New Roman"/>
          <w:sz w:val="22"/>
          <w:szCs w:val="22"/>
          <w:color w:val="auto"/>
        </w:rPr>
        <w:t>SECTION 7.01. Remedies Upon Default</w:t>
      </w:r>
      <w:r>
        <w:rPr>
          <w:sz w:val="20"/>
          <w:szCs w:val="20"/>
          <w:color w:val="auto"/>
        </w:rPr>
        <w:tab/>
      </w:r>
      <w:r>
        <w:rPr>
          <w:rFonts w:ascii="Times New Roman" w:cs="Times New Roman" w:eastAsia="Times New Roman" w:hAnsi="Times New Roman"/>
          <w:sz w:val="22"/>
          <w:szCs w:val="22"/>
          <w:color w:val="auto"/>
        </w:rPr>
        <w:t>25</w:t>
      </w:r>
    </w:p>
    <w:p>
      <w:pPr>
        <w:spacing w:after="0" w:line="28" w:lineRule="exact"/>
        <w:rPr>
          <w:sz w:val="20"/>
          <w:szCs w:val="20"/>
          <w:color w:val="auto"/>
        </w:rPr>
      </w:pPr>
    </w:p>
    <w:p>
      <w:pPr>
        <w:ind w:left="220"/>
        <w:spacing w:after="0"/>
        <w:tabs>
          <w:tab w:leader="dot" w:pos="8120" w:val="left"/>
        </w:tabs>
        <w:rPr>
          <w:sz w:val="20"/>
          <w:szCs w:val="20"/>
          <w:color w:val="auto"/>
        </w:rPr>
      </w:pPr>
      <w:r>
        <w:rPr>
          <w:rFonts w:ascii="Times New Roman" w:cs="Times New Roman" w:eastAsia="Times New Roman" w:hAnsi="Times New Roman"/>
          <w:sz w:val="22"/>
          <w:szCs w:val="22"/>
          <w:color w:val="auto"/>
        </w:rPr>
        <w:t>SECTION 7.02. Exercise of Remedies under Other Security Documents</w:t>
      </w:r>
      <w:r>
        <w:rPr>
          <w:sz w:val="20"/>
          <w:szCs w:val="20"/>
          <w:color w:val="auto"/>
        </w:rPr>
        <w:tab/>
      </w:r>
      <w:r>
        <w:rPr>
          <w:rFonts w:ascii="Times New Roman" w:cs="Times New Roman" w:eastAsia="Times New Roman" w:hAnsi="Times New Roman"/>
          <w:sz w:val="22"/>
          <w:szCs w:val="22"/>
          <w:color w:val="auto"/>
        </w:rPr>
        <w:t>27</w:t>
      </w:r>
    </w:p>
    <w:p>
      <w:pPr>
        <w:spacing w:after="0" w:line="4" w:lineRule="exact"/>
        <w:rPr>
          <w:sz w:val="20"/>
          <w:szCs w:val="20"/>
          <w:color w:val="auto"/>
        </w:rPr>
      </w:pPr>
    </w:p>
    <w:p>
      <w:pPr>
        <w:ind w:left="220"/>
        <w:spacing w:after="0"/>
        <w:tabs>
          <w:tab w:leader="dot" w:pos="8120" w:val="left"/>
        </w:tabs>
        <w:rPr>
          <w:sz w:val="20"/>
          <w:szCs w:val="20"/>
          <w:color w:val="auto"/>
        </w:rPr>
      </w:pPr>
      <w:r>
        <w:rPr>
          <w:rFonts w:ascii="Times New Roman" w:cs="Times New Roman" w:eastAsia="Times New Roman" w:hAnsi="Times New Roman"/>
          <w:sz w:val="22"/>
          <w:szCs w:val="22"/>
          <w:color w:val="auto"/>
        </w:rPr>
        <w:t>SECTION 7.03. Application of Proceeds</w:t>
      </w:r>
      <w:r>
        <w:rPr>
          <w:sz w:val="20"/>
          <w:szCs w:val="20"/>
          <w:color w:val="auto"/>
        </w:rPr>
        <w:tab/>
      </w:r>
      <w:r>
        <w:rPr>
          <w:rFonts w:ascii="Times New Roman" w:cs="Times New Roman" w:eastAsia="Times New Roman" w:hAnsi="Times New Roman"/>
          <w:sz w:val="22"/>
          <w:szCs w:val="22"/>
          <w:color w:val="auto"/>
        </w:rPr>
        <w:t>27</w:t>
      </w:r>
    </w:p>
    <w:p>
      <w:pPr>
        <w:spacing w:after="0" w:line="4" w:lineRule="exact"/>
        <w:rPr>
          <w:sz w:val="20"/>
          <w:szCs w:val="20"/>
          <w:color w:val="auto"/>
        </w:rPr>
      </w:pPr>
    </w:p>
    <w:p>
      <w:pPr>
        <w:ind w:left="220"/>
        <w:spacing w:after="0"/>
        <w:tabs>
          <w:tab w:leader="dot" w:pos="8120" w:val="left"/>
        </w:tabs>
        <w:rPr>
          <w:sz w:val="20"/>
          <w:szCs w:val="20"/>
          <w:color w:val="auto"/>
        </w:rPr>
      </w:pPr>
      <w:r>
        <w:rPr>
          <w:rFonts w:ascii="Times New Roman" w:cs="Times New Roman" w:eastAsia="Times New Roman" w:hAnsi="Times New Roman"/>
          <w:sz w:val="22"/>
          <w:szCs w:val="22"/>
          <w:color w:val="auto"/>
        </w:rPr>
        <w:t>SECTION 7.04. Grant of License to Use Intellectual Property</w:t>
      </w:r>
      <w:r>
        <w:rPr>
          <w:sz w:val="20"/>
          <w:szCs w:val="20"/>
          <w:color w:val="auto"/>
        </w:rPr>
        <w:tab/>
      </w:r>
      <w:r>
        <w:rPr>
          <w:rFonts w:ascii="Times New Roman" w:cs="Times New Roman" w:eastAsia="Times New Roman" w:hAnsi="Times New Roman"/>
          <w:sz w:val="22"/>
          <w:szCs w:val="22"/>
          <w:color w:val="auto"/>
        </w:rPr>
        <w:t>28</w:t>
      </w:r>
    </w:p>
    <w:p>
      <w:pPr>
        <w:spacing w:after="0" w:line="4" w:lineRule="exact"/>
        <w:rPr>
          <w:sz w:val="20"/>
          <w:szCs w:val="20"/>
          <w:color w:val="auto"/>
        </w:rPr>
      </w:pPr>
    </w:p>
    <w:p>
      <w:pPr>
        <w:ind w:left="220"/>
        <w:spacing w:after="0"/>
        <w:tabs>
          <w:tab w:leader="dot" w:pos="8120" w:val="left"/>
        </w:tabs>
        <w:rPr>
          <w:sz w:val="20"/>
          <w:szCs w:val="20"/>
          <w:color w:val="auto"/>
        </w:rPr>
      </w:pPr>
      <w:r>
        <w:rPr>
          <w:rFonts w:ascii="Times New Roman" w:cs="Times New Roman" w:eastAsia="Times New Roman" w:hAnsi="Times New Roman"/>
          <w:sz w:val="22"/>
          <w:szCs w:val="22"/>
          <w:color w:val="auto"/>
        </w:rPr>
        <w:t>SECTION 7.05. Securities Act</w:t>
      </w:r>
      <w:r>
        <w:rPr>
          <w:sz w:val="20"/>
          <w:szCs w:val="20"/>
          <w:color w:val="auto"/>
        </w:rPr>
        <w:tab/>
      </w:r>
      <w:r>
        <w:rPr>
          <w:rFonts w:ascii="Times New Roman" w:cs="Times New Roman" w:eastAsia="Times New Roman" w:hAnsi="Times New Roman"/>
          <w:sz w:val="22"/>
          <w:szCs w:val="22"/>
          <w:color w:val="auto"/>
        </w:rPr>
        <w:t>29</w:t>
      </w:r>
    </w:p>
    <w:p>
      <w:pPr>
        <w:spacing w:after="0" w:line="5" w:lineRule="exact"/>
        <w:rPr>
          <w:sz w:val="20"/>
          <w:szCs w:val="20"/>
          <w:color w:val="auto"/>
        </w:rPr>
      </w:pPr>
    </w:p>
    <w:p>
      <w:pPr>
        <w:ind w:left="220"/>
        <w:spacing w:after="0"/>
        <w:tabs>
          <w:tab w:leader="dot" w:pos="8120" w:val="left"/>
        </w:tabs>
        <w:rPr>
          <w:sz w:val="20"/>
          <w:szCs w:val="20"/>
          <w:color w:val="auto"/>
        </w:rPr>
      </w:pPr>
      <w:r>
        <w:rPr>
          <w:rFonts w:ascii="Times New Roman" w:cs="Times New Roman" w:eastAsia="Times New Roman" w:hAnsi="Times New Roman"/>
          <w:sz w:val="22"/>
          <w:szCs w:val="22"/>
          <w:color w:val="auto"/>
        </w:rPr>
        <w:t>SECTION 7.06. Registration</w:t>
      </w:r>
      <w:r>
        <w:rPr>
          <w:sz w:val="20"/>
          <w:szCs w:val="20"/>
          <w:color w:val="auto"/>
        </w:rPr>
        <w:tab/>
      </w:r>
      <w:r>
        <w:rPr>
          <w:rFonts w:ascii="Times New Roman" w:cs="Times New Roman" w:eastAsia="Times New Roman" w:hAnsi="Times New Roman"/>
          <w:sz w:val="22"/>
          <w:szCs w:val="22"/>
          <w:color w:val="auto"/>
        </w:rPr>
        <w:t>30</w:t>
      </w:r>
    </w:p>
    <w:p>
      <w:pPr>
        <w:spacing w:after="0" w:line="1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ARTICLE VIII</w:t>
      </w:r>
    </w:p>
    <w:p>
      <w:pPr>
        <w:spacing w:after="0" w:line="236"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color w:val="auto"/>
        </w:rPr>
        <w:t>Indemnity, Subrogation and Subordination</w:t>
      </w:r>
    </w:p>
    <w:p>
      <w:pPr>
        <w:spacing w:after="0" w:line="220" w:lineRule="exact"/>
        <w:rPr>
          <w:sz w:val="20"/>
          <w:szCs w:val="20"/>
          <w:color w:val="auto"/>
        </w:rPr>
      </w:pPr>
    </w:p>
    <w:p>
      <w:pPr>
        <w:ind w:left="220"/>
        <w:spacing w:after="0"/>
        <w:tabs>
          <w:tab w:leader="dot" w:pos="8120" w:val="left"/>
        </w:tabs>
        <w:rPr>
          <w:sz w:val="20"/>
          <w:szCs w:val="20"/>
          <w:color w:val="auto"/>
        </w:rPr>
      </w:pPr>
      <w:r>
        <w:rPr>
          <w:rFonts w:ascii="Times New Roman" w:cs="Times New Roman" w:eastAsia="Times New Roman" w:hAnsi="Times New Roman"/>
          <w:sz w:val="22"/>
          <w:szCs w:val="22"/>
          <w:color w:val="auto"/>
        </w:rPr>
        <w:t>SECTION 8.01. Indemnity and Subrogation</w:t>
      </w:r>
      <w:r>
        <w:rPr>
          <w:sz w:val="20"/>
          <w:szCs w:val="20"/>
          <w:color w:val="auto"/>
        </w:rPr>
        <w:tab/>
      </w:r>
      <w:r>
        <w:rPr>
          <w:rFonts w:ascii="Times New Roman" w:cs="Times New Roman" w:eastAsia="Times New Roman" w:hAnsi="Times New Roman"/>
          <w:sz w:val="22"/>
          <w:szCs w:val="22"/>
          <w:color w:val="auto"/>
        </w:rPr>
        <w:t>30</w:t>
      </w:r>
    </w:p>
    <w:p>
      <w:pPr>
        <w:spacing w:after="0" w:line="28" w:lineRule="exact"/>
        <w:rPr>
          <w:sz w:val="20"/>
          <w:szCs w:val="20"/>
          <w:color w:val="auto"/>
        </w:rPr>
      </w:pPr>
    </w:p>
    <w:p>
      <w:pPr>
        <w:ind w:left="220"/>
        <w:spacing w:after="0"/>
        <w:tabs>
          <w:tab w:leader="dot" w:pos="8120" w:val="left"/>
        </w:tabs>
        <w:rPr>
          <w:sz w:val="20"/>
          <w:szCs w:val="20"/>
          <w:color w:val="auto"/>
        </w:rPr>
      </w:pPr>
      <w:r>
        <w:rPr>
          <w:rFonts w:ascii="Times New Roman" w:cs="Times New Roman" w:eastAsia="Times New Roman" w:hAnsi="Times New Roman"/>
          <w:sz w:val="22"/>
          <w:szCs w:val="22"/>
          <w:color w:val="auto"/>
        </w:rPr>
        <w:t>SECTION 8.02. Contribution and Subrogation</w:t>
      </w:r>
      <w:r>
        <w:rPr>
          <w:sz w:val="20"/>
          <w:szCs w:val="20"/>
          <w:color w:val="auto"/>
        </w:rPr>
        <w:tab/>
      </w:r>
      <w:r>
        <w:rPr>
          <w:rFonts w:ascii="Times New Roman" w:cs="Times New Roman" w:eastAsia="Times New Roman" w:hAnsi="Times New Roman"/>
          <w:sz w:val="22"/>
          <w:szCs w:val="22"/>
          <w:color w:val="auto"/>
        </w:rPr>
        <w:t>31</w:t>
      </w:r>
    </w:p>
    <w:p>
      <w:pPr>
        <w:spacing w:after="0" w:line="5" w:lineRule="exact"/>
        <w:rPr>
          <w:sz w:val="20"/>
          <w:szCs w:val="20"/>
          <w:color w:val="auto"/>
        </w:rPr>
      </w:pPr>
    </w:p>
    <w:p>
      <w:pPr>
        <w:ind w:left="220"/>
        <w:spacing w:after="0"/>
        <w:tabs>
          <w:tab w:leader="dot" w:pos="8120" w:val="left"/>
        </w:tabs>
        <w:rPr>
          <w:sz w:val="20"/>
          <w:szCs w:val="20"/>
          <w:color w:val="auto"/>
        </w:rPr>
      </w:pPr>
      <w:r>
        <w:rPr>
          <w:rFonts w:ascii="Times New Roman" w:cs="Times New Roman" w:eastAsia="Times New Roman" w:hAnsi="Times New Roman"/>
          <w:sz w:val="22"/>
          <w:szCs w:val="22"/>
          <w:color w:val="auto"/>
        </w:rPr>
        <w:t>SECTION 8.03. Subordination</w:t>
      </w:r>
      <w:r>
        <w:rPr>
          <w:sz w:val="20"/>
          <w:szCs w:val="20"/>
          <w:color w:val="auto"/>
        </w:rPr>
        <w:tab/>
      </w:r>
      <w:r>
        <w:rPr>
          <w:rFonts w:ascii="Times New Roman" w:cs="Times New Roman" w:eastAsia="Times New Roman" w:hAnsi="Times New Roman"/>
          <w:sz w:val="22"/>
          <w:szCs w:val="22"/>
          <w:color w:val="auto"/>
        </w:rPr>
        <w:t>31</w:t>
      </w:r>
    </w:p>
    <w:p>
      <w:pPr>
        <w:spacing w:after="0" w:line="1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ARTICLE IX</w:t>
      </w:r>
    </w:p>
    <w:p>
      <w:pPr>
        <w:spacing w:after="0" w:line="23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Duties of Collateral Agent</w:t>
      </w:r>
    </w:p>
    <w:p>
      <w:pPr>
        <w:spacing w:after="0" w:line="220" w:lineRule="exact"/>
        <w:rPr>
          <w:sz w:val="20"/>
          <w:szCs w:val="20"/>
          <w:color w:val="auto"/>
        </w:rPr>
      </w:pPr>
    </w:p>
    <w:p>
      <w:pPr>
        <w:ind w:left="220"/>
        <w:spacing w:after="0"/>
        <w:tabs>
          <w:tab w:leader="dot" w:pos="8100" w:val="left"/>
        </w:tabs>
        <w:rPr>
          <w:sz w:val="20"/>
          <w:szCs w:val="20"/>
          <w:color w:val="auto"/>
        </w:rPr>
      </w:pPr>
      <w:r>
        <w:rPr>
          <w:rFonts w:ascii="Times New Roman" w:cs="Times New Roman" w:eastAsia="Times New Roman" w:hAnsi="Times New Roman"/>
          <w:sz w:val="22"/>
          <w:szCs w:val="22"/>
          <w:color w:val="auto"/>
        </w:rPr>
        <w:t>SECTION 9.01. Actions Under This Agreement</w:t>
      </w:r>
      <w:r>
        <w:rPr>
          <w:sz w:val="20"/>
          <w:szCs w:val="20"/>
          <w:color w:val="auto"/>
        </w:rPr>
        <w:tab/>
      </w:r>
      <w:r>
        <w:rPr>
          <w:rFonts w:ascii="Times New Roman" w:cs="Times New Roman" w:eastAsia="Times New Roman" w:hAnsi="Times New Roman"/>
          <w:sz w:val="22"/>
          <w:szCs w:val="22"/>
          <w:color w:val="auto"/>
        </w:rPr>
        <w:t>32</w:t>
      </w:r>
    </w:p>
    <w:p>
      <w:pPr>
        <w:spacing w:after="0" w:line="28"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color w:val="auto"/>
        </w:rPr>
        <w:t>ARTICLE X</w:t>
      </w:r>
    </w:p>
    <w:p>
      <w:pPr>
        <w:spacing w:after="0" w:line="25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Concerning the Collateral Agent</w:t>
      </w:r>
    </w:p>
    <w:p>
      <w:pPr>
        <w:spacing w:after="0" w:line="220" w:lineRule="exact"/>
        <w:rPr>
          <w:sz w:val="20"/>
          <w:szCs w:val="20"/>
          <w:color w:val="auto"/>
        </w:rPr>
      </w:pPr>
    </w:p>
    <w:p>
      <w:pPr>
        <w:ind w:left="220"/>
        <w:spacing w:after="0"/>
        <w:tabs>
          <w:tab w:leader="dot" w:pos="8120" w:val="left"/>
        </w:tabs>
        <w:rPr>
          <w:sz w:val="20"/>
          <w:szCs w:val="20"/>
          <w:color w:val="auto"/>
        </w:rPr>
      </w:pPr>
      <w:r>
        <w:rPr>
          <w:rFonts w:ascii="Times New Roman" w:cs="Times New Roman" w:eastAsia="Times New Roman" w:hAnsi="Times New Roman"/>
          <w:sz w:val="22"/>
          <w:szCs w:val="22"/>
          <w:color w:val="auto"/>
        </w:rPr>
        <w:t>SECTION 10.01. Limitations on Responsibility of Collateral Agent</w:t>
      </w:r>
      <w:r>
        <w:rPr>
          <w:sz w:val="20"/>
          <w:szCs w:val="20"/>
          <w:color w:val="auto"/>
        </w:rPr>
        <w:tab/>
      </w:r>
      <w:r>
        <w:rPr>
          <w:rFonts w:ascii="Times New Roman" w:cs="Times New Roman" w:eastAsia="Times New Roman" w:hAnsi="Times New Roman"/>
          <w:sz w:val="19"/>
          <w:szCs w:val="19"/>
          <w:color w:val="auto"/>
        </w:rPr>
        <w:t>33</w:t>
      </w:r>
    </w:p>
    <w:p>
      <w:pPr>
        <w:spacing w:after="0" w:line="28" w:lineRule="exact"/>
        <w:rPr>
          <w:sz w:val="20"/>
          <w:szCs w:val="20"/>
          <w:color w:val="auto"/>
        </w:rPr>
      </w:pPr>
    </w:p>
    <w:p>
      <w:pPr>
        <w:ind w:left="220"/>
        <w:spacing w:after="0"/>
        <w:tabs>
          <w:tab w:leader="dot" w:pos="8100" w:val="left"/>
        </w:tabs>
        <w:rPr>
          <w:sz w:val="20"/>
          <w:szCs w:val="20"/>
          <w:color w:val="auto"/>
        </w:rPr>
      </w:pPr>
      <w:r>
        <w:rPr>
          <w:rFonts w:ascii="Times New Roman" w:cs="Times New Roman" w:eastAsia="Times New Roman" w:hAnsi="Times New Roman"/>
          <w:sz w:val="22"/>
          <w:szCs w:val="22"/>
          <w:color w:val="auto"/>
        </w:rPr>
        <w:t>SECTION 10.02. Reliance by Collateral Agent; Indemnity Against Liabilities, etc</w:t>
      </w:r>
      <w:r>
        <w:rPr>
          <w:sz w:val="20"/>
          <w:szCs w:val="20"/>
          <w:color w:val="auto"/>
        </w:rPr>
        <w:tab/>
      </w:r>
      <w:r>
        <w:rPr>
          <w:rFonts w:ascii="Times New Roman" w:cs="Times New Roman" w:eastAsia="Times New Roman" w:hAnsi="Times New Roman"/>
          <w:sz w:val="22"/>
          <w:szCs w:val="22"/>
          <w:color w:val="auto"/>
        </w:rPr>
        <w:t>34</w:t>
      </w:r>
    </w:p>
    <w:p>
      <w:pPr>
        <w:spacing w:after="0" w:line="4" w:lineRule="exact"/>
        <w:rPr>
          <w:sz w:val="20"/>
          <w:szCs w:val="20"/>
          <w:color w:val="auto"/>
        </w:rPr>
      </w:pPr>
    </w:p>
    <w:p>
      <w:pPr>
        <w:ind w:left="220"/>
        <w:spacing w:after="0"/>
        <w:tabs>
          <w:tab w:leader="dot" w:pos="8100" w:val="left"/>
        </w:tabs>
        <w:rPr>
          <w:sz w:val="20"/>
          <w:szCs w:val="20"/>
          <w:color w:val="auto"/>
        </w:rPr>
      </w:pPr>
      <w:r>
        <w:rPr>
          <w:rFonts w:ascii="Times New Roman" w:cs="Times New Roman" w:eastAsia="Times New Roman" w:hAnsi="Times New Roman"/>
          <w:sz w:val="22"/>
          <w:szCs w:val="22"/>
          <w:color w:val="auto"/>
        </w:rPr>
        <w:t>SECTION 10.03. Resignation and Removal of the Collateral Agent</w:t>
      </w:r>
      <w:r>
        <w:rPr>
          <w:sz w:val="20"/>
          <w:szCs w:val="20"/>
          <w:color w:val="auto"/>
        </w:rPr>
        <w:tab/>
      </w:r>
      <w:r>
        <w:rPr>
          <w:rFonts w:ascii="Times New Roman" w:cs="Times New Roman" w:eastAsia="Times New Roman" w:hAnsi="Times New Roman"/>
          <w:sz w:val="19"/>
          <w:szCs w:val="19"/>
          <w:color w:val="auto"/>
        </w:rPr>
        <w:t>35</w:t>
      </w:r>
    </w:p>
    <w:p>
      <w:pPr>
        <w:spacing w:after="0" w:line="4" w:lineRule="exact"/>
        <w:rPr>
          <w:sz w:val="20"/>
          <w:szCs w:val="20"/>
          <w:color w:val="auto"/>
        </w:rPr>
      </w:pPr>
    </w:p>
    <w:p>
      <w:pPr>
        <w:ind w:left="220"/>
        <w:spacing w:after="0"/>
        <w:tabs>
          <w:tab w:leader="dot" w:pos="8100" w:val="left"/>
        </w:tabs>
        <w:rPr>
          <w:sz w:val="20"/>
          <w:szCs w:val="20"/>
          <w:color w:val="auto"/>
        </w:rPr>
      </w:pPr>
      <w:r>
        <w:rPr>
          <w:rFonts w:ascii="Times New Roman" w:cs="Times New Roman" w:eastAsia="Times New Roman" w:hAnsi="Times New Roman"/>
          <w:sz w:val="22"/>
          <w:szCs w:val="22"/>
          <w:color w:val="auto"/>
        </w:rPr>
        <w:t>SECTION 10.04. Expenses and Indemnification</w:t>
      </w:r>
      <w:r>
        <w:rPr>
          <w:sz w:val="20"/>
          <w:szCs w:val="20"/>
          <w:color w:val="auto"/>
        </w:rPr>
        <w:tab/>
      </w:r>
      <w:r>
        <w:rPr>
          <w:rFonts w:ascii="Times New Roman" w:cs="Times New Roman" w:eastAsia="Times New Roman" w:hAnsi="Times New Roman"/>
          <w:sz w:val="22"/>
          <w:szCs w:val="22"/>
          <w:color w:val="auto"/>
        </w:rPr>
        <w:t>35</w:t>
      </w:r>
    </w:p>
    <w:p>
      <w:pPr>
        <w:spacing w:after="0" w:line="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ARTICLE XI</w:t>
      </w:r>
    </w:p>
    <w:p>
      <w:pPr>
        <w:spacing w:after="0" w:line="250"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Subordination of Intercompany Indebtedness</w:t>
      </w:r>
    </w:p>
    <w:p>
      <w:pPr>
        <w:spacing w:after="0" w:line="220" w:lineRule="exact"/>
        <w:rPr>
          <w:sz w:val="20"/>
          <w:szCs w:val="20"/>
          <w:color w:val="auto"/>
        </w:rPr>
      </w:pPr>
    </w:p>
    <w:p>
      <w:pPr>
        <w:ind w:left="220"/>
        <w:spacing w:after="0"/>
        <w:tabs>
          <w:tab w:leader="dot" w:pos="8120" w:val="left"/>
        </w:tabs>
        <w:rPr>
          <w:sz w:val="20"/>
          <w:szCs w:val="20"/>
          <w:color w:val="auto"/>
        </w:rPr>
      </w:pPr>
      <w:r>
        <w:rPr>
          <w:rFonts w:ascii="Times New Roman" w:cs="Times New Roman" w:eastAsia="Times New Roman" w:hAnsi="Times New Roman"/>
          <w:sz w:val="22"/>
          <w:szCs w:val="22"/>
          <w:color w:val="auto"/>
        </w:rPr>
        <w:t>SECTION 11.01. Subordination</w:t>
      </w:r>
      <w:r>
        <w:rPr>
          <w:sz w:val="20"/>
          <w:szCs w:val="20"/>
          <w:color w:val="auto"/>
        </w:rPr>
        <w:tab/>
      </w:r>
      <w:r>
        <w:rPr>
          <w:rFonts w:ascii="Times New Roman" w:cs="Times New Roman" w:eastAsia="Times New Roman" w:hAnsi="Times New Roman"/>
          <w:sz w:val="22"/>
          <w:szCs w:val="22"/>
          <w:color w:val="auto"/>
        </w:rPr>
        <w:t>36</w:t>
      </w:r>
    </w:p>
    <w:p>
      <w:pPr>
        <w:spacing w:after="0" w:line="28" w:lineRule="exact"/>
        <w:rPr>
          <w:sz w:val="20"/>
          <w:szCs w:val="20"/>
          <w:color w:val="auto"/>
        </w:rPr>
      </w:pPr>
    </w:p>
    <w:p>
      <w:pPr>
        <w:ind w:left="220"/>
        <w:spacing w:after="0"/>
        <w:tabs>
          <w:tab w:leader="dot" w:pos="8080" w:val="left"/>
        </w:tabs>
        <w:rPr>
          <w:sz w:val="20"/>
          <w:szCs w:val="20"/>
          <w:color w:val="auto"/>
        </w:rPr>
      </w:pPr>
      <w:r>
        <w:rPr>
          <w:rFonts w:ascii="Times New Roman" w:cs="Times New Roman" w:eastAsia="Times New Roman" w:hAnsi="Times New Roman"/>
          <w:sz w:val="22"/>
          <w:szCs w:val="22"/>
          <w:color w:val="auto"/>
        </w:rPr>
        <w:t>SECTION 11.02. Dissolution or Insolvency</w:t>
      </w:r>
      <w:r>
        <w:rPr>
          <w:sz w:val="20"/>
          <w:szCs w:val="20"/>
          <w:color w:val="auto"/>
        </w:rPr>
        <w:tab/>
      </w:r>
      <w:r>
        <w:rPr>
          <w:rFonts w:ascii="Times New Roman" w:cs="Times New Roman" w:eastAsia="Times New Roman" w:hAnsi="Times New Roman"/>
          <w:sz w:val="22"/>
          <w:szCs w:val="22"/>
          <w:color w:val="auto"/>
        </w:rPr>
        <w:t>36</w:t>
      </w:r>
    </w:p>
    <w:p>
      <w:pPr>
        <w:spacing w:after="0" w:line="4" w:lineRule="exact"/>
        <w:rPr>
          <w:sz w:val="20"/>
          <w:szCs w:val="20"/>
          <w:color w:val="auto"/>
        </w:rPr>
      </w:pPr>
    </w:p>
    <w:p>
      <w:pPr>
        <w:ind w:left="220"/>
        <w:spacing w:after="0"/>
        <w:tabs>
          <w:tab w:leader="dot" w:pos="8100" w:val="left"/>
        </w:tabs>
        <w:rPr>
          <w:sz w:val="20"/>
          <w:szCs w:val="20"/>
          <w:color w:val="auto"/>
        </w:rPr>
      </w:pPr>
      <w:r>
        <w:rPr>
          <w:rFonts w:ascii="Times New Roman" w:cs="Times New Roman" w:eastAsia="Times New Roman" w:hAnsi="Times New Roman"/>
          <w:sz w:val="22"/>
          <w:szCs w:val="22"/>
          <w:color w:val="auto"/>
        </w:rPr>
        <w:t>SECTION 11.03. Subrogation</w:t>
      </w:r>
      <w:r>
        <w:rPr>
          <w:sz w:val="20"/>
          <w:szCs w:val="20"/>
          <w:color w:val="auto"/>
        </w:rPr>
        <w:tab/>
      </w:r>
      <w:r>
        <w:rPr>
          <w:rFonts w:ascii="Times New Roman" w:cs="Times New Roman" w:eastAsia="Times New Roman" w:hAnsi="Times New Roman"/>
          <w:sz w:val="22"/>
          <w:szCs w:val="22"/>
          <w:color w:val="auto"/>
        </w:rPr>
        <w:t>36</w:t>
      </w:r>
    </w:p>
    <w:p>
      <w:pPr>
        <w:spacing w:after="0" w:line="4" w:lineRule="exact"/>
        <w:rPr>
          <w:sz w:val="20"/>
          <w:szCs w:val="20"/>
          <w:color w:val="auto"/>
        </w:rPr>
      </w:pPr>
    </w:p>
    <w:p>
      <w:pPr>
        <w:ind w:left="220"/>
        <w:spacing w:after="0"/>
        <w:tabs>
          <w:tab w:leader="dot" w:pos="8140" w:val="left"/>
        </w:tabs>
        <w:rPr>
          <w:sz w:val="20"/>
          <w:szCs w:val="20"/>
          <w:color w:val="auto"/>
        </w:rPr>
      </w:pPr>
      <w:r>
        <w:rPr>
          <w:rFonts w:ascii="Times New Roman" w:cs="Times New Roman" w:eastAsia="Times New Roman" w:hAnsi="Times New Roman"/>
          <w:sz w:val="22"/>
          <w:szCs w:val="22"/>
          <w:color w:val="auto"/>
        </w:rPr>
        <w:t>SECTION 11.04. Other Creditors</w:t>
      </w:r>
      <w:r>
        <w:rPr>
          <w:sz w:val="20"/>
          <w:szCs w:val="20"/>
          <w:color w:val="auto"/>
        </w:rPr>
        <w:tab/>
      </w:r>
      <w:r>
        <w:rPr>
          <w:rFonts w:ascii="Times New Roman" w:cs="Times New Roman" w:eastAsia="Times New Roman" w:hAnsi="Times New Roman"/>
          <w:sz w:val="19"/>
          <w:szCs w:val="19"/>
          <w:color w:val="auto"/>
        </w:rPr>
        <w:t>37</w:t>
      </w:r>
    </w:p>
    <w:p>
      <w:pPr>
        <w:spacing w:after="0" w:line="5" w:lineRule="exact"/>
        <w:rPr>
          <w:sz w:val="20"/>
          <w:szCs w:val="20"/>
          <w:color w:val="auto"/>
        </w:rPr>
      </w:pPr>
    </w:p>
    <w:p>
      <w:pPr>
        <w:ind w:left="220"/>
        <w:spacing w:after="0"/>
        <w:tabs>
          <w:tab w:leader="dot" w:pos="8080" w:val="left"/>
        </w:tabs>
        <w:rPr>
          <w:sz w:val="20"/>
          <w:szCs w:val="20"/>
          <w:color w:val="auto"/>
        </w:rPr>
      </w:pPr>
      <w:r>
        <w:rPr>
          <w:rFonts w:ascii="Times New Roman" w:cs="Times New Roman" w:eastAsia="Times New Roman" w:hAnsi="Times New Roman"/>
          <w:sz w:val="22"/>
          <w:szCs w:val="22"/>
          <w:color w:val="auto"/>
        </w:rPr>
        <w:t>SECTION 11.05. No Waiver</w:t>
      </w:r>
      <w:r>
        <w:rPr>
          <w:sz w:val="20"/>
          <w:szCs w:val="20"/>
          <w:color w:val="auto"/>
        </w:rPr>
        <w:tab/>
      </w:r>
      <w:r>
        <w:rPr>
          <w:rFonts w:ascii="Times New Roman" w:cs="Times New Roman" w:eastAsia="Times New Roman" w:hAnsi="Times New Roman"/>
          <w:sz w:val="22"/>
          <w:szCs w:val="22"/>
          <w:color w:val="auto"/>
        </w:rPr>
        <w:t>37</w:t>
      </w:r>
    </w:p>
    <w:p>
      <w:pPr>
        <w:spacing w:after="0" w:line="15" w:lineRule="exact"/>
        <w:rPr>
          <w:sz w:val="20"/>
          <w:szCs w:val="20"/>
          <w:color w:val="auto"/>
        </w:rPr>
      </w:pPr>
    </w:p>
    <w:p>
      <w:pPr>
        <w:ind w:left="220"/>
        <w:spacing w:after="0"/>
        <w:tabs>
          <w:tab w:leader="dot" w:pos="8100" w:val="left"/>
        </w:tabs>
        <w:rPr>
          <w:sz w:val="20"/>
          <w:szCs w:val="20"/>
          <w:color w:val="auto"/>
        </w:rPr>
      </w:pPr>
      <w:r>
        <w:rPr>
          <w:rFonts w:ascii="Times New Roman" w:cs="Times New Roman" w:eastAsia="Times New Roman" w:hAnsi="Times New Roman"/>
          <w:sz w:val="22"/>
          <w:szCs w:val="22"/>
          <w:color w:val="auto"/>
        </w:rPr>
        <w:t>SECTION 11.06. Obligations Hereunder Not Affected</w:t>
      </w:r>
      <w:r>
        <w:rPr>
          <w:sz w:val="20"/>
          <w:szCs w:val="20"/>
          <w:color w:val="auto"/>
        </w:rPr>
        <w:tab/>
      </w:r>
      <w:r>
        <w:rPr>
          <w:rFonts w:ascii="Times New Roman" w:cs="Times New Roman" w:eastAsia="Times New Roman" w:hAnsi="Times New Roman"/>
          <w:sz w:val="22"/>
          <w:szCs w:val="22"/>
          <w:color w:val="auto"/>
        </w:rPr>
        <w:t>37</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[[6773428]]</w:t>
      </w:r>
    </w:p>
    <w:p>
      <w:pPr>
        <w:sectPr>
          <w:pgSz w:w="11900" w:h="16838" w:orient="portrait"/>
          <w:cols w:equalWidth="0" w:num="1">
            <w:col w:w="10139"/>
          </w:cols>
          <w:pgMar w:left="320" w:top="1440" w:right="1440" w:bottom="1440" w:gutter="0" w:footer="0" w:header="0"/>
          <w:type w:val="continuous"/>
        </w:sectPr>
      </w:pPr>
    </w:p>
    <w:bookmarkStart w:id="419" w:name="page420"/>
    <w:bookmarkEnd w:id="419"/>
    <w:p>
      <w:pPr>
        <w:spacing w:after="0" w:line="200" w:lineRule="exact"/>
        <w:rPr>
          <w:sz w:val="20"/>
          <w:szCs w:val="20"/>
          <w:color w:val="auto"/>
        </w:rPr>
      </w:pPr>
    </w:p>
    <w:p>
      <w:pPr>
        <w:spacing w:after="0" w:line="308" w:lineRule="exact"/>
        <w:rPr>
          <w:sz w:val="20"/>
          <w:szCs w:val="20"/>
          <w:color w:val="auto"/>
        </w:rPr>
      </w:pPr>
    </w:p>
    <w:tbl>
      <w:tblPr>
        <w:tblLayout w:type="fixed"/>
        <w:tblInd w:w="220" w:type="dxa"/>
        <w:tblCellMar>
          <w:top w:w="0" w:type="dxa"/>
          <w:left w:w="0" w:type="dxa"/>
          <w:bottom w:w="0" w:type="dxa"/>
          <w:right w:w="0" w:type="dxa"/>
        </w:tblCellMar>
      </w:tblPr>
      <w:tr>
        <w:trPr>
          <w:trHeight w:val="282"/>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ARTICLE XII</w:t>
            </w:r>
          </w:p>
        </w:tc>
        <w:tc>
          <w:tcPr>
            <w:tcW w:w="280" w:type="dxa"/>
            <w:vAlign w:val="bottom"/>
          </w:tcPr>
          <w:p>
            <w:pPr>
              <w:spacing w:after="0"/>
              <w:rPr>
                <w:sz w:val="24"/>
                <w:szCs w:val="24"/>
                <w:color w:val="auto"/>
              </w:rPr>
            </w:pPr>
          </w:p>
        </w:tc>
      </w:tr>
      <w:tr>
        <w:trPr>
          <w:trHeight w:val="527"/>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Miscellaneous</w:t>
            </w:r>
          </w:p>
        </w:tc>
        <w:tc>
          <w:tcPr>
            <w:tcW w:w="280" w:type="dxa"/>
            <w:vAlign w:val="bottom"/>
          </w:tcPr>
          <w:p>
            <w:pPr>
              <w:spacing w:after="0"/>
              <w:rPr>
                <w:sz w:val="24"/>
                <w:szCs w:val="24"/>
                <w:color w:val="auto"/>
              </w:rPr>
            </w:pPr>
          </w:p>
        </w:tc>
      </w:tr>
      <w:tr>
        <w:trPr>
          <w:trHeight w:val="447"/>
        </w:trPr>
        <w:tc>
          <w:tcPr>
            <w:tcW w:w="7880" w:type="dxa"/>
            <w:vAlign w:val="bottom"/>
            <w:gridSpan w:val="7"/>
          </w:tcPr>
          <w:p>
            <w:pPr>
              <w:spacing w:after="0"/>
              <w:rPr>
                <w:sz w:val="20"/>
                <w:szCs w:val="20"/>
                <w:color w:val="auto"/>
              </w:rPr>
            </w:pPr>
            <w:r>
              <w:rPr>
                <w:rFonts w:ascii="Times New Roman" w:cs="Times New Roman" w:eastAsia="Times New Roman" w:hAnsi="Times New Roman"/>
                <w:sz w:val="22"/>
                <w:szCs w:val="22"/>
                <w:color w:val="auto"/>
                <w:w w:val="97"/>
              </w:rPr>
              <w:t>SECTION 12.01. Notices.........................................................................................................</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38</w:t>
            </w:r>
          </w:p>
        </w:tc>
      </w:tr>
      <w:tr>
        <w:trPr>
          <w:trHeight w:val="257"/>
        </w:trPr>
        <w:tc>
          <w:tcPr>
            <w:tcW w:w="7880" w:type="dxa"/>
            <w:vAlign w:val="bottom"/>
            <w:gridSpan w:val="7"/>
          </w:tcPr>
          <w:p>
            <w:pPr>
              <w:spacing w:after="0"/>
              <w:rPr>
                <w:sz w:val="20"/>
                <w:szCs w:val="20"/>
                <w:color w:val="auto"/>
              </w:rPr>
            </w:pPr>
            <w:r>
              <w:rPr>
                <w:rFonts w:ascii="Times New Roman" w:cs="Times New Roman" w:eastAsia="Times New Roman" w:hAnsi="Times New Roman"/>
                <w:sz w:val="22"/>
                <w:szCs w:val="22"/>
                <w:color w:val="auto"/>
                <w:w w:val="97"/>
              </w:rPr>
              <w:t>SECTION 12.02. Waivers; Amendment..................................................................................</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38</w:t>
            </w:r>
          </w:p>
        </w:tc>
      </w:tr>
      <w:tr>
        <w:trPr>
          <w:trHeight w:val="257"/>
        </w:trPr>
        <w:tc>
          <w:tcPr>
            <w:tcW w:w="7880" w:type="dxa"/>
            <w:vAlign w:val="bottom"/>
            <w:gridSpan w:val="7"/>
          </w:tcPr>
          <w:p>
            <w:pPr>
              <w:spacing w:after="0"/>
              <w:rPr>
                <w:sz w:val="20"/>
                <w:szCs w:val="20"/>
                <w:color w:val="auto"/>
              </w:rPr>
            </w:pPr>
            <w:r>
              <w:rPr>
                <w:rFonts w:ascii="Times New Roman" w:cs="Times New Roman" w:eastAsia="Times New Roman" w:hAnsi="Times New Roman"/>
                <w:sz w:val="22"/>
                <w:szCs w:val="22"/>
                <w:color w:val="auto"/>
                <w:w w:val="97"/>
              </w:rPr>
              <w:t>SECTION 12.03. Collateral Agent’s Fees and Expenses; Indemnification.............................</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39</w:t>
            </w:r>
          </w:p>
        </w:tc>
      </w:tr>
      <w:tr>
        <w:trPr>
          <w:trHeight w:val="257"/>
        </w:trPr>
        <w:tc>
          <w:tcPr>
            <w:tcW w:w="7880" w:type="dxa"/>
            <w:vAlign w:val="bottom"/>
            <w:gridSpan w:val="7"/>
          </w:tcPr>
          <w:p>
            <w:pPr>
              <w:spacing w:after="0"/>
              <w:rPr>
                <w:sz w:val="20"/>
                <w:szCs w:val="20"/>
                <w:color w:val="auto"/>
              </w:rPr>
            </w:pPr>
            <w:r>
              <w:rPr>
                <w:rFonts w:ascii="Times New Roman" w:cs="Times New Roman" w:eastAsia="Times New Roman" w:hAnsi="Times New Roman"/>
                <w:sz w:val="22"/>
                <w:szCs w:val="22"/>
                <w:color w:val="auto"/>
                <w:w w:val="97"/>
              </w:rPr>
              <w:t>SECTION 12.04. Successors and Assigns................................................................................</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270"/>
        </w:trPr>
        <w:tc>
          <w:tcPr>
            <w:tcW w:w="7880" w:type="dxa"/>
            <w:vAlign w:val="bottom"/>
            <w:gridSpan w:val="7"/>
          </w:tcPr>
          <w:p>
            <w:pPr>
              <w:spacing w:after="0"/>
              <w:rPr>
                <w:sz w:val="20"/>
                <w:szCs w:val="20"/>
                <w:color w:val="auto"/>
              </w:rPr>
            </w:pPr>
            <w:r>
              <w:rPr>
                <w:rFonts w:ascii="Times New Roman" w:cs="Times New Roman" w:eastAsia="Times New Roman" w:hAnsi="Times New Roman"/>
                <w:sz w:val="22"/>
                <w:szCs w:val="22"/>
                <w:color w:val="auto"/>
                <w:w w:val="97"/>
              </w:rPr>
              <w:t>SECTION 12.05. Survival of Agreement.................................................................................</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257"/>
        </w:trPr>
        <w:tc>
          <w:tcPr>
            <w:tcW w:w="7880" w:type="dxa"/>
            <w:vAlign w:val="bottom"/>
            <w:gridSpan w:val="7"/>
          </w:tcPr>
          <w:p>
            <w:pPr>
              <w:spacing w:after="0"/>
              <w:rPr>
                <w:sz w:val="20"/>
                <w:szCs w:val="20"/>
                <w:color w:val="auto"/>
              </w:rPr>
            </w:pPr>
            <w:r>
              <w:rPr>
                <w:rFonts w:ascii="Times New Roman" w:cs="Times New Roman" w:eastAsia="Times New Roman" w:hAnsi="Times New Roman"/>
                <w:sz w:val="22"/>
                <w:szCs w:val="22"/>
                <w:color w:val="auto"/>
                <w:w w:val="97"/>
              </w:rPr>
              <w:t>SECTION 12.06. Counterparts; Effectiveness; Several Agreement........................................</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40</w:t>
            </w:r>
          </w:p>
        </w:tc>
      </w:tr>
      <w:tr>
        <w:trPr>
          <w:trHeight w:val="256"/>
        </w:trPr>
        <w:tc>
          <w:tcPr>
            <w:tcW w:w="7880" w:type="dxa"/>
            <w:vAlign w:val="bottom"/>
            <w:gridSpan w:val="7"/>
          </w:tcPr>
          <w:p>
            <w:pPr>
              <w:spacing w:after="0"/>
              <w:rPr>
                <w:sz w:val="20"/>
                <w:szCs w:val="20"/>
                <w:color w:val="auto"/>
              </w:rPr>
            </w:pPr>
            <w:r>
              <w:rPr>
                <w:rFonts w:ascii="Times New Roman" w:cs="Times New Roman" w:eastAsia="Times New Roman" w:hAnsi="Times New Roman"/>
                <w:sz w:val="22"/>
                <w:szCs w:val="22"/>
                <w:color w:val="auto"/>
                <w:w w:val="97"/>
              </w:rPr>
              <w:t>SECTION 12.07. Severability..................................................................................................</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40</w:t>
            </w:r>
          </w:p>
        </w:tc>
      </w:tr>
      <w:tr>
        <w:trPr>
          <w:trHeight w:val="257"/>
        </w:trPr>
        <w:tc>
          <w:tcPr>
            <w:tcW w:w="7880" w:type="dxa"/>
            <w:vAlign w:val="bottom"/>
            <w:gridSpan w:val="7"/>
          </w:tcPr>
          <w:p>
            <w:pPr>
              <w:spacing w:after="0"/>
              <w:rPr>
                <w:sz w:val="20"/>
                <w:szCs w:val="20"/>
                <w:color w:val="auto"/>
              </w:rPr>
            </w:pPr>
            <w:r>
              <w:rPr>
                <w:rFonts w:ascii="Times New Roman" w:cs="Times New Roman" w:eastAsia="Times New Roman" w:hAnsi="Times New Roman"/>
                <w:sz w:val="22"/>
                <w:szCs w:val="22"/>
                <w:color w:val="auto"/>
                <w:w w:val="97"/>
              </w:rPr>
              <w:t>SECTION 12.08. Right of Set-Off...........................................................................................</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40</w:t>
            </w:r>
          </w:p>
        </w:tc>
      </w:tr>
      <w:tr>
        <w:trPr>
          <w:trHeight w:val="257"/>
        </w:trPr>
        <w:tc>
          <w:tcPr>
            <w:tcW w:w="7880" w:type="dxa"/>
            <w:vAlign w:val="bottom"/>
            <w:gridSpan w:val="7"/>
          </w:tcPr>
          <w:p>
            <w:pPr>
              <w:spacing w:after="0"/>
              <w:rPr>
                <w:sz w:val="20"/>
                <w:szCs w:val="20"/>
                <w:color w:val="auto"/>
              </w:rPr>
            </w:pPr>
            <w:r>
              <w:rPr>
                <w:rFonts w:ascii="Times New Roman" w:cs="Times New Roman" w:eastAsia="Times New Roman" w:hAnsi="Times New Roman"/>
                <w:sz w:val="22"/>
                <w:szCs w:val="22"/>
                <w:color w:val="auto"/>
                <w:w w:val="97"/>
              </w:rPr>
              <w:t>SECTION 12.09. Governing Law; Jurisdiction; Consent to Service of Process......................</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270"/>
        </w:trPr>
        <w:tc>
          <w:tcPr>
            <w:tcW w:w="7880" w:type="dxa"/>
            <w:vAlign w:val="bottom"/>
            <w:gridSpan w:val="7"/>
          </w:tcPr>
          <w:p>
            <w:pPr>
              <w:spacing w:after="0"/>
              <w:rPr>
                <w:sz w:val="20"/>
                <w:szCs w:val="20"/>
                <w:color w:val="auto"/>
              </w:rPr>
            </w:pPr>
            <w:r>
              <w:rPr>
                <w:rFonts w:ascii="Times New Roman" w:cs="Times New Roman" w:eastAsia="Times New Roman" w:hAnsi="Times New Roman"/>
                <w:sz w:val="22"/>
                <w:szCs w:val="22"/>
                <w:color w:val="auto"/>
                <w:w w:val="97"/>
              </w:rPr>
              <w:t>SECTION 12.10. WAIVER OF JURY TRIAL........................................................................</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41</w:t>
            </w:r>
          </w:p>
        </w:tc>
      </w:tr>
      <w:tr>
        <w:trPr>
          <w:trHeight w:val="257"/>
        </w:trPr>
        <w:tc>
          <w:tcPr>
            <w:tcW w:w="7880" w:type="dxa"/>
            <w:vAlign w:val="bottom"/>
            <w:gridSpan w:val="7"/>
          </w:tcPr>
          <w:p>
            <w:pPr>
              <w:spacing w:after="0"/>
              <w:rPr>
                <w:sz w:val="20"/>
                <w:szCs w:val="20"/>
                <w:color w:val="auto"/>
              </w:rPr>
            </w:pPr>
            <w:r>
              <w:rPr>
                <w:rFonts w:ascii="Times New Roman" w:cs="Times New Roman" w:eastAsia="Times New Roman" w:hAnsi="Times New Roman"/>
                <w:sz w:val="22"/>
                <w:szCs w:val="22"/>
                <w:color w:val="auto"/>
                <w:w w:val="97"/>
              </w:rPr>
              <w:t>SECTION 12.11. Headings......................................................................................................</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42</w:t>
            </w:r>
          </w:p>
        </w:tc>
      </w:tr>
      <w:tr>
        <w:trPr>
          <w:trHeight w:val="256"/>
        </w:trPr>
        <w:tc>
          <w:tcPr>
            <w:tcW w:w="7880" w:type="dxa"/>
            <w:vAlign w:val="bottom"/>
            <w:gridSpan w:val="7"/>
          </w:tcPr>
          <w:p>
            <w:pPr>
              <w:spacing w:after="0"/>
              <w:rPr>
                <w:sz w:val="20"/>
                <w:szCs w:val="20"/>
                <w:color w:val="auto"/>
              </w:rPr>
            </w:pPr>
            <w:r>
              <w:rPr>
                <w:rFonts w:ascii="Times New Roman" w:cs="Times New Roman" w:eastAsia="Times New Roman" w:hAnsi="Times New Roman"/>
                <w:sz w:val="22"/>
                <w:szCs w:val="22"/>
                <w:color w:val="auto"/>
                <w:w w:val="97"/>
              </w:rPr>
              <w:t>SECTION 12.12. Security Interest Absolute............................................................................</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r>
      <w:tr>
        <w:trPr>
          <w:trHeight w:val="257"/>
        </w:trPr>
        <w:tc>
          <w:tcPr>
            <w:tcW w:w="7880" w:type="dxa"/>
            <w:vAlign w:val="bottom"/>
            <w:gridSpan w:val="7"/>
          </w:tcPr>
          <w:p>
            <w:pPr>
              <w:spacing w:after="0"/>
              <w:rPr>
                <w:sz w:val="20"/>
                <w:szCs w:val="20"/>
                <w:color w:val="auto"/>
              </w:rPr>
            </w:pPr>
            <w:r>
              <w:rPr>
                <w:rFonts w:ascii="Times New Roman" w:cs="Times New Roman" w:eastAsia="Times New Roman" w:hAnsi="Times New Roman"/>
                <w:sz w:val="22"/>
                <w:szCs w:val="22"/>
                <w:color w:val="auto"/>
                <w:w w:val="97"/>
              </w:rPr>
              <w:t>SECTION 12.13. Termination or Release................................................................................</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42</w:t>
            </w:r>
          </w:p>
        </w:tc>
      </w:tr>
      <w:tr>
        <w:trPr>
          <w:trHeight w:val="257"/>
        </w:trPr>
        <w:tc>
          <w:tcPr>
            <w:tcW w:w="7880" w:type="dxa"/>
            <w:vAlign w:val="bottom"/>
            <w:gridSpan w:val="7"/>
          </w:tcPr>
          <w:p>
            <w:pPr>
              <w:spacing w:after="0"/>
              <w:rPr>
                <w:sz w:val="20"/>
                <w:szCs w:val="20"/>
                <w:color w:val="auto"/>
              </w:rPr>
            </w:pPr>
            <w:r>
              <w:rPr>
                <w:rFonts w:ascii="Times New Roman" w:cs="Times New Roman" w:eastAsia="Times New Roman" w:hAnsi="Times New Roman"/>
                <w:sz w:val="22"/>
                <w:szCs w:val="22"/>
                <w:color w:val="auto"/>
                <w:w w:val="97"/>
              </w:rPr>
              <w:t>SECTION 12.14. Additional Grantors and Guarantors............................................................</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270"/>
        </w:trPr>
        <w:tc>
          <w:tcPr>
            <w:tcW w:w="7880" w:type="dxa"/>
            <w:vAlign w:val="bottom"/>
            <w:gridSpan w:val="7"/>
          </w:tcPr>
          <w:p>
            <w:pPr>
              <w:spacing w:after="0"/>
              <w:rPr>
                <w:sz w:val="20"/>
                <w:szCs w:val="20"/>
                <w:color w:val="auto"/>
              </w:rPr>
            </w:pPr>
            <w:r>
              <w:rPr>
                <w:rFonts w:ascii="Times New Roman" w:cs="Times New Roman" w:eastAsia="Times New Roman" w:hAnsi="Times New Roman"/>
                <w:sz w:val="22"/>
                <w:szCs w:val="22"/>
                <w:color w:val="auto"/>
                <w:w w:val="97"/>
              </w:rPr>
              <w:t>SECTION 12.15. Collateral Agent Appointed Attorney-in-Fact.............................................</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44</w:t>
            </w:r>
          </w:p>
        </w:tc>
      </w:tr>
      <w:tr>
        <w:trPr>
          <w:trHeight w:val="256"/>
        </w:trPr>
        <w:tc>
          <w:tcPr>
            <w:tcW w:w="7880" w:type="dxa"/>
            <w:vAlign w:val="bottom"/>
            <w:gridSpan w:val="7"/>
          </w:tcPr>
          <w:p>
            <w:pPr>
              <w:spacing w:after="0"/>
              <w:rPr>
                <w:sz w:val="20"/>
                <w:szCs w:val="20"/>
                <w:color w:val="auto"/>
              </w:rPr>
            </w:pPr>
            <w:r>
              <w:rPr>
                <w:rFonts w:ascii="Times New Roman" w:cs="Times New Roman" w:eastAsia="Times New Roman" w:hAnsi="Times New Roman"/>
                <w:sz w:val="22"/>
                <w:szCs w:val="22"/>
                <w:color w:val="auto"/>
                <w:w w:val="97"/>
              </w:rPr>
              <w:t>SECTION 12.16. Excluded Swap Obligations.........................................................................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230"/>
        </w:trPr>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500" w:type="dxa"/>
            <w:vAlign w:val="bottom"/>
            <w:gridSpan w:val="2"/>
          </w:tcPr>
          <w:p>
            <w:pPr>
              <w:spacing w:after="0" w:line="230" w:lineRule="exact"/>
              <w:rPr>
                <w:sz w:val="20"/>
                <w:szCs w:val="20"/>
                <w:color w:val="auto"/>
              </w:rPr>
            </w:pPr>
            <w:r>
              <w:rPr>
                <w:rFonts w:ascii="Times New Roman" w:cs="Times New Roman" w:eastAsia="Times New Roman" w:hAnsi="Times New Roman"/>
                <w:sz w:val="22"/>
                <w:szCs w:val="22"/>
                <w:color w:val="auto"/>
              </w:rPr>
              <w:t>SCHEDULES:</w:t>
            </w:r>
          </w:p>
        </w:tc>
        <w:tc>
          <w:tcPr>
            <w:tcW w:w="280" w:type="dxa"/>
            <w:vAlign w:val="bottom"/>
          </w:tcPr>
          <w:p>
            <w:pPr>
              <w:spacing w:after="0"/>
              <w:rPr>
                <w:sz w:val="19"/>
                <w:szCs w:val="19"/>
                <w:color w:val="auto"/>
              </w:rPr>
            </w:pPr>
          </w:p>
        </w:tc>
      </w:tr>
      <w:tr>
        <w:trPr>
          <w:trHeight w:val="479"/>
        </w:trPr>
        <w:tc>
          <w:tcPr>
            <w:tcW w:w="11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Schedule I</w:t>
            </w:r>
          </w:p>
        </w:tc>
        <w:tc>
          <w:tcPr>
            <w:tcW w:w="32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81"/>
              </w:rPr>
              <w:t>--</w:t>
            </w:r>
          </w:p>
        </w:tc>
        <w:tc>
          <w:tcPr>
            <w:tcW w:w="9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Aircraft</w:t>
            </w:r>
          </w:p>
        </w:tc>
        <w:tc>
          <w:tcPr>
            <w:tcW w:w="1300" w:type="dxa"/>
            <w:vAlign w:val="bottom"/>
            <w:tcBorders>
              <w:top w:val="single" w:sz="8" w:color="auto"/>
            </w:tcBorders>
          </w:tcPr>
          <w:p>
            <w:pPr>
              <w:spacing w:after="0"/>
              <w:rPr>
                <w:sz w:val="24"/>
                <w:szCs w:val="24"/>
                <w:color w:val="auto"/>
              </w:rPr>
            </w:pPr>
          </w:p>
        </w:tc>
        <w:tc>
          <w:tcPr>
            <w:tcW w:w="42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82"/>
        </w:trPr>
        <w:tc>
          <w:tcPr>
            <w:tcW w:w="11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Schedule II</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64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Foreign Pledge Agreements</w:t>
            </w:r>
          </w:p>
        </w:tc>
        <w:tc>
          <w:tcPr>
            <w:tcW w:w="280" w:type="dxa"/>
            <w:vAlign w:val="bottom"/>
          </w:tcPr>
          <w:p>
            <w:pPr>
              <w:spacing w:after="0"/>
              <w:rPr>
                <w:sz w:val="24"/>
                <w:szCs w:val="24"/>
                <w:color w:val="auto"/>
              </w:rPr>
            </w:pPr>
          </w:p>
        </w:tc>
      </w:tr>
      <w:tr>
        <w:trPr>
          <w:trHeight w:val="378"/>
        </w:trPr>
        <w:tc>
          <w:tcPr>
            <w:tcW w:w="11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Schedule III</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64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Mortgages</w:t>
            </w:r>
          </w:p>
        </w:tc>
        <w:tc>
          <w:tcPr>
            <w:tcW w:w="280" w:type="dxa"/>
            <w:vAlign w:val="bottom"/>
          </w:tcPr>
          <w:p>
            <w:pPr>
              <w:spacing w:after="0"/>
              <w:rPr>
                <w:sz w:val="24"/>
                <w:szCs w:val="24"/>
                <w:color w:val="auto"/>
              </w:rPr>
            </w:pPr>
          </w:p>
        </w:tc>
      </w:tr>
      <w:tr>
        <w:trPr>
          <w:trHeight w:val="380"/>
        </w:trPr>
        <w:tc>
          <w:tcPr>
            <w:tcW w:w="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EXHIBITS:</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7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64"/>
        </w:trPr>
        <w:tc>
          <w:tcPr>
            <w:tcW w:w="11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Exhibit I  --</w:t>
            </w:r>
          </w:p>
        </w:tc>
        <w:tc>
          <w:tcPr>
            <w:tcW w:w="674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Form of Perfection Certificate</w:t>
            </w:r>
          </w:p>
        </w:tc>
        <w:tc>
          <w:tcPr>
            <w:tcW w:w="2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[[6773428]]</w:t>
      </w:r>
    </w:p>
    <w:p>
      <w:pPr>
        <w:sectPr>
          <w:pgSz w:w="11900" w:h="16838" w:orient="portrait"/>
          <w:cols w:equalWidth="0" w:num="1">
            <w:col w:w="10139"/>
          </w:cols>
          <w:pgMar w:left="320" w:top="1440" w:right="1440" w:bottom="1440" w:gutter="0" w:footer="0" w:header="0"/>
        </w:sectPr>
      </w:pPr>
    </w:p>
    <w:bookmarkStart w:id="420" w:name="page421"/>
    <w:bookmarkEnd w:id="420"/>
    <w:p>
      <w:pPr>
        <w:jc w:val="both"/>
        <w:ind w:left="1960" w:firstLine="648"/>
        <w:spacing w:after="0" w:line="251" w:lineRule="auto"/>
        <w:rPr>
          <w:sz w:val="20"/>
          <w:szCs w:val="20"/>
          <w:color w:val="auto"/>
        </w:rPr>
      </w:pPr>
      <w:r>
        <w:rPr>
          <w:rFonts w:ascii="Times New Roman" w:cs="Times New Roman" w:eastAsia="Times New Roman" w:hAnsi="Times New Roman"/>
          <w:sz w:val="22"/>
          <w:szCs w:val="22"/>
          <w:color w:val="auto"/>
        </w:rPr>
        <w:t>FIRST LIEN GUARANTEE AND COLLATERAL AGREEMENT dated as of April 8, 2005, as amended and restated as of April 7, 2016, as further amended and restated as of April 9, 2020, as further amended and restated as of June 7, 2021, and as further amended and restated as of May 19, 2025 (this “</w:t>
      </w:r>
      <w:r>
        <w:rPr>
          <w:rFonts w:ascii="Times New Roman" w:cs="Times New Roman" w:eastAsia="Times New Roman" w:hAnsi="Times New Roman"/>
          <w:sz w:val="22"/>
          <w:szCs w:val="22"/>
          <w:i w:val="1"/>
          <w:iCs w:val="1"/>
          <w:color w:val="auto"/>
        </w:rPr>
        <w:t>Agreement</w:t>
      </w:r>
      <w:r>
        <w:rPr>
          <w:rFonts w:ascii="Times New Roman" w:cs="Times New Roman" w:eastAsia="Times New Roman" w:hAnsi="Times New Roman"/>
          <w:sz w:val="22"/>
          <w:szCs w:val="22"/>
          <w:color w:val="auto"/>
        </w:rPr>
        <w:t xml:space="preserve">”), among THE GOODYEAR TIRE &amp; RUBBER COMPANY (the </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xml:space="preserve"> the Subsidiaries of the Company identified herein and JPMORGAN CHASE BANK, N.A., as collateral agent (the </w:t>
      </w:r>
      <w:r>
        <w:rPr>
          <w:rFonts w:ascii="Times New Roman" w:cs="Times New Roman" w:eastAsia="Times New Roman" w:hAnsi="Times New Roman"/>
          <w:sz w:val="22"/>
          <w:szCs w:val="22"/>
          <w:i w:val="1"/>
          <w:iCs w:val="1"/>
          <w:color w:val="auto"/>
        </w:rPr>
        <w:t>“Collateral Agent”).</w:t>
      </w:r>
    </w:p>
    <w:p>
      <w:pPr>
        <w:spacing w:after="0" w:line="397" w:lineRule="exact"/>
        <w:rPr>
          <w:sz w:val="20"/>
          <w:szCs w:val="20"/>
          <w:color w:val="auto"/>
        </w:rPr>
      </w:pPr>
    </w:p>
    <w:p>
      <w:pPr>
        <w:jc w:val="both"/>
        <w:ind w:firstLine="1304"/>
        <w:spacing w:after="0" w:line="250" w:lineRule="auto"/>
        <w:tabs>
          <w:tab w:leader="none" w:pos="1799" w:val="left"/>
        </w:tabs>
        <w:numPr>
          <w:ilvl w:val="0"/>
          <w:numId w:val="3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Lenders (such term and each other capitalized term used and not otherwise defined herein having the meaning assigned to it in Article I) have agreed to extend credit to the Company on the terms and subject to the conditions set forth in the Credit Agreement. The obligations of the Lenders to extend such credit are conditioned upon the execution and delivery of this Agreement by the Company, the Subsidiary Grantors and the Subsidiary Guarantors. The Subsidiary Grantors and Subsidiary Guarantors are subsidiaries of the Company, have derived and will derive substantial benefits from the extension of credit to the Company pursuant to the Credit Agreement and are willing to execute and deliver this Agreement in order to induce the Lenders to continue to extend such credit.</w:t>
      </w:r>
    </w:p>
    <w:p>
      <w:pPr>
        <w:spacing w:after="0" w:line="180" w:lineRule="exact"/>
        <w:rPr>
          <w:rFonts w:ascii="Times New Roman" w:cs="Times New Roman" w:eastAsia="Times New Roman" w:hAnsi="Times New Roman"/>
          <w:sz w:val="22"/>
          <w:szCs w:val="22"/>
          <w:color w:val="auto"/>
        </w:rPr>
      </w:pPr>
    </w:p>
    <w:p>
      <w:pPr>
        <w:jc w:val="both"/>
        <w:ind w:firstLine="1304"/>
        <w:spacing w:after="0" w:line="266" w:lineRule="auto"/>
        <w:tabs>
          <w:tab w:leader="none" w:pos="1794" w:val="left"/>
        </w:tabs>
        <w:numPr>
          <w:ilvl w:val="0"/>
          <w:numId w:val="3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Obligations have been designated as “Designated Senior Obligations” or otherwise constitute “Senior Obligations” under the Lien Subordination and Intercreditor Agreement, and the Liens securing the Obligations are accordingly senior to the Liens securing the Junior Obligations (as defined in the Lien Subordination and Intercreditor Agreement) on the terms set forth in the Lien Subordination and Intercreditor Agreement. The Obligations also constitute “First Lien Obligations” under the Lenders Lien Subordination and Intercreditor Agreement, and the Liens securing the Obligations are accordingly senior to the Liens securing the Second Lien Obligations (as defined in the Lenders Lien Subordination and Intercreditor Agreement) on the terms set forth in the Lenders Lien Subordination and Intercreditor Agreement.</w:t>
      </w:r>
    </w:p>
    <w:p>
      <w:pPr>
        <w:spacing w:after="0" w:line="1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Accordingly, the parties hereto agree as follows:</w:t>
      </w:r>
    </w:p>
    <w:p>
      <w:pPr>
        <w:spacing w:after="0" w:line="200" w:lineRule="exact"/>
        <w:rPr>
          <w:sz w:val="20"/>
          <w:szCs w:val="20"/>
          <w:color w:val="auto"/>
        </w:rPr>
      </w:pPr>
    </w:p>
    <w:p>
      <w:pPr>
        <w:spacing w:after="0" w:line="23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SECTION 9.</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Definitions</w:t>
      </w:r>
    </w:p>
    <w:p>
      <w:pPr>
        <w:spacing w:after="0" w:line="220" w:lineRule="exact"/>
        <w:rPr>
          <w:sz w:val="20"/>
          <w:szCs w:val="20"/>
          <w:color w:val="auto"/>
        </w:rPr>
      </w:pPr>
    </w:p>
    <w:p>
      <w:pPr>
        <w:jc w:val="both"/>
        <w:ind w:firstLine="8"/>
        <w:spacing w:after="0" w:line="265" w:lineRule="auto"/>
        <w:tabs>
          <w:tab w:leader="none" w:pos="294" w:val="left"/>
        </w:tabs>
        <w:numPr>
          <w:ilvl w:val="0"/>
          <w:numId w:val="3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Certain Defined Terms. </w:t>
      </w:r>
      <w:r>
        <w:rPr>
          <w:rFonts w:ascii="Times New Roman" w:cs="Times New Roman" w:eastAsia="Times New Roman" w:hAnsi="Times New Roman"/>
          <w:sz w:val="22"/>
          <w:szCs w:val="22"/>
          <w:color w:val="auto"/>
        </w:rPr>
        <w:t>(i)All terms (whether or not capitalized herein) defined in the New York UCC and not defined in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Agreement have the meanings specified therein; the term “instrument” shall have the meaning specified in Article 9 of the New York UCC.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[[6773428]]</w:t>
      </w:r>
    </w:p>
    <w:p>
      <w:pPr>
        <w:sectPr>
          <w:pgSz w:w="11900" w:h="16838" w:orient="portrait"/>
          <w:cols w:equalWidth="0" w:num="1">
            <w:col w:w="11240"/>
          </w:cols>
          <w:pgMar w:left="320" w:top="1421" w:right="339" w:bottom="1440" w:gutter="0" w:footer="0" w:header="0"/>
        </w:sectPr>
      </w:pPr>
    </w:p>
    <w:bookmarkStart w:id="421" w:name="page422"/>
    <w:bookmarkEnd w:id="421"/>
    <w:p>
      <w:pPr>
        <w:jc w:val="both"/>
        <w:ind w:firstLine="1304"/>
        <w:spacing w:after="0" w:line="251" w:lineRule="auto"/>
        <w:tabs>
          <w:tab w:leader="none" w:pos="1614" w:val="left"/>
        </w:tabs>
        <w:numPr>
          <w:ilvl w:val="0"/>
          <w:numId w:val="3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terms defined in the Credit Agreement and not defined in this Agreement, including, without limitation, the terms “Administrative Agent”, “Borrower”, “Commitment”, “Consent Subsidiary”, “Credit Documents”, “Event of Default”, “Foreign Pledge Agreement”, “Issuing Bank”, “Majority Lenders”, “Material Intellectual Property”, “Mortgaged Property”, “Mortgage”, “Second Lien Agreement” and “Second Lien Guarantee and Collateral Agreement” have the meanings specified therein. All references herein to the “date hereof”, or the “date of this Agreement” are references to April 8, 2005. The rules of construction specified in Section 1.04 of the Credit Agreement shall also apply to this Agreement.</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As used in this Agreement, the following terms have the meanings specified below:</w:t>
      </w:r>
    </w:p>
    <w:p>
      <w:pPr>
        <w:spacing w:after="0" w:line="216"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2"/>
          <w:szCs w:val="22"/>
          <w:i w:val="1"/>
          <w:iCs w:val="1"/>
          <w:color w:val="auto"/>
        </w:rPr>
        <w:t xml:space="preserve">“Account Control Agreement” </w:t>
      </w:r>
      <w:r>
        <w:rPr>
          <w:rFonts w:ascii="Times New Roman" w:cs="Times New Roman" w:eastAsia="Times New Roman" w:hAnsi="Times New Roman"/>
          <w:sz w:val="22"/>
          <w:szCs w:val="22"/>
          <w:color w:val="auto"/>
        </w:rPr>
        <w:t>means an account control agreement in a form approved by the Collateral Agent,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among a Grantor, the Collateral Agent and a Deposit Account Institution.</w:t>
      </w:r>
    </w:p>
    <w:p>
      <w:pPr>
        <w:spacing w:after="0" w:line="137"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“Account Debtor” </w:t>
      </w:r>
      <w:r>
        <w:rPr>
          <w:rFonts w:ascii="Times New Roman" w:cs="Times New Roman" w:eastAsia="Times New Roman" w:hAnsi="Times New Roman"/>
          <w:sz w:val="22"/>
          <w:szCs w:val="22"/>
          <w:color w:val="auto"/>
        </w:rPr>
        <w:t>means any Person who is or who may become obligated to any Grantor under, with respect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on account of an Account.</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i w:val="1"/>
          <w:iCs w:val="1"/>
          <w:color w:val="auto"/>
        </w:rPr>
        <w:t xml:space="preserve">“Additional Subsidiary Agreement” </w:t>
      </w:r>
      <w:r>
        <w:rPr>
          <w:rFonts w:ascii="Times New Roman" w:cs="Times New Roman" w:eastAsia="Times New Roman" w:hAnsi="Times New Roman"/>
          <w:sz w:val="22"/>
          <w:szCs w:val="22"/>
          <w:color w:val="auto"/>
        </w:rPr>
        <w:t>has the meaning assigned to such term in Section 12.14.</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i w:val="1"/>
          <w:iCs w:val="1"/>
          <w:color w:val="auto"/>
        </w:rPr>
        <w:t xml:space="preserve">“Agreement” </w:t>
      </w:r>
      <w:r>
        <w:rPr>
          <w:rFonts w:ascii="Times New Roman" w:cs="Times New Roman" w:eastAsia="Times New Roman" w:hAnsi="Times New Roman"/>
          <w:sz w:val="22"/>
          <w:szCs w:val="22"/>
          <w:color w:val="auto"/>
        </w:rPr>
        <w:t>means this First Lien Guarantee and Collateral Agreement.</w:t>
      </w:r>
    </w:p>
    <w:p>
      <w:pPr>
        <w:spacing w:after="0" w:line="220"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2"/>
          <w:szCs w:val="22"/>
          <w:i w:val="1"/>
          <w:iCs w:val="1"/>
          <w:color w:val="auto"/>
        </w:rPr>
        <w:t xml:space="preserve">“Aircraft” </w:t>
      </w:r>
      <w:r>
        <w:rPr>
          <w:rFonts w:ascii="Times New Roman" w:cs="Times New Roman" w:eastAsia="Times New Roman" w:hAnsi="Times New Roman"/>
          <w:sz w:val="22"/>
          <w:szCs w:val="22"/>
          <w:color w:val="auto"/>
        </w:rPr>
        <w:t>means all airships, airplanes, helicopters and other aircraft owned on the date hereof or hereafter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acquired by any Grantor, including those listed on Schedule I hereto, as updated from time to time pursuant to Section 5.04(c).</w:t>
      </w:r>
    </w:p>
    <w:p>
      <w:pPr>
        <w:spacing w:after="0" w:line="1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i w:val="1"/>
          <w:iCs w:val="1"/>
          <w:color w:val="auto"/>
        </w:rPr>
        <w:t xml:space="preserve">“Aircraft Collateral” </w:t>
      </w:r>
      <w:r>
        <w:rPr>
          <w:rFonts w:ascii="Times New Roman" w:cs="Times New Roman" w:eastAsia="Times New Roman" w:hAnsi="Times New Roman"/>
          <w:sz w:val="22"/>
          <w:szCs w:val="22"/>
          <w:color w:val="auto"/>
        </w:rPr>
        <w:t>means the Aircraft, Aircraft Parts and Aircraft Log Books.</w:t>
      </w:r>
    </w:p>
    <w:p>
      <w:pPr>
        <w:spacing w:after="0" w:line="22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“Aircraft Log Books” </w:t>
      </w:r>
      <w:r>
        <w:rPr>
          <w:rFonts w:ascii="Times New Roman" w:cs="Times New Roman" w:eastAsia="Times New Roman" w:hAnsi="Times New Roman"/>
          <w:sz w:val="22"/>
          <w:szCs w:val="22"/>
          <w:color w:val="auto"/>
        </w:rPr>
        <w:t>means any and all log books, maintenance records, airworthiness certificates, registration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documents and other records and documents relating to the Aircraft or Aircraft Parts.</w:t>
      </w:r>
    </w:p>
    <w:p>
      <w:pPr>
        <w:spacing w:after="0" w:line="14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i w:val="1"/>
          <w:iCs w:val="1"/>
          <w:color w:val="auto"/>
        </w:rPr>
        <w:t xml:space="preserve">“Aircraft Parts” </w:t>
      </w:r>
      <w:r>
        <w:rPr>
          <w:rFonts w:ascii="Times New Roman" w:cs="Times New Roman" w:eastAsia="Times New Roman" w:hAnsi="Times New Roman"/>
          <w:sz w:val="22"/>
          <w:szCs w:val="22"/>
          <w:color w:val="auto"/>
        </w:rPr>
        <w:t>means all engines and propellers (whether or not affixed to any Aircraft) owned by any Grantor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used or intended for use in connection with the Aircraft, and all avionics equipment, radio equipment, navigation equipment, radar equipment and other equipment, appliances, accessories and accessions used or intended for use in connection with the Aircraft.</w:t>
      </w:r>
    </w:p>
    <w:p>
      <w:pPr>
        <w:spacing w:after="0" w:line="168"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i w:val="1"/>
          <w:iCs w:val="1"/>
          <w:color w:val="auto"/>
        </w:rPr>
        <w:t xml:space="preserve">“Applicable Percentage” </w:t>
      </w:r>
      <w:r>
        <w:rPr>
          <w:rFonts w:ascii="Times New Roman" w:cs="Times New Roman" w:eastAsia="Times New Roman" w:hAnsi="Times New Roman"/>
          <w:sz w:val="22"/>
          <w:szCs w:val="22"/>
          <w:color w:val="auto"/>
        </w:rPr>
        <w:t>means, with respect to any Lender at any time, a percentage equal to (a) the aggregate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outstanding principal amount of the Loans, LC Exposures and unused Commitments of such Lender at such time divided by (b)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[[6773428]]</w:t>
      </w:r>
    </w:p>
    <w:p>
      <w:pPr>
        <w:sectPr>
          <w:pgSz w:w="11900" w:h="16838" w:orient="portrait"/>
          <w:cols w:equalWidth="0" w:num="1">
            <w:col w:w="11240"/>
          </w:cols>
          <w:pgMar w:left="320" w:top="1421" w:right="339" w:bottom="1440" w:gutter="0" w:footer="0" w:header="0"/>
        </w:sectPr>
      </w:pPr>
    </w:p>
    <w:bookmarkStart w:id="422" w:name="page423"/>
    <w:bookmarkEnd w:id="422"/>
    <w:p>
      <w:pPr>
        <w:spacing w:after="0"/>
        <w:rPr>
          <w:sz w:val="20"/>
          <w:szCs w:val="20"/>
          <w:color w:val="auto"/>
        </w:rPr>
      </w:pPr>
      <w:r>
        <w:rPr>
          <w:rFonts w:ascii="Times New Roman" w:cs="Times New Roman" w:eastAsia="Times New Roman" w:hAnsi="Times New Roman"/>
          <w:sz w:val="22"/>
          <w:szCs w:val="22"/>
          <w:color w:val="auto"/>
        </w:rPr>
        <w:t>aggregate outstanding principal amount of the Loans, LC Exposures and unused Commitments of all the Lenders at such time.</w:t>
      </w:r>
    </w:p>
    <w:p>
      <w:pPr>
        <w:spacing w:after="0" w:line="216"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i w:val="1"/>
          <w:iCs w:val="1"/>
          <w:color w:val="auto"/>
        </w:rPr>
        <w:t xml:space="preserve">“Article 9 Collateral” </w:t>
      </w:r>
      <w:r>
        <w:rPr>
          <w:rFonts w:ascii="Times New Roman" w:cs="Times New Roman" w:eastAsia="Times New Roman" w:hAnsi="Times New Roman"/>
          <w:sz w:val="22"/>
          <w:szCs w:val="22"/>
          <w:color w:val="auto"/>
        </w:rPr>
        <w:t>means any and all of the following assets and properties now owned or at any time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hereafter acquired by any Grantor or in which such Grantor now has or at any time in the future may acquire any right, title or interest: (a) all Accounts and Payment Intangibles (including without limitation, all Credit Card Accounts Receivable); (b) all Chattel Paper; (c) all Deposit Accounts (and all cash, checks and other negotiable instruments, funds and other evidences of payment held therein); (d) all Inventory; (e) all Documents; (f) all General Intangibles; (g) all Instruments; (h) all Equipment (other than fixtures to real property not constituting Mortgaged Properties); (i) all Investment Property (other than (i) Pledged Equity Interests, (ii) the Equity Interests described in clauses (b), (c) and (d) of the definition of Excluded Equity Interests, and</w:t>
      </w:r>
    </w:p>
    <w:p>
      <w:pPr>
        <w:spacing w:after="0" w:line="2" w:lineRule="exact"/>
        <w:rPr>
          <w:sz w:val="20"/>
          <w:szCs w:val="20"/>
          <w:color w:val="auto"/>
        </w:rPr>
      </w:pPr>
    </w:p>
    <w:p>
      <w:pPr>
        <w:jc w:val="both"/>
        <w:ind w:firstLine="8"/>
        <w:spacing w:after="0" w:line="246" w:lineRule="auto"/>
        <w:tabs>
          <w:tab w:leader="none" w:pos="408" w:val="left"/>
        </w:tabs>
        <w:numPr>
          <w:ilvl w:val="0"/>
          <w:numId w:val="3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Proceeds in respect of Equity Interests described in clauses (i) and (ii)); (j) all Letter-of-Credit rights; (k) all books and records pertaining to any of the foregoing; (l) all Aircraft Collateral; (m) all cash deposited to collateralize Letter of Credit reimbursement obligations pursuant to the Credit Agreement and (n) to the extent not otherwise included, all Proceeds and products of any and all of the foregoing and all collateral security and guarantees given by any Person with respect to any of the foregoing;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notwithstanding any of the foregoing provisions of this definition, the Article 9 Collateral shall not include Consent Assets.</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i w:val="1"/>
          <w:iCs w:val="1"/>
          <w:color w:val="auto"/>
        </w:rPr>
        <w:t xml:space="preserve">“Bankruptcy Code” </w:t>
      </w:r>
      <w:r>
        <w:rPr>
          <w:rFonts w:ascii="Times New Roman" w:cs="Times New Roman" w:eastAsia="Times New Roman" w:hAnsi="Times New Roman"/>
          <w:sz w:val="22"/>
          <w:szCs w:val="22"/>
          <w:color w:val="auto"/>
        </w:rPr>
        <w:t>means Title 11 of the U.S. Code.</w:t>
      </w:r>
    </w:p>
    <w:p>
      <w:pPr>
        <w:spacing w:after="0" w:line="22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21"/>
          <w:szCs w:val="21"/>
          <w:i w:val="1"/>
          <w:iCs w:val="1"/>
          <w:color w:val="auto"/>
        </w:rPr>
        <w:t xml:space="preserve">“Canadian Security Agreements” </w:t>
      </w:r>
      <w:r>
        <w:rPr>
          <w:rFonts w:ascii="Times New Roman" w:cs="Times New Roman" w:eastAsia="Times New Roman" w:hAnsi="Times New Roman"/>
          <w:sz w:val="21"/>
          <w:szCs w:val="21"/>
          <w:color w:val="auto"/>
        </w:rPr>
        <w:t>means the Canadian First Lien Guarantee and Collateral Agreement dated as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date hereof, as amended as of May 22, 2012, as amended and restated as of April 7, 2016, as amended and restated as of April 9, 2020, as amended and restated as of June 7, 2021, and as amended and restated as of May 19, 2025, among Goodyear Canada Inc., the other Canadian Guarantors party thereto and the Collateral Agent, and the Quebec First Lien Hypothec (as defined in the Canadian First Lien Guarantee and Collateral Agreement), in each case as from time to time amended, supplemented or otherwise modified (subject to any restrictions on such amendments, supplements or modifications set forth herein).</w:t>
      </w:r>
    </w:p>
    <w:p>
      <w:pPr>
        <w:spacing w:after="0" w:line="1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i w:val="1"/>
          <w:iCs w:val="1"/>
          <w:color w:val="auto"/>
        </w:rPr>
        <w:t xml:space="preserve">“Claiming Party” </w:t>
      </w:r>
      <w:r>
        <w:rPr>
          <w:rFonts w:ascii="Times New Roman" w:cs="Times New Roman" w:eastAsia="Times New Roman" w:hAnsi="Times New Roman"/>
          <w:sz w:val="22"/>
          <w:szCs w:val="22"/>
          <w:color w:val="auto"/>
        </w:rPr>
        <w:t>has the meaning assigned to such term in Section 8.02.</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i w:val="1"/>
          <w:iCs w:val="1"/>
          <w:color w:val="auto"/>
        </w:rPr>
        <w:t xml:space="preserve">“Collateral” </w:t>
      </w:r>
      <w:r>
        <w:rPr>
          <w:rFonts w:ascii="Times New Roman" w:cs="Times New Roman" w:eastAsia="Times New Roman" w:hAnsi="Times New Roman"/>
          <w:sz w:val="22"/>
          <w:szCs w:val="22"/>
          <w:color w:val="auto"/>
        </w:rPr>
        <w:t>means the Pledged Collateral, the Article 9 Collateral and the Mortgaged Properties.</w:t>
      </w:r>
    </w:p>
    <w:p>
      <w:pPr>
        <w:spacing w:after="0" w:line="220"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2"/>
          <w:szCs w:val="22"/>
          <w:i w:val="1"/>
          <w:iCs w:val="1"/>
          <w:color w:val="auto"/>
        </w:rPr>
        <w:t xml:space="preserve">“Collateral Proceeds Account” </w:t>
      </w:r>
      <w:r>
        <w:rPr>
          <w:rFonts w:ascii="Times New Roman" w:cs="Times New Roman" w:eastAsia="Times New Roman" w:hAnsi="Times New Roman"/>
          <w:sz w:val="22"/>
          <w:szCs w:val="22"/>
          <w:color w:val="auto"/>
        </w:rPr>
        <w:t>means a Deposit Account maintained at JPMorgan Chase Bank, N.A.,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Collateral Agent, for the benefit of the Secured Parties, and any successor account maintained with the Collateral Agent.</w:t>
      </w:r>
    </w:p>
    <w:p>
      <w:pPr>
        <w:spacing w:after="0" w:line="137"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“Company Indentures” </w:t>
      </w:r>
      <w:r>
        <w:rPr>
          <w:rFonts w:ascii="Times New Roman" w:cs="Times New Roman" w:eastAsia="Times New Roman" w:hAnsi="Times New Roman"/>
          <w:sz w:val="22"/>
          <w:szCs w:val="22"/>
          <w:color w:val="auto"/>
        </w:rPr>
        <w:t>means (a) the Indenture dated as of March 15, 1996, between the Company and Wells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Fargo Bank, N.A. (as successor to JPMorgan Chase Bank), as trustee, as supplemented on March 16, 1998, as may be further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[[6773428]]</w:t>
      </w:r>
    </w:p>
    <w:p>
      <w:pPr>
        <w:sectPr>
          <w:pgSz w:w="11900" w:h="16838" w:orient="portrait"/>
          <w:cols w:equalWidth="0" w:num="1">
            <w:col w:w="11240"/>
          </w:cols>
          <w:pgMar w:left="320" w:top="1421" w:right="339" w:bottom="1440" w:gutter="0" w:footer="0" w:header="0"/>
        </w:sectPr>
      </w:pPr>
    </w:p>
    <w:bookmarkStart w:id="423" w:name="page424"/>
    <w:bookmarkEnd w:id="423"/>
    <w:p>
      <w:pPr>
        <w:jc w:val="both"/>
        <w:spacing w:after="0" w:line="250" w:lineRule="auto"/>
        <w:rPr>
          <w:sz w:val="20"/>
          <w:szCs w:val="20"/>
          <w:color w:val="auto"/>
        </w:rPr>
      </w:pPr>
      <w:r>
        <w:rPr>
          <w:rFonts w:ascii="Times New Roman" w:cs="Times New Roman" w:eastAsia="Times New Roman" w:hAnsi="Times New Roman"/>
          <w:sz w:val="22"/>
          <w:szCs w:val="22"/>
          <w:color w:val="auto"/>
        </w:rPr>
        <w:t>supplemented or otherwise modified from time to time, (b) the Indenture dated as of August 13, 2010, among the Company, the subsidiary guarantors thereunder and Wells Fargo Bank, N.A., as trustee, as supplemented by the Sixth Supplemental Indenture thereto dated as of March 7, 2017, as may be further amended, supplemented or otherwise modified from time to time and (c) any other indentures or supplemental indentures entered into by the Company containing similar liens covenants or secured debt covenants that are no more restrictive, in any material respect, to the Company than those contained in the indentures and supplemental indentures referred to in clause (b), in each case as may be amended, supplemented or otherwise modified from time to time.</w:t>
      </w:r>
    </w:p>
    <w:p>
      <w:pPr>
        <w:spacing w:after="0" w:line="176"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i w:val="1"/>
          <w:iCs w:val="1"/>
          <w:color w:val="auto"/>
        </w:rPr>
        <w:t xml:space="preserve">“Consent Asset” </w:t>
      </w:r>
      <w:r>
        <w:rPr>
          <w:rFonts w:ascii="Times New Roman" w:cs="Times New Roman" w:eastAsia="Times New Roman" w:hAnsi="Times New Roman"/>
          <w:sz w:val="22"/>
          <w:szCs w:val="22"/>
          <w:color w:val="auto"/>
        </w:rPr>
        <w:t>means any asset or right of a Grantor the creation of a security interest in which would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prohibited by or not be effective under applicable law or would violate or result in a default under any agreement or instrument in effect on the date hereof (or in the case of any future Grantor on the date it becomes a Grantor) between such Grantor and any Person other than (a) the Company, (b) any Wholly Owned Subsidiary or (c) any Subsidiary that is not a Wholly Owned Subsidiary unless the waiver of such default or violation would require the consent of any Person other than the Company or another Subsidiary;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asset or right shall be a Consent Asset to the extent that Section 9-406, 9-407, 9-408 or 9-409 of the Uniform Commercial Code as in effect in the applicable jurisdiction, or any other law of the applicable jurisdiction, shall permit (and excuse any default or violation resulting from) the creation of a security interest in such asset or right notwithstanding the provision of such agreement or instrument prohibiting the creation of a security interest therein or shall render such provision unenforceable.</w:t>
      </w:r>
    </w:p>
    <w:p>
      <w:pPr>
        <w:spacing w:after="0" w:line="183"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“Control Notice” </w:t>
      </w:r>
      <w:r>
        <w:rPr>
          <w:rFonts w:ascii="Times New Roman" w:cs="Times New Roman" w:eastAsia="Times New Roman" w:hAnsi="Times New Roman"/>
          <w:sz w:val="22"/>
          <w:szCs w:val="22"/>
          <w:color w:val="auto"/>
        </w:rPr>
        <w:t>has the meaning assigned to such term or any similar term (including, without limitation,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“Shifting Control Notice”, “Exclusive Access Notice” and “Activation Notice”) in each Account Control Agreement.</w:t>
      </w:r>
    </w:p>
    <w:p>
      <w:pPr>
        <w:spacing w:after="0" w:line="1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i w:val="1"/>
          <w:iCs w:val="1"/>
          <w:color w:val="auto"/>
        </w:rPr>
        <w:t xml:space="preserve">“Contributing Party” </w:t>
      </w:r>
      <w:r>
        <w:rPr>
          <w:rFonts w:ascii="Times New Roman" w:cs="Times New Roman" w:eastAsia="Times New Roman" w:hAnsi="Times New Roman"/>
          <w:sz w:val="22"/>
          <w:szCs w:val="22"/>
          <w:color w:val="auto"/>
        </w:rPr>
        <w:t>has the meaning assigned to such term in Section 8.02.</w:t>
      </w:r>
    </w:p>
    <w:p>
      <w:pPr>
        <w:spacing w:after="0" w:line="220"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Cooper Indenture</w:t>
      </w:r>
      <w:r>
        <w:rPr>
          <w:rFonts w:ascii="Times New Roman" w:cs="Times New Roman" w:eastAsia="Times New Roman" w:hAnsi="Times New Roman"/>
          <w:sz w:val="22"/>
          <w:szCs w:val="22"/>
          <w:color w:val="auto"/>
        </w:rPr>
        <w:t>” means the Indenture dated as of March 17, 1997 between the Company (as successor to Cooper Tire &amp; Rubber Company), and The Bank of New York Mellon (as successor to The Chase Manhattan Bank), as trustee, as may be amended, supplemented or otherwise modified from time to time.</w:t>
      </w:r>
    </w:p>
    <w:p>
      <w:pPr>
        <w:spacing w:after="0" w:line="16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i w:val="1"/>
          <w:iCs w:val="1"/>
          <w:color w:val="auto"/>
        </w:rPr>
        <w:t xml:space="preserve">“Copyright License” </w:t>
      </w:r>
      <w:r>
        <w:rPr>
          <w:rFonts w:ascii="Times New Roman" w:cs="Times New Roman" w:eastAsia="Times New Roman" w:hAnsi="Times New Roman"/>
          <w:sz w:val="22"/>
          <w:szCs w:val="22"/>
          <w:color w:val="auto"/>
        </w:rPr>
        <w:t>means any written agreement, now or hereafter in effect, granting any right to any third party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under any copyright now or hereafter owned by any Grantor or that such Grantor otherwise has the right to license, or granting any right to any Grantor under any copyright now or hereafter owned by any third party, and all rights of such Grantor under any such agreement.</w:t>
      </w:r>
    </w:p>
    <w:p>
      <w:pPr>
        <w:spacing w:after="0" w:line="168"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“Copyrights” </w:t>
      </w:r>
      <w:r>
        <w:rPr>
          <w:rFonts w:ascii="Times New Roman" w:cs="Times New Roman" w:eastAsia="Times New Roman" w:hAnsi="Times New Roman"/>
          <w:sz w:val="22"/>
          <w:szCs w:val="22"/>
          <w:color w:val="auto"/>
        </w:rPr>
        <w:t>means all of the following now owned or hereafter acquired by any Grantor: (a) all copyright rights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 any work subject to the copyright laws of the United States or any other country, whether as author, assignee, transferee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[[6773428]]</w:t>
      </w:r>
    </w:p>
    <w:p>
      <w:pPr>
        <w:sectPr>
          <w:pgSz w:w="11900" w:h="16838" w:orient="portrait"/>
          <w:cols w:equalWidth="0" w:num="1">
            <w:col w:w="11240"/>
          </w:cols>
          <w:pgMar w:left="320" w:top="1421" w:right="339" w:bottom="1440" w:gutter="0" w:footer="0" w:header="0"/>
        </w:sectPr>
      </w:pPr>
    </w:p>
    <w:bookmarkStart w:id="424" w:name="page425"/>
    <w:bookmarkEnd w:id="424"/>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and (b) all registrations and applications for registration of any such copyright in the United States or any other country, including registrations, recordings, supplemental registrations and pending applications for registration in the United States Copyright Office.</w:t>
      </w:r>
    </w:p>
    <w:p>
      <w:pPr>
        <w:spacing w:after="0" w:line="182"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i w:val="1"/>
          <w:iCs w:val="1"/>
          <w:color w:val="auto"/>
        </w:rPr>
        <w:t xml:space="preserve">“Credit Agreement” </w:t>
      </w:r>
      <w:r>
        <w:rPr>
          <w:rFonts w:ascii="Times New Roman" w:cs="Times New Roman" w:eastAsia="Times New Roman" w:hAnsi="Times New Roman"/>
          <w:sz w:val="22"/>
          <w:szCs w:val="22"/>
          <w:color w:val="auto"/>
        </w:rPr>
        <w:t>means the First Lien Credit Agreement dated as of April 8, 2005, among the Company,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Lenders and Issuing Banks party thereto and JPMorgan Chase Bank, N.A., as Administrative Agent, as amended and restated as of April 20, 2007, as further amended and restated as of April 19, 2012, as further amended and restated as of April 7, 2016, as further amended and restated as of April 9, 2020, as further amended and restated as of June 7, 2021, further amended and restated as of May 19, 2025, and as may be further amended, restated, amended and restated, supplemented or otherwise modified from time to time;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as used in the definition of “</w:t>
      </w:r>
      <w:r>
        <w:rPr>
          <w:rFonts w:ascii="Times New Roman" w:cs="Times New Roman" w:eastAsia="Times New Roman" w:hAnsi="Times New Roman"/>
          <w:sz w:val="22"/>
          <w:szCs w:val="22"/>
          <w:i w:val="1"/>
          <w:iCs w:val="1"/>
          <w:color w:val="auto"/>
        </w:rPr>
        <w:t>Miscellaneous Obligations</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i w:val="1"/>
          <w:iCs w:val="1"/>
          <w:color w:val="auto"/>
        </w:rPr>
        <w:t>Credit Agreement</w:t>
      </w:r>
      <w:r>
        <w:rPr>
          <w:rFonts w:ascii="Times New Roman" w:cs="Times New Roman" w:eastAsia="Times New Roman" w:hAnsi="Times New Roman"/>
          <w:sz w:val="22"/>
          <w:szCs w:val="22"/>
          <w:color w:val="auto"/>
        </w:rPr>
        <w:t>” shall mean the Credit Agreement as in effect at any relevant time on or after April 8, 2005.</w:t>
      </w:r>
    </w:p>
    <w:p>
      <w:pPr>
        <w:spacing w:after="0" w:line="18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“Credit Card Accounts Receivable” </w:t>
      </w:r>
      <w:r>
        <w:rPr>
          <w:rFonts w:ascii="Times New Roman" w:cs="Times New Roman" w:eastAsia="Times New Roman" w:hAnsi="Times New Roman"/>
          <w:sz w:val="22"/>
          <w:szCs w:val="22"/>
          <w:color w:val="auto"/>
        </w:rPr>
        <w:t>means any receivables due to any Grantor from a credit card issuer or a credit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card processor in connection with purchases of Inventory from such Grantor by means of any credit card or debit card.</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i w:val="1"/>
          <w:iCs w:val="1"/>
          <w:color w:val="auto"/>
        </w:rPr>
        <w:t xml:space="preserve">“Credit Parties” </w:t>
      </w:r>
      <w:r>
        <w:rPr>
          <w:rFonts w:ascii="Times New Roman" w:cs="Times New Roman" w:eastAsia="Times New Roman" w:hAnsi="Times New Roman"/>
          <w:sz w:val="22"/>
          <w:szCs w:val="22"/>
          <w:color w:val="auto"/>
        </w:rPr>
        <w:t>means the Company and each Grantor and Guarantor.</w:t>
      </w:r>
    </w:p>
    <w:p>
      <w:pPr>
        <w:spacing w:after="0" w:line="220"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2"/>
          <w:szCs w:val="22"/>
          <w:i w:val="1"/>
          <w:iCs w:val="1"/>
          <w:color w:val="auto"/>
        </w:rPr>
        <w:t xml:space="preserve">“Deposit Account” </w:t>
      </w:r>
      <w:r>
        <w:rPr>
          <w:rFonts w:ascii="Times New Roman" w:cs="Times New Roman" w:eastAsia="Times New Roman" w:hAnsi="Times New Roman"/>
          <w:sz w:val="22"/>
          <w:szCs w:val="22"/>
          <w:color w:val="auto"/>
        </w:rPr>
        <w:t>means a demand, time, savings, passbook or other account maintained by the Company or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Subsidiary with a bank.</w:t>
      </w:r>
    </w:p>
    <w:p>
      <w:pPr>
        <w:spacing w:after="0" w:line="1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i w:val="1"/>
          <w:iCs w:val="1"/>
          <w:color w:val="auto"/>
        </w:rPr>
        <w:t xml:space="preserve">“Deposit Account Institution” </w:t>
      </w:r>
      <w:r>
        <w:rPr>
          <w:rFonts w:ascii="Times New Roman" w:cs="Times New Roman" w:eastAsia="Times New Roman" w:hAnsi="Times New Roman"/>
          <w:sz w:val="21"/>
          <w:szCs w:val="21"/>
          <w:color w:val="auto"/>
        </w:rPr>
        <w:t>means each financial institution at which a Deposit Account in the Lockbox System</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 maintained.</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Effective Date</w:t>
      </w:r>
      <w:r>
        <w:rPr>
          <w:rFonts w:ascii="Times New Roman" w:cs="Times New Roman" w:eastAsia="Times New Roman" w:hAnsi="Times New Roman"/>
          <w:sz w:val="22"/>
          <w:szCs w:val="22"/>
          <w:color w:val="auto"/>
        </w:rPr>
        <w:t>” means April 8, 2005.</w:t>
      </w:r>
    </w:p>
    <w:p>
      <w:pPr>
        <w:spacing w:after="0" w:line="220"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i w:val="1"/>
          <w:iCs w:val="1"/>
          <w:color w:val="auto"/>
        </w:rPr>
        <w:t xml:space="preserve">“Equity Interests” </w:t>
      </w:r>
      <w:r>
        <w:rPr>
          <w:rFonts w:ascii="Times New Roman" w:cs="Times New Roman" w:eastAsia="Times New Roman" w:hAnsi="Times New Roman"/>
          <w:sz w:val="22"/>
          <w:szCs w:val="22"/>
          <w:color w:val="auto"/>
        </w:rPr>
        <w:t>means shares of capital stock, partnership interests, membership interests in limited liability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companies, beneficial interests in trusts or other equity ownership interests in any Persons, and any warrants, options or other rights entitling the holders thereof to purchase or acquire any such equity interests.</w:t>
      </w:r>
    </w:p>
    <w:p>
      <w:pPr>
        <w:spacing w:after="0" w:line="16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i w:val="1"/>
          <w:iCs w:val="1"/>
          <w:color w:val="auto"/>
        </w:rPr>
        <w:t xml:space="preserve">“Excluded Equity Interests” </w:t>
      </w:r>
      <w:r>
        <w:rPr>
          <w:rFonts w:ascii="Times New Roman" w:cs="Times New Roman" w:eastAsia="Times New Roman" w:hAnsi="Times New Roman"/>
          <w:sz w:val="22"/>
          <w:szCs w:val="22"/>
          <w:color w:val="auto"/>
        </w:rPr>
        <w:t>means (a) Equity Interests in any Subsidiary with Total Assets not greater than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$10,000,000 as of the end of the most recent fiscal quarter for which financial statements have been delivered pursuant to Section 5.01(a) or (b) of the Credit Agreement, (b) Equity Interests in any Consent Subsidiary, (c) Equity Interests in Goodyear Argentina, Goodyear Canada, Goodyear Luxembourg and Goodyear Venezuela, and (d) Equity Interests in any Foreign Subsidiary with respect to which a Financial Officer has delivered a certificate in accordance with clause (B) of the proviso in Section 5.08(b) of the Credit Agreement.</w:t>
      </w:r>
    </w:p>
    <w:p>
      <w:pPr>
        <w:spacing w:after="0" w:line="175"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“Excluded Operating Account” </w:t>
      </w:r>
      <w:r>
        <w:rPr>
          <w:rFonts w:ascii="Times New Roman" w:cs="Times New Roman" w:eastAsia="Times New Roman" w:hAnsi="Times New Roman"/>
          <w:sz w:val="22"/>
          <w:szCs w:val="22"/>
          <w:color w:val="auto"/>
        </w:rPr>
        <w:t>means payroll and other operating accounts of the Company or any other Grantor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that are not used to receive (a)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[[6773428]]</w:t>
      </w:r>
    </w:p>
    <w:p>
      <w:pPr>
        <w:sectPr>
          <w:pgSz w:w="11900" w:h="16838" w:orient="portrait"/>
          <w:cols w:equalWidth="0" w:num="1">
            <w:col w:w="11240"/>
          </w:cols>
          <w:pgMar w:left="320" w:top="1421" w:right="339" w:bottom="1440" w:gutter="0" w:footer="0" w:header="0"/>
        </w:sectPr>
      </w:pPr>
    </w:p>
    <w:bookmarkStart w:id="425" w:name="page426"/>
    <w:bookmarkEnd w:id="425"/>
    <w:p>
      <w:pPr>
        <w:jc w:val="both"/>
        <w:spacing w:after="0" w:line="271" w:lineRule="auto"/>
        <w:rPr>
          <w:sz w:val="20"/>
          <w:szCs w:val="20"/>
          <w:color w:val="auto"/>
        </w:rPr>
      </w:pPr>
      <w:r>
        <w:rPr>
          <w:rFonts w:ascii="Times New Roman" w:cs="Times New Roman" w:eastAsia="Times New Roman" w:hAnsi="Times New Roman"/>
          <w:sz w:val="22"/>
          <w:szCs w:val="22"/>
          <w:color w:val="auto"/>
        </w:rPr>
        <w:t>from any Account Debtor in respect of Accounts or (b) payments in respect of Inventory, and containing only such amounts as are required in the Company’s or such other Grantor’s good faith judgment for near-term operational purposes.</w:t>
      </w:r>
    </w:p>
    <w:p>
      <w:pPr>
        <w:spacing w:after="0" w:line="154"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2"/>
          <w:szCs w:val="22"/>
          <w:i w:val="1"/>
          <w:iCs w:val="1"/>
          <w:color w:val="auto"/>
        </w:rPr>
        <w:t xml:space="preserve">“FAA” </w:t>
      </w:r>
      <w:r>
        <w:rPr>
          <w:rFonts w:ascii="Times New Roman" w:cs="Times New Roman" w:eastAsia="Times New Roman" w:hAnsi="Times New Roman"/>
          <w:sz w:val="22"/>
          <w:szCs w:val="22"/>
          <w:color w:val="auto"/>
        </w:rPr>
        <w:t>means the Federal Aviation Administration or the United States Department of Transportation or both,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context may require, or any successors thereto.</w:t>
      </w:r>
    </w:p>
    <w:p>
      <w:pPr>
        <w:spacing w:after="0" w:line="1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i w:val="1"/>
          <w:iCs w:val="1"/>
          <w:color w:val="auto"/>
        </w:rPr>
        <w:t xml:space="preserve">“Federal Securities Laws” </w:t>
      </w:r>
      <w:r>
        <w:rPr>
          <w:rFonts w:ascii="Times New Roman" w:cs="Times New Roman" w:eastAsia="Times New Roman" w:hAnsi="Times New Roman"/>
          <w:sz w:val="22"/>
          <w:szCs w:val="22"/>
          <w:color w:val="auto"/>
        </w:rPr>
        <w:t>has the meaning assigned to such term in Section 7.05.</w:t>
      </w:r>
    </w:p>
    <w:p>
      <w:pPr>
        <w:spacing w:after="0" w:line="22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“Foreign Subsidiary” </w:t>
      </w:r>
      <w:r>
        <w:rPr>
          <w:rFonts w:ascii="Times New Roman" w:cs="Times New Roman" w:eastAsia="Times New Roman" w:hAnsi="Times New Roman"/>
          <w:sz w:val="22"/>
          <w:szCs w:val="22"/>
          <w:color w:val="auto"/>
        </w:rPr>
        <w:t>means any Subsidiary organized under the laws of a jurisdiction other than the United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States or any of its territories or possessions or any political subdivision thereof.</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GEBV</w:t>
      </w:r>
      <w:r>
        <w:rPr>
          <w:rFonts w:ascii="Times New Roman" w:cs="Times New Roman" w:eastAsia="Times New Roman" w:hAnsi="Times New Roman"/>
          <w:sz w:val="22"/>
          <w:szCs w:val="22"/>
          <w:color w:val="auto"/>
        </w:rPr>
        <w:t>” means Goodyear Europe B.V., a Subsidiary organized in the Netherlands.</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GEBV Subsidiary</w:t>
      </w:r>
      <w:r>
        <w:rPr>
          <w:rFonts w:ascii="Times New Roman" w:cs="Times New Roman" w:eastAsia="Times New Roman" w:hAnsi="Times New Roman"/>
          <w:sz w:val="22"/>
          <w:szCs w:val="22"/>
          <w:color w:val="auto"/>
        </w:rPr>
        <w:t>” means a subsidiary of GEBV.</w:t>
      </w:r>
    </w:p>
    <w:p>
      <w:pPr>
        <w:spacing w:after="0" w:line="22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i w:val="1"/>
          <w:iCs w:val="1"/>
          <w:color w:val="auto"/>
        </w:rPr>
        <w:t xml:space="preserve">“General Intangibles” </w:t>
      </w:r>
      <w:r>
        <w:rPr>
          <w:rFonts w:ascii="Times New Roman" w:cs="Times New Roman" w:eastAsia="Times New Roman" w:hAnsi="Times New Roman"/>
          <w:sz w:val="22"/>
          <w:szCs w:val="22"/>
          <w:color w:val="auto"/>
        </w:rPr>
        <w:t>means, as to any Grantor, all choses in action and causes of action and all other intangible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personal property of every kind and nature (other than Accounts) now owned or hereafter acquired by such Grantor, including to the extent relevant corporate or other business records, indemnification claims, contract rights (including rights under leases, whether entered into as lessor or lessee, Swap Agreements and other agreements), Intellectual Property, goodwill, registrations, franchises, tax refund claims and any letter of credit, guarantee, claim, security interest or other security held by or granted to such Grantor to secure payment by an Account Debtor of any Accounts.</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i w:val="1"/>
          <w:iCs w:val="1"/>
          <w:color w:val="auto"/>
        </w:rPr>
        <w:t xml:space="preserve">“Grantors” </w:t>
      </w:r>
      <w:r>
        <w:rPr>
          <w:rFonts w:ascii="Times New Roman" w:cs="Times New Roman" w:eastAsia="Times New Roman" w:hAnsi="Times New Roman"/>
          <w:sz w:val="22"/>
          <w:szCs w:val="22"/>
          <w:color w:val="auto"/>
        </w:rPr>
        <w:t>means the Company and the Subsidiary Grantors.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i w:val="1"/>
          <w:iCs w:val="1"/>
          <w:color w:val="auto"/>
        </w:rPr>
        <w:t xml:space="preserve">“Guarantors” </w:t>
      </w:r>
      <w:r>
        <w:rPr>
          <w:rFonts w:ascii="Times New Roman" w:cs="Times New Roman" w:eastAsia="Times New Roman" w:hAnsi="Times New Roman"/>
          <w:sz w:val="22"/>
          <w:szCs w:val="22"/>
          <w:color w:val="auto"/>
        </w:rPr>
        <w:t>means the Company and the Subsidiary Guarantors.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i w:val="1"/>
          <w:iCs w:val="1"/>
          <w:color w:val="auto"/>
        </w:rPr>
        <w:t xml:space="preserve">“Indemnified Party” </w:t>
      </w:r>
      <w:r>
        <w:rPr>
          <w:rFonts w:ascii="Times New Roman" w:cs="Times New Roman" w:eastAsia="Times New Roman" w:hAnsi="Times New Roman"/>
          <w:sz w:val="22"/>
          <w:szCs w:val="22"/>
          <w:color w:val="auto"/>
        </w:rPr>
        <w:t>has the meaning assigned to such term in Section 10.04.</w:t>
      </w:r>
    </w:p>
    <w:p>
      <w:pPr>
        <w:spacing w:after="0" w:line="22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21"/>
          <w:szCs w:val="21"/>
          <w:i w:val="1"/>
          <w:iCs w:val="1"/>
          <w:color w:val="auto"/>
        </w:rPr>
        <w:t xml:space="preserve">“Indenture Properties” </w:t>
      </w:r>
      <w:r>
        <w:rPr>
          <w:rFonts w:ascii="Times New Roman" w:cs="Times New Roman" w:eastAsia="Times New Roman" w:hAnsi="Times New Roman"/>
          <w:sz w:val="21"/>
          <w:szCs w:val="21"/>
          <w:color w:val="auto"/>
        </w:rPr>
        <w:t>means, (a) in case of the Company Indentures, (i) each “Restricted Property” (as defined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 the applicable Company Indentures) of the Company and each “Restricted Subsidiary” (as defined in the applicable Company Indentures) and (ii) each “Principal Property” (as defined in the applicable Company Indentures) of the Company and each “Manufacturing Subsidiary” (as defined in the applicable Company Indentures) and Capital Stock (as defined in the applicable Company Indentures) of each “Manufacturing Subsidiary” (as defined in the applicable Company Indentures), and (b) in case of the Cooper Indenture, (i) each “Principal Property” (as defined in the Cooper Indenture) owned or leased by the “Company”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[[6773428]]</w:t>
      </w:r>
    </w:p>
    <w:p>
      <w:pPr>
        <w:sectPr>
          <w:pgSz w:w="11900" w:h="16838" w:orient="portrait"/>
          <w:cols w:equalWidth="0" w:num="1">
            <w:col w:w="11240"/>
          </w:cols>
          <w:pgMar w:left="320" w:top="1421" w:right="339" w:bottom="1440" w:gutter="0" w:footer="0" w:header="0"/>
        </w:sectPr>
      </w:pPr>
    </w:p>
    <w:bookmarkStart w:id="426" w:name="page427"/>
    <w:bookmarkEnd w:id="426"/>
    <w:p>
      <w:pPr>
        <w:jc w:val="both"/>
        <w:spacing w:after="0" w:line="256" w:lineRule="auto"/>
        <w:rPr>
          <w:sz w:val="20"/>
          <w:szCs w:val="20"/>
          <w:color w:val="auto"/>
        </w:rPr>
      </w:pPr>
      <w:r>
        <w:rPr>
          <w:rFonts w:ascii="Times New Roman" w:cs="Times New Roman" w:eastAsia="Times New Roman" w:hAnsi="Times New Roman"/>
          <w:sz w:val="22"/>
          <w:szCs w:val="22"/>
          <w:color w:val="auto"/>
        </w:rPr>
        <w:t>defined in the Cooper Indenture; and which, for the avoidance of doubt, will include the Company (as defined herein) upon its assumption of the Cooper Indenture), (ii) each “Principal Property” (as defined in the Cooper Indenture) owned or leased by a “Restricted Subsidiary” (as defined in the Cooper Indenture) and (iii) shares of stock or “Debt” (as defined in the Cooper Indenture) of each “Restricted Subsidiary” (as defined in the Cooper Indenture).</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Indentures</w:t>
      </w:r>
      <w:r>
        <w:rPr>
          <w:rFonts w:ascii="Times New Roman" w:cs="Times New Roman" w:eastAsia="Times New Roman" w:hAnsi="Times New Roman"/>
          <w:sz w:val="22"/>
          <w:szCs w:val="22"/>
          <w:color w:val="auto"/>
        </w:rPr>
        <w:t>” means, collectively, the Company Indentures and the Cooper Indenture.</w:t>
      </w:r>
    </w:p>
    <w:p>
      <w:pPr>
        <w:spacing w:after="0" w:line="220"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1"/>
          <w:szCs w:val="21"/>
          <w:i w:val="1"/>
          <w:iCs w:val="1"/>
          <w:color w:val="auto"/>
        </w:rPr>
        <w:t xml:space="preserve">“Intellectual Property” </w:t>
      </w:r>
      <w:r>
        <w:rPr>
          <w:rFonts w:ascii="Times New Roman" w:cs="Times New Roman" w:eastAsia="Times New Roman" w:hAnsi="Times New Roman"/>
          <w:sz w:val="21"/>
          <w:szCs w:val="21"/>
          <w:color w:val="auto"/>
        </w:rPr>
        <w:t>means, as to any Grantor, all intellectual and similar property of every kind and nature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now owned or hereafter acquired by such Grantor, including inventions, designs, Patents, Copyrights, Licenses, Trademarks, trade secrets, confidential or proprietary technical and business information, know-how, show-how or other data or information, software and databases and all embodiments or fixations thereof and related documentation, registrations and franchises, and all additions, improvements and accessions to, and books and records describing or used in connection with, any of the foregoing.</w:t>
      </w:r>
    </w:p>
    <w:p>
      <w:pPr>
        <w:spacing w:after="0" w:line="159"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“Intercompany Indebtedness” </w:t>
      </w:r>
      <w:r>
        <w:rPr>
          <w:rFonts w:ascii="Times New Roman" w:cs="Times New Roman" w:eastAsia="Times New Roman" w:hAnsi="Times New Roman"/>
          <w:sz w:val="22"/>
          <w:szCs w:val="22"/>
          <w:color w:val="auto"/>
        </w:rPr>
        <w:t>means any Indebtedness of the Company or any Subsidiary, or any obligations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owed by the Company or any Subsidiary under Article VIII, to the Company or any other Subsidiary.</w:t>
      </w:r>
    </w:p>
    <w:p>
      <w:pPr>
        <w:spacing w:after="0" w:line="149"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“Intercompany Obligor” </w:t>
      </w:r>
      <w:r>
        <w:rPr>
          <w:rFonts w:ascii="Times New Roman" w:cs="Times New Roman" w:eastAsia="Times New Roman" w:hAnsi="Times New Roman"/>
          <w:sz w:val="22"/>
          <w:szCs w:val="22"/>
          <w:color w:val="auto"/>
        </w:rPr>
        <w:t>means, with respect to any Intercompany Indebtedness, the obligor in respect of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Intercompany Indebtedness.</w:t>
      </w:r>
    </w:p>
    <w:p>
      <w:pPr>
        <w:spacing w:after="0" w:line="1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JPMCB</w:t>
      </w:r>
      <w:r>
        <w:rPr>
          <w:rFonts w:ascii="Times New Roman" w:cs="Times New Roman" w:eastAsia="Times New Roman" w:hAnsi="Times New Roman"/>
          <w:sz w:val="22"/>
          <w:szCs w:val="22"/>
          <w:color w:val="auto"/>
        </w:rPr>
        <w:t>” means JPMorgan Chase Bank, N.A. and its successors.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i w:val="1"/>
          <w:iCs w:val="1"/>
          <w:color w:val="auto"/>
        </w:rPr>
        <w:t xml:space="preserve">“Lenders” </w:t>
      </w:r>
      <w:r>
        <w:rPr>
          <w:rFonts w:ascii="Times New Roman" w:cs="Times New Roman" w:eastAsia="Times New Roman" w:hAnsi="Times New Roman"/>
          <w:sz w:val="22"/>
          <w:szCs w:val="22"/>
          <w:color w:val="auto"/>
        </w:rPr>
        <w:t>means, collectively, the “Lenders” under and as defined in the Credit Agreement.</w:t>
      </w:r>
    </w:p>
    <w:p>
      <w:pPr>
        <w:spacing w:after="0" w:line="22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i w:val="1"/>
          <w:iCs w:val="1"/>
          <w:color w:val="auto"/>
        </w:rPr>
        <w:t xml:space="preserve">“Lenders Lien Subordination and Intercreditor Agreement” </w:t>
      </w:r>
      <w:r>
        <w:rPr>
          <w:rFonts w:ascii="Times New Roman" w:cs="Times New Roman" w:eastAsia="Times New Roman" w:hAnsi="Times New Roman"/>
          <w:sz w:val="22"/>
          <w:szCs w:val="22"/>
          <w:color w:val="auto"/>
        </w:rPr>
        <w:t>means the Amended and Restated Lenders Lien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Subordination and Intercreditor Agreement among the Collateral Agent, the collateral agent under the Second Lien Agreement, the Borrower and the Subsidiary Guarantors (each as defined therein), dated as of April 19, 2012, as from time to time amended, supplemented or otherwise modified (subject to any restrictions on such amendments, supplements or modifications set forth herein).</w:t>
      </w:r>
    </w:p>
    <w:p>
      <w:pPr>
        <w:spacing w:after="0" w:line="173"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“License” </w:t>
      </w:r>
      <w:r>
        <w:rPr>
          <w:rFonts w:ascii="Times New Roman" w:cs="Times New Roman" w:eastAsia="Times New Roman" w:hAnsi="Times New Roman"/>
          <w:sz w:val="22"/>
          <w:szCs w:val="22"/>
          <w:color w:val="auto"/>
        </w:rPr>
        <w:t>means any Patent License, Trademark License, Copyright License or other license or sublicense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agreement to which any Grantor is a party.</w:t>
      </w:r>
    </w:p>
    <w:p>
      <w:pPr>
        <w:spacing w:after="0" w:line="14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i w:val="1"/>
          <w:iCs w:val="1"/>
          <w:color w:val="auto"/>
        </w:rPr>
        <w:t xml:space="preserve">“Lien Subordination and Intercreditor Agreement” </w:t>
      </w:r>
      <w:r>
        <w:rPr>
          <w:rFonts w:ascii="Times New Roman" w:cs="Times New Roman" w:eastAsia="Times New Roman" w:hAnsi="Times New Roman"/>
          <w:sz w:val="22"/>
          <w:szCs w:val="22"/>
          <w:color w:val="auto"/>
        </w:rPr>
        <w:t>means the Lien Subordination and Intercreditor Agreement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dated as of April 19, 2012, as amended, among (a) the Collateral Agent, (b) the collateral agent under the Second Lien Agreement, (c) the Designated Senior Obligations Collateral Agents and Designated Junior Obligations Collateral Agents (as such terms are defined therein)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[[6773428]]</w:t>
      </w:r>
    </w:p>
    <w:p>
      <w:pPr>
        <w:sectPr>
          <w:pgSz w:w="11900" w:h="16838" w:orient="portrait"/>
          <w:cols w:equalWidth="0" w:num="1">
            <w:col w:w="11240"/>
          </w:cols>
          <w:pgMar w:left="320" w:top="1421" w:right="339" w:bottom="1440" w:gutter="0" w:footer="0" w:header="0"/>
        </w:sectPr>
      </w:pPr>
    </w:p>
    <w:bookmarkStart w:id="427" w:name="page428"/>
    <w:bookmarkEnd w:id="427"/>
    <w:p>
      <w:pPr>
        <w:jc w:val="both"/>
        <w:spacing w:after="0" w:line="257" w:lineRule="auto"/>
        <w:rPr>
          <w:sz w:val="20"/>
          <w:szCs w:val="20"/>
          <w:color w:val="auto"/>
        </w:rPr>
      </w:pPr>
      <w:r>
        <w:rPr>
          <w:rFonts w:ascii="Times New Roman" w:cs="Times New Roman" w:eastAsia="Times New Roman" w:hAnsi="Times New Roman"/>
          <w:sz w:val="22"/>
          <w:szCs w:val="22"/>
          <w:color w:val="auto"/>
        </w:rPr>
        <w:t>party thereto and (d) the Borrower and the Subsidiaries of the Borrower party thereto or any substitute or successor agreement among such parties containing substantially the same terms (and under which the Obligations shall have been designated by the Borrower as “Senior Obligations”), with any changes approved by the Administrative Agent.</w:t>
      </w:r>
    </w:p>
    <w:p>
      <w:pPr>
        <w:spacing w:after="0" w:line="18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i w:val="1"/>
          <w:iCs w:val="1"/>
          <w:color w:val="auto"/>
        </w:rPr>
        <w:t xml:space="preserve">“Local Collection Account” </w:t>
      </w:r>
      <w:r>
        <w:rPr>
          <w:rFonts w:ascii="Times New Roman" w:cs="Times New Roman" w:eastAsia="Times New Roman" w:hAnsi="Times New Roman"/>
          <w:sz w:val="22"/>
          <w:szCs w:val="22"/>
          <w:color w:val="auto"/>
        </w:rPr>
        <w:t>means a Deposit Account of a Grantor not subject to the control of the Collateral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Agent pursuant to an Account Control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account shall not receive any payments in respect of Accounts or Inventory other than that generated or sold by the Company’s retail division (including both consumer and commercial).</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i w:val="1"/>
          <w:iCs w:val="1"/>
          <w:color w:val="auto"/>
        </w:rPr>
        <w:t xml:space="preserve">“Lockbox System” </w:t>
      </w:r>
      <w:r>
        <w:rPr>
          <w:rFonts w:ascii="Times New Roman" w:cs="Times New Roman" w:eastAsia="Times New Roman" w:hAnsi="Times New Roman"/>
          <w:sz w:val="22"/>
          <w:szCs w:val="22"/>
          <w:color w:val="auto"/>
        </w:rPr>
        <w:t>has the meaning assigned to such term in Section 5.07.</w:t>
      </w:r>
    </w:p>
    <w:p>
      <w:pPr>
        <w:spacing w:after="0" w:line="23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1"/>
          <w:szCs w:val="21"/>
          <w:i w:val="1"/>
          <w:iCs w:val="1"/>
          <w:color w:val="auto"/>
        </w:rPr>
        <w:t xml:space="preserve">“Miscellaneous Obligations” </w:t>
      </w:r>
      <w:r>
        <w:rPr>
          <w:rFonts w:ascii="Times New Roman" w:cs="Times New Roman" w:eastAsia="Times New Roman" w:hAnsi="Times New Roman"/>
          <w:sz w:val="21"/>
          <w:szCs w:val="21"/>
          <w:color w:val="auto"/>
        </w:rPr>
        <w:t>means (a) the due and punctual payment and performance of all Swap Agreement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Obligations that shall at any time have been specified in a written notice (which may only be revoked with the consent of the counterparty to the applicable Swap Agreement) to the Administrative Agent from the Company as being included in the Miscellaneous Obligations, if any such designated Swap Agreement (i) shall have been in effect on the Effective Date with a counterparty that shall have been a Lender or an Affiliate of a Lender under the Credit Agreement as in effect on the Effective Date or (ii) shall have been entered into after the Effective Date with any counterparty that shall have been a Lender or an Affiliate of a Lender under the Credit Agreement at the time of such written notice (it being understood that any such notice may identify Swap Agreement Obligations in a specific or general manner and may include Swap Agreements or Swap Agreement Obligations to be entered into in the future with a specified counterparty or any of its Affiliates), (b) the due and punctual payment and performance of all Banking Services Obligations that shall at any time have been specified in a written notice (which may only be revoked with the consent of the counterparty to the applicable agreements in respect of such Banking Services Obligations) to the Administrative Agent from the Company as being included in the Miscellaneous Obligations and that are provided by a Person that shall have been a Lender or an Affiliate of a Lender at the time of such written notice (it being understood that any such notice may identify Banking Services Obligations in a specific or general manner and may include Banking Services Obligations to be entered into in the future with a specified counterparty or any of its Affiliates) and (c) solely to the extent then permitted under any U.S. Credit Agreement, the due and punctual payment and performance of all obligations of the Company or any Subsidiary (other than GEBV or a GEBV Subsidiary) arising out of or in connection with bilateral letters of credit that shall at any time have been specified in a written notice (which may only be revoked with the consent of the issuing bank with respect to such letters of credit) to the Administrative Agent from the Company as being included in the Miscellaneous Obligations and that are provided by a Person that shall have been a Lender or an Affiliate of a Lender at the time of such written notice; provided that the aggregate amount of such obligations under this clause (c) to be included as Miscellaneous Obligations shall at no time exceed $100,000,000 (and if in excess thereof, shall be reduced on a ratable basis in order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[[6773428]]</w:t>
      </w:r>
    </w:p>
    <w:p>
      <w:pPr>
        <w:sectPr>
          <w:pgSz w:w="11900" w:h="16838" w:orient="portrait"/>
          <w:cols w:equalWidth="0" w:num="1">
            <w:col w:w="11240"/>
          </w:cols>
          <w:pgMar w:left="320" w:top="1421" w:right="339" w:bottom="1440" w:gutter="0" w:footer="0" w:header="0"/>
        </w:sectPr>
      </w:pPr>
    </w:p>
    <w:bookmarkStart w:id="428" w:name="page429"/>
    <w:bookmarkEnd w:id="428"/>
    <w:p>
      <w:pPr>
        <w:jc w:val="both"/>
        <w:spacing w:after="0" w:line="256" w:lineRule="auto"/>
        <w:rPr>
          <w:sz w:val="20"/>
          <w:szCs w:val="20"/>
          <w:color w:val="auto"/>
        </w:rPr>
      </w:pPr>
      <w:r>
        <w:rPr>
          <w:rFonts w:ascii="Times New Roman" w:cs="Times New Roman" w:eastAsia="Times New Roman" w:hAnsi="Times New Roman"/>
          <w:sz w:val="22"/>
          <w:szCs w:val="22"/>
          <w:color w:val="auto"/>
        </w:rPr>
        <w:t>comply with the foregoing limitation). Notwithstanding anything to the contrary in this Agreement, any obligations that were included in the Miscellaneous Obligations immediately prior to the Restatement Date shall continue to be included in the Miscellaneous Obligations from and after the Restatement Date, in each case, unless and until the applicable notice of designation is revoked with the consent of the applicable counterparty in respect of such obligations.</w:t>
      </w:r>
    </w:p>
    <w:p>
      <w:pPr>
        <w:spacing w:after="0" w:line="172" w:lineRule="exact"/>
        <w:rPr>
          <w:sz w:val="20"/>
          <w:szCs w:val="20"/>
          <w:color w:val="auto"/>
        </w:rPr>
      </w:pPr>
    </w:p>
    <w:p>
      <w:pPr>
        <w:ind w:left="1300"/>
        <w:spacing w:after="0" w:line="376" w:lineRule="auto"/>
        <w:rPr>
          <w:sz w:val="20"/>
          <w:szCs w:val="20"/>
          <w:color w:val="auto"/>
        </w:rPr>
      </w:pPr>
      <w:r>
        <w:rPr>
          <w:rFonts w:ascii="Times New Roman" w:cs="Times New Roman" w:eastAsia="Times New Roman" w:hAnsi="Times New Roman"/>
          <w:sz w:val="21"/>
          <w:szCs w:val="21"/>
          <w:i w:val="1"/>
          <w:iCs w:val="1"/>
          <w:color w:val="auto"/>
        </w:rPr>
        <w:t>“New York UCC</w:t>
      </w:r>
      <w:r>
        <w:rPr>
          <w:rFonts w:ascii="Times New Roman" w:cs="Times New Roman" w:eastAsia="Times New Roman" w:hAnsi="Times New Roman"/>
          <w:sz w:val="21"/>
          <w:szCs w:val="21"/>
          <w:color w:val="auto"/>
        </w:rPr>
        <w:t>” means the Uniform Commercial Code as from time to time in effect in the State of New York.</w:t>
      </w:r>
      <w:r>
        <w:rPr>
          <w:rFonts w:ascii="Times New Roman" w:cs="Times New Roman" w:eastAsia="Times New Roman" w:hAnsi="Times New Roman"/>
          <w:sz w:val="21"/>
          <w:szCs w:val="21"/>
          <w:i w:val="1"/>
          <w:iCs w:val="1"/>
          <w:color w:val="auto"/>
        </w:rPr>
        <w:t xml:space="preserve"> “Obligations” </w:t>
      </w:r>
      <w:r>
        <w:rPr>
          <w:rFonts w:ascii="Times New Roman" w:cs="Times New Roman" w:eastAsia="Times New Roman" w:hAnsi="Times New Roman"/>
          <w:sz w:val="21"/>
          <w:szCs w:val="21"/>
          <w:color w:val="auto"/>
        </w:rPr>
        <w:t>means (a) the “Obligations”, as defined in the Credit Agreement, and (b) the Miscellaneous</w:t>
      </w:r>
    </w:p>
    <w:p>
      <w:pPr>
        <w:spacing w:after="0"/>
        <w:rPr>
          <w:sz w:val="20"/>
          <w:szCs w:val="20"/>
          <w:color w:val="auto"/>
        </w:rPr>
      </w:pPr>
      <w:r>
        <w:rPr>
          <w:rFonts w:ascii="Times New Roman" w:cs="Times New Roman" w:eastAsia="Times New Roman" w:hAnsi="Times New Roman"/>
          <w:sz w:val="22"/>
          <w:szCs w:val="22"/>
          <w:color w:val="auto"/>
        </w:rPr>
        <w:t>Obligations.</w:t>
      </w:r>
    </w:p>
    <w:p>
      <w:pPr>
        <w:spacing w:after="0" w:line="192"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i w:val="1"/>
          <w:iCs w:val="1"/>
          <w:color w:val="auto"/>
        </w:rPr>
        <w:t xml:space="preserve">“Other Security Documents” </w:t>
      </w:r>
      <w:r>
        <w:rPr>
          <w:rFonts w:ascii="Times New Roman" w:cs="Times New Roman" w:eastAsia="Times New Roman" w:hAnsi="Times New Roman"/>
          <w:sz w:val="22"/>
          <w:szCs w:val="22"/>
          <w:color w:val="auto"/>
        </w:rPr>
        <w:t>means the Canadian Security Agreements, the Foreign Pledge Agreements,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Mortgages and each other instrument or document delivered in connection with the cash collateralization of Letters of Credit, pursuant to Section 5.08 of the Credit Agreement or otherwise to secure any of the Obligations.</w:t>
      </w:r>
    </w:p>
    <w:p>
      <w:pPr>
        <w:spacing w:after="0" w:line="16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i w:val="1"/>
          <w:iCs w:val="1"/>
          <w:color w:val="auto"/>
        </w:rPr>
        <w:t xml:space="preserve">“Patent License” </w:t>
      </w:r>
      <w:r>
        <w:rPr>
          <w:rFonts w:ascii="Times New Roman" w:cs="Times New Roman" w:eastAsia="Times New Roman" w:hAnsi="Times New Roman"/>
          <w:sz w:val="22"/>
          <w:szCs w:val="22"/>
          <w:color w:val="auto"/>
        </w:rPr>
        <w:t>means any written agreement, now or hereafter in effect, granting to any third party any right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make, use or sell any invention on which a patent, now or hereafter owned by any Grantor or that any Grantor otherwise has the right to license, is in existence, or granting to any Grantor any right to make, use or sell any invention on which a patent, now or hereafter owned by any third party, is in existence, and all rights of any such Grantor under any such agreement.</w:t>
      </w:r>
    </w:p>
    <w:p>
      <w:pPr>
        <w:spacing w:after="0" w:line="18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i w:val="1"/>
          <w:iCs w:val="1"/>
          <w:color w:val="auto"/>
        </w:rPr>
        <w:t xml:space="preserve">“Patents” </w:t>
      </w:r>
      <w:r>
        <w:rPr>
          <w:rFonts w:ascii="Times New Roman" w:cs="Times New Roman" w:eastAsia="Times New Roman" w:hAnsi="Times New Roman"/>
          <w:sz w:val="22"/>
          <w:szCs w:val="22"/>
          <w:color w:val="auto"/>
        </w:rPr>
        <w:t>means all of the following now owned or hereafter acquired by any Grantor: (a) all letters patent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United States or the equivalent thereof in any other country, all registrations and recordings thereof, and all applications for letters patent of the United States or the equivalent thereof in any other country, including registrations, recordings and pending applications in the United States Patent and Trademark Office or any similar offices in any other country, including those listed on Schedule II to the Perfection Certificate, as updated from time to time pursuant to Section 5.04(c), and (b) all reissues, continuations, divisions, continuations-in-part, renewals or extensions thereof, and the inventions disclosed or claimed therein, including the right to make, use and/or sell the inventions disclosed or claimed therein.</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i w:val="1"/>
          <w:iCs w:val="1"/>
          <w:color w:val="auto"/>
        </w:rPr>
        <w:t xml:space="preserve">“Perfection Certificate” </w:t>
      </w:r>
      <w:r>
        <w:rPr>
          <w:rFonts w:ascii="Times New Roman" w:cs="Times New Roman" w:eastAsia="Times New Roman" w:hAnsi="Times New Roman"/>
          <w:sz w:val="22"/>
          <w:szCs w:val="22"/>
          <w:color w:val="auto"/>
        </w:rPr>
        <w:t>means a certificate substantially in the form of Exhibit I.</w:t>
      </w:r>
    </w:p>
    <w:p>
      <w:pPr>
        <w:spacing w:after="0" w:line="22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i w:val="1"/>
          <w:iCs w:val="1"/>
          <w:color w:val="auto"/>
        </w:rPr>
        <w:t xml:space="preserve">“Pledged Collateral” </w:t>
      </w:r>
      <w:r>
        <w:rPr>
          <w:rFonts w:ascii="Times New Roman" w:cs="Times New Roman" w:eastAsia="Times New Roman" w:hAnsi="Times New Roman"/>
          <w:sz w:val="22"/>
          <w:szCs w:val="22"/>
          <w:color w:val="auto"/>
        </w:rPr>
        <w:t>means (a) the Pledged Equity Interests; (b) the Pledged Debt Securities; (c) subject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Section 4.02, all payments of principal or interest, dividends, cash, instruments and other property from time to time received, receivable or otherwise distributed in respect of, in exchange for or upon the conversion of, and all other Proceeds received in respect of, the securities and other property referred to in the preceding clauses (a) and (b); (d) subject to Section 4.02, all rights and privileges of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[[6773428]]</w:t>
      </w:r>
    </w:p>
    <w:p>
      <w:pPr>
        <w:sectPr>
          <w:pgSz w:w="11900" w:h="16838" w:orient="portrait"/>
          <w:cols w:equalWidth="0" w:num="1">
            <w:col w:w="11240"/>
          </w:cols>
          <w:pgMar w:left="320" w:top="1421" w:right="339" w:bottom="1440" w:gutter="0" w:footer="0" w:header="0"/>
        </w:sectPr>
      </w:pPr>
    </w:p>
    <w:bookmarkStart w:id="429" w:name="page430"/>
    <w:bookmarkEnd w:id="429"/>
    <w:p>
      <w:pPr>
        <w:jc w:val="both"/>
        <w:spacing w:after="0" w:line="271" w:lineRule="auto"/>
        <w:rPr>
          <w:sz w:val="20"/>
          <w:szCs w:val="20"/>
          <w:color w:val="auto"/>
        </w:rPr>
      </w:pPr>
      <w:r>
        <w:rPr>
          <w:rFonts w:ascii="Times New Roman" w:cs="Times New Roman" w:eastAsia="Times New Roman" w:hAnsi="Times New Roman"/>
          <w:sz w:val="22"/>
          <w:szCs w:val="22"/>
          <w:color w:val="auto"/>
        </w:rPr>
        <w:t>Grantor with respect to the securities and other property referred to in clauses (a), (b) and (c) above; and (e) all Proceeds of any of the foregoing.</w:t>
      </w:r>
    </w:p>
    <w:p>
      <w:pPr>
        <w:spacing w:after="0" w:line="154"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i w:val="1"/>
          <w:iCs w:val="1"/>
          <w:color w:val="auto"/>
        </w:rPr>
        <w:t xml:space="preserve">“Pledged Debt Securities” </w:t>
      </w:r>
      <w:r>
        <w:rPr>
          <w:rFonts w:ascii="Times New Roman" w:cs="Times New Roman" w:eastAsia="Times New Roman" w:hAnsi="Times New Roman"/>
          <w:sz w:val="22"/>
          <w:szCs w:val="22"/>
          <w:color w:val="auto"/>
        </w:rPr>
        <w:t>means all debt securities (as defined in Article 8 of the New York UCC) owned by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Grantor on the date hereof or obtained by it after such date, and any promissory notes or other instruments evidencing any such debt securities.</w:t>
      </w:r>
    </w:p>
    <w:p>
      <w:pPr>
        <w:spacing w:after="0" w:line="161"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i w:val="1"/>
          <w:iCs w:val="1"/>
          <w:color w:val="auto"/>
        </w:rPr>
        <w:t xml:space="preserve">“Pledged Equity Interests” </w:t>
      </w:r>
      <w:r>
        <w:rPr>
          <w:rFonts w:ascii="Times New Roman" w:cs="Times New Roman" w:eastAsia="Times New Roman" w:hAnsi="Times New Roman"/>
          <w:sz w:val="22"/>
          <w:szCs w:val="22"/>
          <w:color w:val="auto"/>
        </w:rPr>
        <w:t>means all Equity Interests in Subsidiaries (other than Excluded Equity Interests)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owned by any Grantor on the date hereof or obtained or owned by it after such date, and the certificates representing all the foregoing Equity Interests, including the Equity Interests listed on Schedule 3A to the Perfection Certificate, as updated from time to time pursuant to Section 5.04(c);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Pledged Equity Interests shall not include more than 65% of the issued and outstanding voting Equity Interests of any Foreign Subsidiary.</w:t>
      </w:r>
    </w:p>
    <w:p>
      <w:pPr>
        <w:spacing w:after="0" w:line="173"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“Secured Parties” </w:t>
      </w:r>
      <w:r>
        <w:rPr>
          <w:rFonts w:ascii="Times New Roman" w:cs="Times New Roman" w:eastAsia="Times New Roman" w:hAnsi="Times New Roman"/>
          <w:sz w:val="22"/>
          <w:szCs w:val="22"/>
          <w:color w:val="auto"/>
        </w:rPr>
        <w:t>means the “Secured Parties” under and as defined in the Credit Agreement and each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Person holding any Obligations or to which any Obligations are owed.</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i w:val="1"/>
          <w:iCs w:val="1"/>
          <w:color w:val="auto"/>
        </w:rPr>
        <w:t xml:space="preserve">“Security Documents” </w:t>
      </w:r>
      <w:r>
        <w:rPr>
          <w:rFonts w:ascii="Times New Roman" w:cs="Times New Roman" w:eastAsia="Times New Roman" w:hAnsi="Times New Roman"/>
          <w:sz w:val="22"/>
          <w:szCs w:val="22"/>
          <w:color w:val="auto"/>
        </w:rPr>
        <w:t>means this Agreement and the Other Security Documents.</w:t>
      </w:r>
    </w:p>
    <w:p>
      <w:pPr>
        <w:spacing w:after="0" w:line="220" w:lineRule="exact"/>
        <w:rPr>
          <w:sz w:val="20"/>
          <w:szCs w:val="20"/>
          <w:color w:val="auto"/>
        </w:rPr>
      </w:pPr>
    </w:p>
    <w:p>
      <w:pPr>
        <w:jc w:val="both"/>
        <w:ind w:right="20" w:firstLine="1296"/>
        <w:spacing w:after="0" w:line="287" w:lineRule="auto"/>
        <w:rPr>
          <w:sz w:val="20"/>
          <w:szCs w:val="20"/>
          <w:color w:val="auto"/>
        </w:rPr>
      </w:pPr>
      <w:r>
        <w:rPr>
          <w:rFonts w:ascii="Times New Roman" w:cs="Times New Roman" w:eastAsia="Times New Roman" w:hAnsi="Times New Roman"/>
          <w:sz w:val="22"/>
          <w:szCs w:val="22"/>
          <w:i w:val="1"/>
          <w:iCs w:val="1"/>
          <w:color w:val="auto"/>
        </w:rPr>
        <w:t xml:space="preserve">“Subsidiary Grantors” </w:t>
      </w:r>
      <w:r>
        <w:rPr>
          <w:rFonts w:ascii="Times New Roman" w:cs="Times New Roman" w:eastAsia="Times New Roman" w:hAnsi="Times New Roman"/>
          <w:sz w:val="22"/>
          <w:szCs w:val="22"/>
          <w:color w:val="auto"/>
        </w:rPr>
        <w:t>means each Subsidiary that is listed under the heading “Grantor” on the signature pages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hereto or that becomes a Grantor pursuant to Section 12.14.</w:t>
      </w:r>
    </w:p>
    <w:p>
      <w:pPr>
        <w:spacing w:after="0" w:line="137"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“Subsidiary Guarantors” </w:t>
      </w:r>
      <w:r>
        <w:rPr>
          <w:rFonts w:ascii="Times New Roman" w:cs="Times New Roman" w:eastAsia="Times New Roman" w:hAnsi="Times New Roman"/>
          <w:sz w:val="22"/>
          <w:szCs w:val="22"/>
          <w:color w:val="auto"/>
        </w:rPr>
        <w:t>means each Subsidiary that is listed under the heading “Guarantor” on the signature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pages hereto or that becomes a Guarantor pursuant to Section 12.14.</w:t>
      </w:r>
    </w:p>
    <w:p>
      <w:pPr>
        <w:spacing w:after="0" w:line="14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i w:val="1"/>
          <w:iCs w:val="1"/>
          <w:color w:val="auto"/>
        </w:rPr>
        <w:t xml:space="preserve">“Trademark License” </w:t>
      </w:r>
      <w:r>
        <w:rPr>
          <w:rFonts w:ascii="Times New Roman" w:cs="Times New Roman" w:eastAsia="Times New Roman" w:hAnsi="Times New Roman"/>
          <w:sz w:val="22"/>
          <w:szCs w:val="22"/>
          <w:color w:val="auto"/>
        </w:rPr>
        <w:t>means any written agreement, now or hereafter in effect, granting to any third party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right to use any trademark now or hereafter owned by any Grantor or that any such Grantor otherwise has the right to license, or granting to any Grantor any right to use any trademark now or hereafter owned by any third party, and all rights of any such Grantor under any such agreement.</w:t>
      </w:r>
    </w:p>
    <w:p>
      <w:pPr>
        <w:spacing w:after="0" w:line="168"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21"/>
          <w:szCs w:val="21"/>
          <w:i w:val="1"/>
          <w:iCs w:val="1"/>
          <w:color w:val="auto"/>
        </w:rPr>
        <w:t xml:space="preserve">“Trademarks” </w:t>
      </w:r>
      <w:r>
        <w:rPr>
          <w:rFonts w:ascii="Times New Roman" w:cs="Times New Roman" w:eastAsia="Times New Roman" w:hAnsi="Times New Roman"/>
          <w:sz w:val="21"/>
          <w:szCs w:val="21"/>
          <w:color w:val="auto"/>
        </w:rPr>
        <w:t>means all of the following now owned or hereafter acquired by any Grantor: (a) all trademarks,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service marks, trade names, corporate names, company names, business names, fictitious business names, trade styles, trade dress, logos, other source or business identifiers, designs and general intangibles of like nature, now existing or hereafter adopted or acquired, all registrations and recordings thereof, and all registration and recording applications filed in connection therewith, including registrations and registration applications in the United States Patent and Trademark Office or any similar offices in any State of the United States or any other country or any political subdivision thereof, and all extensions or renewals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[[6773428]]</w:t>
      </w:r>
    </w:p>
    <w:p>
      <w:pPr>
        <w:sectPr>
          <w:pgSz w:w="11900" w:h="16838" w:orient="portrait"/>
          <w:cols w:equalWidth="0" w:num="1">
            <w:col w:w="11240"/>
          </w:cols>
          <w:pgMar w:left="320" w:top="1421" w:right="339" w:bottom="1440" w:gutter="0" w:footer="0" w:header="0"/>
        </w:sectPr>
      </w:pPr>
    </w:p>
    <w:bookmarkStart w:id="430" w:name="page431"/>
    <w:bookmarkEnd w:id="430"/>
    <w:p>
      <w:pPr>
        <w:jc w:val="both"/>
        <w:spacing w:after="0" w:line="257" w:lineRule="auto"/>
        <w:rPr>
          <w:sz w:val="20"/>
          <w:szCs w:val="20"/>
          <w:color w:val="auto"/>
        </w:rPr>
      </w:pPr>
      <w:r>
        <w:rPr>
          <w:rFonts w:ascii="Times New Roman" w:cs="Times New Roman" w:eastAsia="Times New Roman" w:hAnsi="Times New Roman"/>
          <w:sz w:val="22"/>
          <w:szCs w:val="22"/>
          <w:color w:val="auto"/>
        </w:rPr>
        <w:t>including those listed on Schedule II to the Perfection Certificate, as updated from time to time pursuant to Section 5.04(c), (b) all goodwill associated therewith or symbolized thereby and (c) all other assets, rights and interests that uniquely reflect or embody such goodwill.</w:t>
      </w:r>
    </w:p>
    <w:p>
      <w:pPr>
        <w:spacing w:after="0" w:line="200" w:lineRule="exact"/>
        <w:rPr>
          <w:sz w:val="20"/>
          <w:szCs w:val="20"/>
          <w:color w:val="auto"/>
        </w:rPr>
      </w:pPr>
    </w:p>
    <w:p>
      <w:pPr>
        <w:spacing w:after="0" w:line="20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SECTION 10.</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Guarantees</w:t>
      </w:r>
    </w:p>
    <w:p>
      <w:pPr>
        <w:spacing w:after="0" w:line="220" w:lineRule="exact"/>
        <w:rPr>
          <w:sz w:val="20"/>
          <w:szCs w:val="20"/>
          <w:color w:val="auto"/>
        </w:rPr>
      </w:pPr>
    </w:p>
    <w:p>
      <w:pPr>
        <w:jc w:val="both"/>
        <w:ind w:firstLine="8"/>
        <w:spacing w:after="0" w:line="250" w:lineRule="auto"/>
        <w:tabs>
          <w:tab w:leader="none" w:pos="294" w:val="left"/>
        </w:tabs>
        <w:numPr>
          <w:ilvl w:val="0"/>
          <w:numId w:val="3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Guarantees. </w:t>
      </w:r>
      <w:r>
        <w:rPr>
          <w:rFonts w:ascii="Times New Roman" w:cs="Times New Roman" w:eastAsia="Times New Roman" w:hAnsi="Times New Roman"/>
          <w:sz w:val="22"/>
          <w:szCs w:val="22"/>
          <w:color w:val="auto"/>
        </w:rPr>
        <w:t>Each Guarantor irrevocably and unconditionally guarantees, as a primary obligor and not merely as a surety,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due and punctual payment and performance of the Obligations, jointly with the other Guarantors and severally. Each of the Guarantors further agrees that the Obligations may be extended or renewed, in whole or in part, without notice to or further assent from it, and that it will remain bound upon its guarantee notwithstanding any extension or renewal of any Obligation. Each of the Guarantors waives presentment to, demand of payment from and protest to the Company or any other Credit Party of any of the Obligations, and also waives notice of acceptance of its guarantee, notice of protest for nonpayment and all similar formalities.</w:t>
      </w:r>
    </w:p>
    <w:p>
      <w:pPr>
        <w:spacing w:after="0" w:line="180" w:lineRule="exact"/>
        <w:rPr>
          <w:rFonts w:ascii="Times New Roman" w:cs="Times New Roman" w:eastAsia="Times New Roman" w:hAnsi="Times New Roman"/>
          <w:sz w:val="22"/>
          <w:szCs w:val="22"/>
          <w:color w:val="auto"/>
        </w:rPr>
      </w:pPr>
    </w:p>
    <w:p>
      <w:pPr>
        <w:jc w:val="both"/>
        <w:ind w:firstLine="8"/>
        <w:spacing w:after="0" w:line="258" w:lineRule="auto"/>
        <w:tabs>
          <w:tab w:leader="none" w:pos="306" w:val="left"/>
        </w:tabs>
        <w:numPr>
          <w:ilvl w:val="0"/>
          <w:numId w:val="3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Guarantee of Payment. </w:t>
      </w:r>
      <w:r>
        <w:rPr>
          <w:rFonts w:ascii="Times New Roman" w:cs="Times New Roman" w:eastAsia="Times New Roman" w:hAnsi="Times New Roman"/>
          <w:sz w:val="22"/>
          <w:szCs w:val="22"/>
          <w:color w:val="auto"/>
        </w:rPr>
        <w:t>Each of the Guarantors further agrees that its guarantee hereunder constitutes a guarantee of payment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when due and not of collection, and waives any right to require that any resort be had by the Collateral Agent or any other Secured Party to any security held for the payment of the Obligations or to any balance of any Deposit Account or credit on the books of the Collateral Agent or any other Secured Party in favor of the Company or any other Person.</w:t>
      </w:r>
    </w:p>
    <w:p>
      <w:pPr>
        <w:spacing w:after="0" w:line="167" w:lineRule="exact"/>
        <w:rPr>
          <w:rFonts w:ascii="Times New Roman" w:cs="Times New Roman" w:eastAsia="Times New Roman" w:hAnsi="Times New Roman"/>
          <w:sz w:val="22"/>
          <w:szCs w:val="22"/>
          <w:color w:val="auto"/>
        </w:rPr>
      </w:pPr>
    </w:p>
    <w:p>
      <w:pPr>
        <w:jc w:val="both"/>
        <w:ind w:firstLine="8"/>
        <w:spacing w:after="0" w:line="247" w:lineRule="auto"/>
        <w:tabs>
          <w:tab w:leader="none" w:pos="294" w:val="left"/>
        </w:tabs>
        <w:numPr>
          <w:ilvl w:val="0"/>
          <w:numId w:val="3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Limitations. </w:t>
      </w:r>
      <w:r>
        <w:rPr>
          <w:rFonts w:ascii="Times New Roman" w:cs="Times New Roman" w:eastAsia="Times New Roman" w:hAnsi="Times New Roman"/>
          <w:sz w:val="22"/>
          <w:szCs w:val="22"/>
          <w:color w:val="auto"/>
        </w:rPr>
        <w:t>(i)Except for termination of a Guarantor’s obligations hereunder as expressly provided in Section 12.13,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obligations of each Guarantor hereunder shall not be subject to any reduction, limitation, impairment or termination for any reason, including any claim of waiver, release, surrender, alteration or compromise, and shall not be subject to any defense or set-off, counterclaim, recoupment or termination whatsoever by reason of the invalidity, illegality or unenforceability of the Obligations or otherwise. Without limiting the generality of the foregoing, the obligations of each Guarantor hereunder shall not be discharged or impaired or otherwise affected by (i) the failure of the Collateral Agent or any other Secured Party to assert any claim or demand or to enforce any right or remedy under the provisions of any Credit Document or otherwise; (ii) any rescission, waiver, amendment or modification of, or any release from any of the terms or provisions of, any Credit Document or any other agreement, including with respect to any other Guarantor under this Agreement; (iii) the release of any security held by the Collateral Agent or any other Secured Party for the Obligations; (iv) any default, failure or delay, wilful or otherwise, in the performance of the Obligations; or (v) any other act or omission that may or might in any manner or to any extent vary the risk of such Guarantor or otherwise operate as a discharge of such Guarantor as a matter of law or equity (other than the indefeasible payment in full in cash of all the Obligations and the irrevocable termination of all the Commitments under the Credit Agreement).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[[6773428]]</w:t>
      </w:r>
    </w:p>
    <w:p>
      <w:pPr>
        <w:sectPr>
          <w:pgSz w:w="11900" w:h="16838" w:orient="portrait"/>
          <w:cols w:equalWidth="0" w:num="1">
            <w:col w:w="11240"/>
          </w:cols>
          <w:pgMar w:left="320" w:top="1421" w:right="339" w:bottom="1440" w:gutter="0" w:footer="0" w:header="0"/>
        </w:sectPr>
      </w:pPr>
    </w:p>
    <w:bookmarkStart w:id="431" w:name="page432"/>
    <w:bookmarkEnd w:id="431"/>
    <w:p>
      <w:pPr>
        <w:jc w:val="both"/>
        <w:spacing w:after="0" w:line="272" w:lineRule="auto"/>
        <w:rPr>
          <w:sz w:val="20"/>
          <w:szCs w:val="20"/>
          <w:color w:val="auto"/>
        </w:rPr>
      </w:pPr>
      <w:r>
        <w:rPr>
          <w:rFonts w:ascii="Times New Roman" w:cs="Times New Roman" w:eastAsia="Times New Roman" w:hAnsi="Times New Roman"/>
          <w:sz w:val="21"/>
          <w:szCs w:val="21"/>
          <w:color w:val="auto"/>
        </w:rPr>
        <w:t>Guarantor expressly authorizes the Secured Parties to take and hold security for the payment and performance of the Obligations, to exchange, waive or release any or all such security (with or without consideration), to enforce or apply such security and direct the order and manner of any sale thereof in their sole discretion or to release or substitute any one or more other guarantors or obligors upon or in respect of the Obligations, all without affecting the obligations of such Guarantor hereunder.</w:t>
      </w:r>
    </w:p>
    <w:p>
      <w:pPr>
        <w:spacing w:after="0" w:line="161" w:lineRule="exact"/>
        <w:rPr>
          <w:sz w:val="20"/>
          <w:szCs w:val="20"/>
          <w:color w:val="auto"/>
        </w:rPr>
      </w:pPr>
    </w:p>
    <w:p>
      <w:pPr>
        <w:jc w:val="both"/>
        <w:ind w:firstLine="1304"/>
        <w:spacing w:after="0" w:line="247" w:lineRule="auto"/>
        <w:tabs>
          <w:tab w:leader="none" w:pos="1615" w:val="left"/>
        </w:tabs>
        <w:numPr>
          <w:ilvl w:val="1"/>
          <w:numId w:val="3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fullest extent permitted by applicable law, each Guarantor waives any defense based on or arising out of any defense of the Company or any other Credit Party or the unenforceability of the Obligations or any part thereof from any cause, or the cessation from any cause of the liability of the Company or any other Credit Party, other than the indefeasible payment in full in cash of all the Obligations and the irrevocable termination of all the Commitments under the Credit Agreement. The Collateral Agent and the other Secured Parties may, at their election, foreclose on any security held by one or more of them by one or more judicial or nonjudicial sales, accept an assignment of any such security in lieu of foreclosure, compromise or adjust any part of the Obligations, make any other accommodation with the Company or any other Credit Party or exercise any other right or remedy available to them against the Company or any other Credit Party, in each case without affecting or impairing in any way the liability of any Guarantor hereunder except to the extent the Obligations have been fully and indefeasibly paid in full in cash. To the fullest extent permitted by applicable law, each Guarantor waives any defense arising out of any such election even though such election operates, pursuant to applicable law, to impair or to extinguish any right of reimbursement or subrogation or other right or remedy of such Guarantor against the Company or any other Credit Party, as the case may be, or any security.</w:t>
      </w:r>
    </w:p>
    <w:p>
      <w:pPr>
        <w:spacing w:after="0" w:line="188" w:lineRule="exact"/>
        <w:rPr>
          <w:rFonts w:ascii="Times New Roman" w:cs="Times New Roman" w:eastAsia="Times New Roman" w:hAnsi="Times New Roman"/>
          <w:sz w:val="22"/>
          <w:szCs w:val="22"/>
          <w:color w:val="auto"/>
        </w:rPr>
      </w:pPr>
    </w:p>
    <w:p>
      <w:pPr>
        <w:jc w:val="both"/>
        <w:ind w:firstLine="8"/>
        <w:spacing w:after="0" w:line="258" w:lineRule="auto"/>
        <w:tabs>
          <w:tab w:leader="none" w:pos="306" w:val="left"/>
        </w:tabs>
        <w:numPr>
          <w:ilvl w:val="0"/>
          <w:numId w:val="3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Reinstatement. </w:t>
      </w:r>
      <w:r>
        <w:rPr>
          <w:rFonts w:ascii="Times New Roman" w:cs="Times New Roman" w:eastAsia="Times New Roman" w:hAnsi="Times New Roman"/>
          <w:sz w:val="22"/>
          <w:szCs w:val="22"/>
          <w:color w:val="auto"/>
        </w:rPr>
        <w:t>Each of the Guarantors agrees that its guarantee hereunder shall continue to be effective or be reinstated, as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case may be, if at any time payment, or any part thereof, of any Obligation is rescinded or must otherwise be restored by the Collateral Agent or any other Secured Party upon the bankruptcy or reorganization of the Company, any other Credit Party or otherwise.</w:t>
      </w:r>
    </w:p>
    <w:p>
      <w:pPr>
        <w:spacing w:after="0" w:line="167" w:lineRule="exact"/>
        <w:rPr>
          <w:rFonts w:ascii="Times New Roman" w:cs="Times New Roman" w:eastAsia="Times New Roman" w:hAnsi="Times New Roman"/>
          <w:sz w:val="22"/>
          <w:szCs w:val="22"/>
          <w:color w:val="auto"/>
        </w:rPr>
      </w:pPr>
    </w:p>
    <w:p>
      <w:pPr>
        <w:jc w:val="both"/>
        <w:ind w:firstLine="8"/>
        <w:spacing w:after="0" w:line="263" w:lineRule="auto"/>
        <w:tabs>
          <w:tab w:leader="none" w:pos="307" w:val="left"/>
        </w:tabs>
        <w:numPr>
          <w:ilvl w:val="0"/>
          <w:numId w:val="3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Agreement To Pay; Subrogation. </w:t>
      </w:r>
      <w:r>
        <w:rPr>
          <w:rFonts w:ascii="Times New Roman" w:cs="Times New Roman" w:eastAsia="Times New Roman" w:hAnsi="Times New Roman"/>
          <w:sz w:val="21"/>
          <w:szCs w:val="21"/>
          <w:color w:val="auto"/>
        </w:rPr>
        <w:t>In furtherance of the foregoing and not in limitation of any other right that the Collateral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Agent or any other Secured Party has at law or in equity against any Guarantor by virtue hereof, upon the failure of the Company or any other Credit Party to pay any Obligation when and as the same shall become due, whether at maturity, by acceleration, after notice of prepayment or otherwise, such Guarantor hereby promises to and will forthwith pay, or cause to be paid, to the Collateral Agent for distribution to the applicable Secured Parties in cash the amount of such unpaid Obligation. Upon payment by any Guarantor of any sums to the Collateral Agent as provided above, all rights of such Guarantor against the Company or any other Credit Party arising as a result thereof by way of right of subrogation, contribution, reimbursement, indemnity or otherwise shall in all respects be subordinate to the Obligations of the Company or such Credit Party on the terms set forth in Article XI.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[[6773428]]</w:t>
      </w:r>
    </w:p>
    <w:p>
      <w:pPr>
        <w:sectPr>
          <w:pgSz w:w="11900" w:h="16838" w:orient="portrait"/>
          <w:cols w:equalWidth="0" w:num="1">
            <w:col w:w="11240"/>
          </w:cols>
          <w:pgMar w:left="320" w:top="1421" w:right="339" w:bottom="1440" w:gutter="0" w:footer="0" w:header="0"/>
        </w:sectPr>
      </w:pPr>
    </w:p>
    <w:bookmarkStart w:id="432" w:name="page433"/>
    <w:bookmarkEnd w:id="432"/>
    <w:p>
      <w:pPr>
        <w:jc w:val="both"/>
        <w:ind w:firstLine="8"/>
        <w:spacing w:after="0" w:line="254" w:lineRule="auto"/>
        <w:tabs>
          <w:tab w:leader="none" w:pos="270" w:val="left"/>
        </w:tabs>
        <w:numPr>
          <w:ilvl w:val="0"/>
          <w:numId w:val="3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Information. </w:t>
      </w:r>
      <w:r>
        <w:rPr>
          <w:rFonts w:ascii="Times New Roman" w:cs="Times New Roman" w:eastAsia="Times New Roman" w:hAnsi="Times New Roman"/>
          <w:sz w:val="22"/>
          <w:szCs w:val="22"/>
          <w:color w:val="auto"/>
        </w:rPr>
        <w:t>Each Guarantor assumes all responsibility for being and keeping itself informed of the Company’s and each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Credit Party’s financial condition and assets, and of all other circumstances bearing upon the risk of nonpayment of the Obligations and the nature, scope and extent of the risks that such Guarantor assumes and incurs hereunder, and agrees that none of the Collateral Agent or the other Secured Parties will have any duty to advise such Guarantor of information known to it or any of them regarding such circumstances or risks.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11.</w:t>
      </w:r>
    </w:p>
    <w:p>
      <w:pPr>
        <w:spacing w:after="0" w:line="21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Intentionally omitted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4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SECTION 12.</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Pledge of Securities</w:t>
      </w:r>
    </w:p>
    <w:p>
      <w:pPr>
        <w:spacing w:after="0" w:line="220" w:lineRule="exact"/>
        <w:rPr>
          <w:sz w:val="20"/>
          <w:szCs w:val="20"/>
          <w:color w:val="auto"/>
        </w:rPr>
      </w:pPr>
    </w:p>
    <w:p>
      <w:pPr>
        <w:jc w:val="both"/>
        <w:ind w:firstLine="8"/>
        <w:spacing w:after="0" w:line="251" w:lineRule="auto"/>
        <w:tabs>
          <w:tab w:leader="none" w:pos="294" w:val="left"/>
        </w:tabs>
        <w:numPr>
          <w:ilvl w:val="0"/>
          <w:numId w:val="3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Pledge. </w:t>
      </w:r>
      <w:r>
        <w:rPr>
          <w:rFonts w:ascii="Times New Roman" w:cs="Times New Roman" w:eastAsia="Times New Roman" w:hAnsi="Times New Roman"/>
          <w:sz w:val="22"/>
          <w:szCs w:val="22"/>
          <w:color w:val="auto"/>
        </w:rPr>
        <w:t>As security for the payment or performance, as the case may be, in full of the Obligations, each Grantor hereby grants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to the Collateral Agent, its successors and assigns a security interest in all such Grantor’s right, title and interest in, to and under the Pledged Collateral, to have and to hold all such Pledged Collateral, together with all right, title, interest, powers, privileges and preferences pertaining or incidental thereto, for the benefit of the Secured Parties; </w:t>
      </w:r>
      <w:r>
        <w:rPr>
          <w:rFonts w:ascii="Times New Roman" w:cs="Times New Roman" w:eastAsia="Times New Roman" w:hAnsi="Times New Roman"/>
          <w:sz w:val="22"/>
          <w:szCs w:val="22"/>
          <w:i w:val="1"/>
          <w:iCs w:val="1"/>
          <w:color w:val="auto"/>
        </w:rPr>
        <w:t>subject, however,</w:t>
      </w:r>
      <w:r>
        <w:rPr>
          <w:rFonts w:ascii="Times New Roman" w:cs="Times New Roman" w:eastAsia="Times New Roman" w:hAnsi="Times New Roman"/>
          <w:sz w:val="22"/>
          <w:szCs w:val="22"/>
          <w:color w:val="auto"/>
        </w:rPr>
        <w:t xml:space="preserve"> to the terms, covenants and conditions hereinafter set forth.</w:t>
      </w:r>
    </w:p>
    <w:p>
      <w:pPr>
        <w:spacing w:after="0" w:line="189" w:lineRule="exact"/>
        <w:rPr>
          <w:rFonts w:ascii="Times New Roman" w:cs="Times New Roman" w:eastAsia="Times New Roman" w:hAnsi="Times New Roman"/>
          <w:sz w:val="22"/>
          <w:szCs w:val="22"/>
          <w:color w:val="auto"/>
        </w:rPr>
      </w:pPr>
    </w:p>
    <w:p>
      <w:pPr>
        <w:ind w:firstLine="8"/>
        <w:spacing w:after="0" w:line="275" w:lineRule="auto"/>
        <w:tabs>
          <w:tab w:leader="none" w:pos="306" w:val="left"/>
        </w:tabs>
        <w:numPr>
          <w:ilvl w:val="0"/>
          <w:numId w:val="3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Voting Rights; Dividends and Interest. </w:t>
      </w:r>
      <w:r>
        <w:rPr>
          <w:rFonts w:ascii="Times New Roman" w:cs="Times New Roman" w:eastAsia="Times New Roman" w:hAnsi="Times New Roman"/>
          <w:sz w:val="22"/>
          <w:szCs w:val="22"/>
          <w:color w:val="auto"/>
        </w:rPr>
        <w:t>(i)Unless and until an Event of Default shall have occurred and be continuing and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Collateral Agent shall have notified the Grantors that their rights under this Section are being suspended:</w:t>
      </w:r>
    </w:p>
    <w:p>
      <w:pPr>
        <w:spacing w:after="0" w:line="153" w:lineRule="exact"/>
        <w:rPr>
          <w:rFonts w:ascii="Times New Roman" w:cs="Times New Roman" w:eastAsia="Times New Roman" w:hAnsi="Times New Roman"/>
          <w:sz w:val="22"/>
          <w:szCs w:val="22"/>
          <w:color w:val="auto"/>
        </w:rPr>
      </w:pPr>
    </w:p>
    <w:p>
      <w:pPr>
        <w:jc w:val="both"/>
        <w:ind w:left="1100" w:right="20" w:firstLine="795"/>
        <w:spacing w:after="0" w:line="256" w:lineRule="auto"/>
        <w:tabs>
          <w:tab w:leader="none" w:pos="2163" w:val="left"/>
        </w:tabs>
        <w:numPr>
          <w:ilvl w:val="1"/>
          <w:numId w:val="3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Grantor shall be entitled to exercise any and all voting and/or other rights and powers inuring to an owner of Pledged Collateral or any part thereof for any purpose consistent with the terms of this Agreement and the Credit Agreement, including the right to sell or otherwise transfer such Pledged Collateral in accordance with the terms of the Credit Agreement.</w:t>
      </w:r>
    </w:p>
    <w:p>
      <w:pPr>
        <w:spacing w:after="0" w:line="176" w:lineRule="exact"/>
        <w:rPr>
          <w:rFonts w:ascii="Times New Roman" w:cs="Times New Roman" w:eastAsia="Times New Roman" w:hAnsi="Times New Roman"/>
          <w:sz w:val="22"/>
          <w:szCs w:val="22"/>
          <w:color w:val="auto"/>
        </w:rPr>
      </w:pPr>
    </w:p>
    <w:p>
      <w:pPr>
        <w:jc w:val="both"/>
        <w:ind w:left="1100" w:firstLine="795"/>
        <w:spacing w:after="0" w:line="252" w:lineRule="auto"/>
        <w:tabs>
          <w:tab w:leader="none" w:pos="2222" w:val="left"/>
        </w:tabs>
        <w:numPr>
          <w:ilvl w:val="1"/>
          <w:numId w:val="3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Agent shall execute and deliver to each Grantor, or cause to be executed and delivered to such Grantor, all such proxies, powers of attorney, certificates and other instruments as such Grantor may reasonably request for the purpose of enabling such Grantor to exercise the voting and/or rights and powers it is entitled to exercise pursuant to subparagraph (i) above.</w:t>
      </w:r>
    </w:p>
    <w:p>
      <w:pPr>
        <w:spacing w:after="0" w:line="192" w:lineRule="exact"/>
        <w:rPr>
          <w:rFonts w:ascii="Times New Roman" w:cs="Times New Roman" w:eastAsia="Times New Roman" w:hAnsi="Times New Roman"/>
          <w:sz w:val="22"/>
          <w:szCs w:val="22"/>
          <w:color w:val="auto"/>
        </w:rPr>
      </w:pPr>
    </w:p>
    <w:p>
      <w:pPr>
        <w:ind w:left="1100" w:firstLine="795"/>
        <w:spacing w:after="0" w:line="295" w:lineRule="auto"/>
        <w:tabs>
          <w:tab w:leader="none" w:pos="2291" w:val="left"/>
        </w:tabs>
        <w:numPr>
          <w:ilvl w:val="1"/>
          <w:numId w:val="3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Grantor shall be entitled to receive and retain any and all dividends, interest, principal and other distributions paid on or distributed in respect of the Pledged Collateral to the extent and only to the extent that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[[6773428]]</w:t>
      </w:r>
    </w:p>
    <w:p>
      <w:pPr>
        <w:sectPr>
          <w:pgSz w:w="11900" w:h="16838" w:orient="portrait"/>
          <w:cols w:equalWidth="0" w:num="1">
            <w:col w:w="11240"/>
          </w:cols>
          <w:pgMar w:left="320" w:top="1417" w:right="339" w:bottom="1440" w:gutter="0" w:footer="0" w:header="0"/>
        </w:sectPr>
      </w:pPr>
    </w:p>
    <w:bookmarkStart w:id="433" w:name="page434"/>
    <w:bookmarkEnd w:id="433"/>
    <w:p>
      <w:pPr>
        <w:jc w:val="both"/>
        <w:ind w:left="1100"/>
        <w:spacing w:after="0" w:line="263" w:lineRule="auto"/>
        <w:rPr>
          <w:sz w:val="20"/>
          <w:szCs w:val="20"/>
          <w:color w:val="auto"/>
        </w:rPr>
      </w:pPr>
      <w:r>
        <w:rPr>
          <w:rFonts w:ascii="Times New Roman" w:cs="Times New Roman" w:eastAsia="Times New Roman" w:hAnsi="Times New Roman"/>
          <w:sz w:val="21"/>
          <w:szCs w:val="21"/>
          <w:color w:val="auto"/>
        </w:rPr>
        <w:t xml:space="preserve">dividends, interest, principal and other distributions are permitted by, and otherwise paid or distributed in accordance with, the terms and conditions of the Credit Agreement, the other Credit Documents and applicable laws;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noncash dividends, interest, principal or other distributions that would constitute Pledged Equity Interests or Pledged Debt Securities, whether resulting from a subdivision, combination or reclassification of the outstanding Equity Interests of the issuer of any Pledged Collateral or received in exchange for Pledged Collateral or any part thereof, or in redemption thereof, or as a result of any merger, consolidation, acquisition or other exchange of assets to which such issuer may be a party or otherwise, shall be and become part of the Pledged Collateral.</w:t>
      </w:r>
    </w:p>
    <w:p>
      <w:pPr>
        <w:spacing w:after="0" w:line="173" w:lineRule="exact"/>
        <w:rPr>
          <w:sz w:val="20"/>
          <w:szCs w:val="20"/>
          <w:color w:val="auto"/>
        </w:rPr>
      </w:pPr>
    </w:p>
    <w:p>
      <w:pPr>
        <w:jc w:val="both"/>
        <w:ind w:firstLine="1304"/>
        <w:spacing w:after="0" w:line="247" w:lineRule="auto"/>
        <w:tabs>
          <w:tab w:leader="none" w:pos="1624" w:val="left"/>
        </w:tabs>
        <w:numPr>
          <w:ilvl w:val="0"/>
          <w:numId w:val="3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occurrence and during the continuance of an Event of Default, after the Collateral Agent shall have notified the Grantors of the suspension of their rights under paragraph (a)(iii) of this Section, all rights of any Grantor to dividends, interest, principal or other distributions that such Grantor is authorized to receive pursuant to paragraph (a)(iii) of this Section shall cease, and all such rights shall thereupon become vested in the Collateral Agent, which shall have the sole and exclusive right and authority to receive and retain such dividends, interest, principal or other distributions. All dividends, interest, principal or other distributions received by any Grantor contrary to the provisions of this Section shall be held in trust for the benefit of the Collateral Agent, shall be segregated from other property or funds of such Grantor and shall be forthwith delivered to the Collateral Agent upon demand in the form in which so received (with any necessary endorsement). Any and all money and other property paid over to or received by the Collateral Agent pursuant to the provisions of this paragraph (b) shall be retained by the Collateral Agent in an account to be established by the Collateral Agent upon receipt of such money or other property and shall be applied in accordance with the provisions of Section 7.03. After all Events of Default have been cured or waived and the Company has delivered to the Collateral Agent a certificate to that effect, the Collateral Agent shall (subject to any applicable provisions of the Second Lien Guarantee and Collateral Agreement, the Lenders Lien Subordination and Intercreditor Agreement and the Lien Subordination and Intercreditor Agreement) promptly repay to each Grantor (without interest) all dividends, interest, principal or other distributions that such Grantor would otherwise be permitted to retain pursuant to the terms of paragraph (a)(iii) of this Section and that remain in such account.</w:t>
      </w:r>
    </w:p>
    <w:p>
      <w:pPr>
        <w:spacing w:after="0" w:line="194" w:lineRule="exact"/>
        <w:rPr>
          <w:rFonts w:ascii="Times New Roman" w:cs="Times New Roman" w:eastAsia="Times New Roman" w:hAnsi="Times New Roman"/>
          <w:sz w:val="22"/>
          <w:szCs w:val="22"/>
          <w:color w:val="auto"/>
        </w:rPr>
      </w:pPr>
    </w:p>
    <w:p>
      <w:pPr>
        <w:jc w:val="both"/>
        <w:ind w:firstLine="1304"/>
        <w:spacing w:after="0" w:line="250" w:lineRule="auto"/>
        <w:tabs>
          <w:tab w:leader="none" w:pos="1681" w:val="left"/>
        </w:tabs>
        <w:numPr>
          <w:ilvl w:val="0"/>
          <w:numId w:val="3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occurrence and during the continuance of an Event of Default, after the Collateral Agent shall have notified the Grantors of the suspension of their rights under paragraph (a)(i) of this Section, all rights of any Grantor to exercise the voting and consensual rights and powers it is entitled to exercise pursuant to paragraph (a)(i) of this Section, and the obligations of the Collateral Agent under paragraph (a)(ii) of this Section, shall cease, and all such rights shall thereupon become vested in the Collateral Agent, which shall have the sole and exclusive right and authority to exercise such voting and consensual rights and powers;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unless otherwise directed by the Majority Lenders, the Collateral Agent shall have the right from time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[[6773428]]</w:t>
      </w:r>
    </w:p>
    <w:p>
      <w:pPr>
        <w:sectPr>
          <w:pgSz w:w="11900" w:h="16838" w:orient="portrait"/>
          <w:cols w:equalWidth="0" w:num="1">
            <w:col w:w="11240"/>
          </w:cols>
          <w:pgMar w:left="320" w:top="1421" w:right="339" w:bottom="1440" w:gutter="0" w:footer="0" w:header="0"/>
        </w:sectPr>
      </w:pPr>
    </w:p>
    <w:bookmarkStart w:id="434" w:name="page435"/>
    <w:bookmarkEnd w:id="434"/>
    <w:p>
      <w:pPr>
        <w:spacing w:after="0"/>
        <w:rPr>
          <w:sz w:val="20"/>
          <w:szCs w:val="20"/>
          <w:color w:val="auto"/>
        </w:rPr>
      </w:pPr>
      <w:r>
        <w:rPr>
          <w:rFonts w:ascii="Times New Roman" w:cs="Times New Roman" w:eastAsia="Times New Roman" w:hAnsi="Times New Roman"/>
          <w:sz w:val="22"/>
          <w:szCs w:val="22"/>
          <w:color w:val="auto"/>
        </w:rPr>
        <w:t>time following and during the continuance of an Event of Default to permit the Grantors to exercise such rights.</w:t>
      </w:r>
    </w:p>
    <w:p>
      <w:pPr>
        <w:spacing w:after="0" w:line="220" w:lineRule="exact"/>
        <w:rPr>
          <w:sz w:val="20"/>
          <w:szCs w:val="20"/>
          <w:color w:val="auto"/>
        </w:rPr>
      </w:pPr>
    </w:p>
    <w:p>
      <w:pPr>
        <w:jc w:val="both"/>
        <w:ind w:firstLine="1304"/>
        <w:spacing w:after="0" w:line="251" w:lineRule="auto"/>
        <w:tabs>
          <w:tab w:leader="none" w:pos="1677" w:val="left"/>
        </w:tabs>
        <w:numPr>
          <w:ilvl w:val="0"/>
          <w:numId w:val="3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notice given by the Collateral Agent to the Grantors suspending their rights under paragraph (a) of this Section (i) may be given by telephone if promptly confirmed in writing, (ii) may be given to one or more of the Grantors at the same or different times and (iii) may suspend the rights of the Grantors under paragraph (a)(i) or paragraph (a)(iii) in part without suspending all such rights (as specified by the Collateral Agent in its sole and absolute discretion) and without waiving or otherwise affecting the Collateral Agent’s rights to give additional notices from time to time suspending other rights so long as an Event of Default has occurred and is continuing.</w:t>
      </w:r>
    </w:p>
    <w:p>
      <w:pPr>
        <w:spacing w:after="0" w:line="39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SECTION 13.</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Security Interests in Personal Property</w:t>
      </w:r>
    </w:p>
    <w:p>
      <w:pPr>
        <w:spacing w:after="0" w:line="220" w:lineRule="exact"/>
        <w:rPr>
          <w:sz w:val="20"/>
          <w:szCs w:val="20"/>
          <w:color w:val="auto"/>
        </w:rPr>
      </w:pPr>
    </w:p>
    <w:p>
      <w:pPr>
        <w:jc w:val="both"/>
        <w:ind w:firstLine="8"/>
        <w:spacing w:after="0" w:line="253" w:lineRule="auto"/>
        <w:tabs>
          <w:tab w:leader="none" w:pos="294" w:val="left"/>
        </w:tabs>
        <w:numPr>
          <w:ilvl w:val="0"/>
          <w:numId w:val="3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Creation of Security Interests. </w:t>
      </w:r>
      <w:r>
        <w:rPr>
          <w:rFonts w:ascii="Times New Roman" w:cs="Times New Roman" w:eastAsia="Times New Roman" w:hAnsi="Times New Roman"/>
          <w:sz w:val="22"/>
          <w:szCs w:val="22"/>
          <w:color w:val="auto"/>
        </w:rPr>
        <w:t>(i) As security for the payment or performance, as the case may be, in full of the Obligations,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each Grantor hereby grants to the Collateral Agent, its successors and assigns, for the benefit of the Secured Parties, a security interest in all right, title or interest in or to any and all the Article 9 Collateral now owned or at any time hereafter acquired by such Grantor or in which such Grantor now has or at any time in the future may acquire any right, title or interest.</w:t>
      </w:r>
    </w:p>
    <w:p>
      <w:pPr>
        <w:spacing w:after="0" w:line="175" w:lineRule="exact"/>
        <w:rPr>
          <w:rFonts w:ascii="Times New Roman" w:cs="Times New Roman" w:eastAsia="Times New Roman" w:hAnsi="Times New Roman"/>
          <w:sz w:val="22"/>
          <w:szCs w:val="22"/>
          <w:color w:val="auto"/>
        </w:rPr>
      </w:pPr>
    </w:p>
    <w:p>
      <w:pPr>
        <w:ind w:left="1620" w:hanging="316"/>
        <w:spacing w:after="0"/>
        <w:tabs>
          <w:tab w:leader="none" w:pos="1620" w:val="left"/>
        </w:tabs>
        <w:numPr>
          <w:ilvl w:val="1"/>
          <w:numId w:val="3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Intentionally omitted</w:t>
      </w:r>
      <w:r>
        <w:rPr>
          <w:rFonts w:ascii="Times New Roman" w:cs="Times New Roman" w:eastAsia="Times New Roman" w:hAnsi="Times New Roman"/>
          <w:sz w:val="22"/>
          <w:szCs w:val="22"/>
          <w:color w:val="auto"/>
        </w:rPr>
        <w:t>]</w:t>
      </w:r>
    </w:p>
    <w:p>
      <w:pPr>
        <w:spacing w:after="0" w:line="237" w:lineRule="exact"/>
        <w:rPr>
          <w:rFonts w:ascii="Times New Roman" w:cs="Times New Roman" w:eastAsia="Times New Roman" w:hAnsi="Times New Roman"/>
          <w:sz w:val="22"/>
          <w:szCs w:val="22"/>
          <w:color w:val="auto"/>
        </w:rPr>
      </w:pPr>
    </w:p>
    <w:p>
      <w:pPr>
        <w:jc w:val="both"/>
        <w:ind w:firstLine="1304"/>
        <w:spacing w:after="0" w:line="260" w:lineRule="auto"/>
        <w:tabs>
          <w:tab w:leader="none" w:pos="1689" w:val="left"/>
        </w:tabs>
        <w:numPr>
          <w:ilvl w:val="1"/>
          <w:numId w:val="3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other provision of this Agreement, for so long as any of the Indentures shall remain in effect and Indebtedness shall be outstanding thereunder, the aggregate amount of the Obligations secured by (i) the security interests and pledges granted under this Agreement and the Other Security Documents and (ii) the Liens created under the Mortgages, in each case to the extent the assets subject to such security interests, pledges and Liens constitute Indenture Properties, shall not exceed the maximum amount of the Obligations that can be so secured without violation of the Indentures. If at any time after the date hereof any amount of the Obligations that may be secured by any security interest, pledge or Lien in or on the Indenture Properties without violation of the Indentures shall increase, in either case by reason of (i) the termination of the Indentures or any provisions therein or the repayment of all Indebtedness outstanding thereunder, (ii) any amendment of or waiver under the Indentures, (iii) any increase in any applicable basket or exception under the Indentures as a result of the financial performance of the Company and the Subsidiaries or otherwise or (iv) any other event or condition, the amount of the outstanding Obligations secured by security interests, pledges and Liens in or on the Indenture Properties shall be simultaneously and automatically increased to the maximum amount permitted under the Indentures. No amount of Obligations that shall be secured by security interests, pledges and Liens in or on the Indenture Properties in accordance with the foregoing provisions of this paragraph shall at any time cease to be so guaranteed or secured as a result of (A) any subsequent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[[6773428]]</w:t>
      </w:r>
    </w:p>
    <w:p>
      <w:pPr>
        <w:sectPr>
          <w:pgSz w:w="11900" w:h="16838" w:orient="portrait"/>
          <w:cols w:equalWidth="0" w:num="1">
            <w:col w:w="11240"/>
          </w:cols>
          <w:pgMar w:left="320" w:top="1421" w:right="339" w:bottom="1440" w:gutter="0" w:footer="0" w:header="0"/>
        </w:sectPr>
      </w:pPr>
    </w:p>
    <w:bookmarkStart w:id="435" w:name="page436"/>
    <w:bookmarkEnd w:id="435"/>
    <w:p>
      <w:pPr>
        <w:spacing w:after="0" w:line="266" w:lineRule="auto"/>
        <w:rPr>
          <w:sz w:val="20"/>
          <w:szCs w:val="20"/>
          <w:color w:val="auto"/>
        </w:rPr>
      </w:pPr>
      <w:r>
        <w:rPr>
          <w:rFonts w:ascii="Times New Roman" w:cs="Times New Roman" w:eastAsia="Times New Roman" w:hAnsi="Times New Roman"/>
          <w:sz w:val="21"/>
          <w:szCs w:val="21"/>
          <w:color w:val="auto"/>
        </w:rPr>
        <w:t>amendment of or waiver under any Indenture, (B) any subsequent change in the amount of any basket or exception under any Indenture (to the extent the secured amount of the Obligations is not required to be reduced under the terms of the Indentures) or</w:t>
      </w:r>
    </w:p>
    <w:p>
      <w:pPr>
        <w:spacing w:after="0" w:line="2" w:lineRule="exact"/>
        <w:rPr>
          <w:sz w:val="20"/>
          <w:szCs w:val="20"/>
          <w:color w:val="auto"/>
        </w:rPr>
      </w:pPr>
    </w:p>
    <w:p>
      <w:pPr>
        <w:jc w:val="both"/>
        <w:ind w:firstLine="8"/>
        <w:spacing w:after="0" w:line="248" w:lineRule="auto"/>
        <w:tabs>
          <w:tab w:leader="none" w:pos="366" w:val="left"/>
        </w:tabs>
        <w:numPr>
          <w:ilvl w:val="0"/>
          <w:numId w:val="3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other event or condition (to the extent the secured amount of the Obligations is not required to be reduced under the terms of the Indentures);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if the outstanding amount of the Obligations shall be reduced below the amount permitted to be secured by security interests, pledges and Liens in or on the Indenture Properties and shall later be increased, the newly incurred Obligations will be secured by security interests, pledges and Liens in or on the Indenture Properties only to the extent permitted under the Indentures and the foregoing provisions of this Section at the time of such increase or thereafter. Nothing in the preceding two sentences shall result in the aggregate amount of the Obligations secured by the Indenture Properties exceeding the maximum amount of the Obligations that can be so secured without violation of the Indentures.</w:t>
      </w:r>
    </w:p>
    <w:p>
      <w:pPr>
        <w:spacing w:after="0" w:line="184"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10" w:val="left"/>
        </w:tabs>
        <w:numPr>
          <w:ilvl w:val="1"/>
          <w:numId w:val="3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security interests granted under this Section are granted as security only and shall not subject the Collateral Agent or any other Secured Party to, or in any way alter or modify, any obligation or liability of any Grantor with respect to or arising out of the Article 9 Collateral.</w:t>
      </w:r>
    </w:p>
    <w:p>
      <w:pPr>
        <w:spacing w:after="0" w:line="169" w:lineRule="exact"/>
        <w:rPr>
          <w:sz w:val="20"/>
          <w:szCs w:val="20"/>
          <w:color w:val="auto"/>
        </w:rPr>
      </w:pPr>
    </w:p>
    <w:p>
      <w:pPr>
        <w:jc w:val="both"/>
        <w:ind w:firstLine="8"/>
        <w:spacing w:after="0" w:line="250" w:lineRule="auto"/>
        <w:tabs>
          <w:tab w:leader="none" w:pos="306" w:val="left"/>
        </w:tabs>
        <w:numPr>
          <w:ilvl w:val="0"/>
          <w:numId w:val="3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Certain Filings. </w:t>
      </w:r>
      <w:r>
        <w:rPr>
          <w:rFonts w:ascii="Times New Roman" w:cs="Times New Roman" w:eastAsia="Times New Roman" w:hAnsi="Times New Roman"/>
          <w:sz w:val="22"/>
          <w:szCs w:val="22"/>
          <w:color w:val="auto"/>
        </w:rPr>
        <w:t>(i)Each Grantor hereby irrevocably authorizes the Collateral Agent at any time and from time to time to file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 any relevant jurisdiction any initial financing statements (including fixture filings) with respect to the Article 9 Collateral of such Grantor or any part thereof and amendments thereto that contain the information required by Article 9 of the Uniform Commercial Code of each applicable jurisdiction for the filing of any financing statement or amendment, including (i) whether such Grantor is an organization, the jurisdiction in which it is organized, the type of organization and any organizational identification number issued to such Grantor and (ii) in the case of a financing statement filed as a fixture filing, a sufficient description of the real property to which such Article 9 Collateral relates. Each Grantor agrees to provide such information to the Collateral Agent promptly upon request. Each Grantor also ratifies its authorization for the Collateral Agent to file in any relevant jurisdiction any initial financing statements or amendments thereto if filed prior to the date hereof.</w:t>
      </w:r>
    </w:p>
    <w:p>
      <w:pPr>
        <w:spacing w:after="0" w:line="183" w:lineRule="exact"/>
        <w:rPr>
          <w:rFonts w:ascii="Times New Roman" w:cs="Times New Roman" w:eastAsia="Times New Roman" w:hAnsi="Times New Roman"/>
          <w:sz w:val="22"/>
          <w:szCs w:val="22"/>
          <w:color w:val="auto"/>
        </w:rPr>
      </w:pPr>
    </w:p>
    <w:p>
      <w:pPr>
        <w:jc w:val="both"/>
        <w:ind w:firstLine="1304"/>
        <w:spacing w:after="0" w:line="253" w:lineRule="auto"/>
        <w:tabs>
          <w:tab w:leader="none" w:pos="1615" w:val="left"/>
        </w:tabs>
        <w:numPr>
          <w:ilvl w:val="1"/>
          <w:numId w:val="3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Agent is further authorized to file with the United States Patent and Trademark Office or United States Copyright Office (or any successor office or any similar office in any other country) such documents as may be necessary or advisable for the purpose of perfecting, confirming, continuing, enforcing or protecting any security interest granted by any Grantor in any Material Intellectual Property, without the signature of such Grantor, and naming such Grantor or the Grantors as debtors and the Collateral Agent as secured party.</w:t>
      </w:r>
    </w:p>
    <w:p>
      <w:pPr>
        <w:spacing w:after="0" w:line="178" w:lineRule="exact"/>
        <w:rPr>
          <w:rFonts w:ascii="Times New Roman" w:cs="Times New Roman" w:eastAsia="Times New Roman" w:hAnsi="Times New Roman"/>
          <w:sz w:val="22"/>
          <w:szCs w:val="22"/>
          <w:color w:val="auto"/>
        </w:rPr>
      </w:pPr>
    </w:p>
    <w:p>
      <w:pPr>
        <w:ind w:firstLine="1304"/>
        <w:spacing w:after="0" w:line="295" w:lineRule="auto"/>
        <w:tabs>
          <w:tab w:leader="none" w:pos="1686" w:val="left"/>
        </w:tabs>
        <w:numPr>
          <w:ilvl w:val="1"/>
          <w:numId w:val="3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Collateral Agent is further authorized to file with the Federal Aviation Administration (or any successor office or any similar office in any other country) such documents as may be necessary or advisable for the purpose of perfecting,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[[6773428]]</w:t>
      </w:r>
    </w:p>
    <w:p>
      <w:pPr>
        <w:sectPr>
          <w:pgSz w:w="11900" w:h="16838" w:orient="portrait"/>
          <w:cols w:equalWidth="0" w:num="1">
            <w:col w:w="11240"/>
          </w:cols>
          <w:pgMar w:left="320" w:top="1421" w:right="339" w:bottom="1440" w:gutter="0" w:footer="0" w:header="0"/>
        </w:sectPr>
      </w:pPr>
    </w:p>
    <w:bookmarkStart w:id="436" w:name="page437"/>
    <w:bookmarkEnd w:id="436"/>
    <w:p>
      <w:pPr>
        <w:spacing w:after="0" w:line="271" w:lineRule="auto"/>
        <w:rPr>
          <w:sz w:val="20"/>
          <w:szCs w:val="20"/>
          <w:color w:val="auto"/>
        </w:rPr>
      </w:pPr>
      <w:r>
        <w:rPr>
          <w:rFonts w:ascii="Times New Roman" w:cs="Times New Roman" w:eastAsia="Times New Roman" w:hAnsi="Times New Roman"/>
          <w:sz w:val="22"/>
          <w:szCs w:val="22"/>
          <w:color w:val="auto"/>
        </w:rPr>
        <w:t>confirming, continuing, enforcing or protecting any security interest granted by any Grantor in any Aircraft and naming such Grantor or the Grantors as debtors and the Collateral Agent as secured party.</w:t>
      </w:r>
    </w:p>
    <w:p>
      <w:pPr>
        <w:spacing w:after="0" w:line="154" w:lineRule="exact"/>
        <w:rPr>
          <w:sz w:val="20"/>
          <w:szCs w:val="20"/>
          <w:color w:val="auto"/>
        </w:rPr>
      </w:pPr>
    </w:p>
    <w:p>
      <w:pPr>
        <w:jc w:val="both"/>
        <w:ind w:firstLine="8"/>
        <w:spacing w:after="0" w:line="265" w:lineRule="auto"/>
        <w:tabs>
          <w:tab w:leader="none" w:pos="321" w:val="left"/>
        </w:tabs>
        <w:numPr>
          <w:ilvl w:val="0"/>
          <w:numId w:val="3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Representations and Warranties. </w:t>
      </w:r>
      <w:r>
        <w:rPr>
          <w:rFonts w:ascii="Times New Roman" w:cs="Times New Roman" w:eastAsia="Times New Roman" w:hAnsi="Times New Roman"/>
          <w:sz w:val="22"/>
          <w:szCs w:val="22"/>
          <w:color w:val="auto"/>
        </w:rPr>
        <w:t>The Grantors jointly and severally represent and warrant to the Collateral Agent and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Secured Parties that each Grantor has good and valid rights (including ownership rights) in the material Article 9 Collateral with respect to which it has purported to grant a security interest hereunder.</w:t>
      </w:r>
    </w:p>
    <w:p>
      <w:pPr>
        <w:spacing w:after="0" w:line="161" w:lineRule="exact"/>
        <w:rPr>
          <w:rFonts w:ascii="Times New Roman" w:cs="Times New Roman" w:eastAsia="Times New Roman" w:hAnsi="Times New Roman"/>
          <w:sz w:val="22"/>
          <w:szCs w:val="22"/>
          <w:color w:val="auto"/>
        </w:rPr>
      </w:pPr>
    </w:p>
    <w:p>
      <w:pPr>
        <w:jc w:val="both"/>
        <w:ind w:firstLine="8"/>
        <w:spacing w:after="0" w:line="266" w:lineRule="auto"/>
        <w:tabs>
          <w:tab w:leader="none" w:pos="306" w:val="left"/>
        </w:tabs>
        <w:numPr>
          <w:ilvl w:val="0"/>
          <w:numId w:val="3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Covenants. </w:t>
      </w:r>
      <w:r>
        <w:rPr>
          <w:rFonts w:ascii="Times New Roman" w:cs="Times New Roman" w:eastAsia="Times New Roman" w:hAnsi="Times New Roman"/>
          <w:sz w:val="21"/>
          <w:szCs w:val="21"/>
          <w:color w:val="auto"/>
        </w:rPr>
        <w:t>(i)Each Grantor agrees promptly (and in any event within 30 days) to notify the Collateral Agent in writing of 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change (i) in its corporate name, (ii) in the location of its chief executive office, (iii) in its identity or type of organization or corporate structure and (iv) in its Federal Taxpayer Identification Number or organizational identification number. Each Grantor agrees to furnish the Collateral Agent at least 10 Business Day (or such shorter period as the Collateral Agent may agree) prior written notice of any change in its jurisdiction of organization. Each Grantor agrees promptly to provide the Collateral Agent with certified organizational documents reflecting any of the changes described in the first sentence of this paragraph.</w:t>
      </w:r>
    </w:p>
    <w:p>
      <w:pPr>
        <w:spacing w:after="0" w:line="166" w:lineRule="exact"/>
        <w:rPr>
          <w:rFonts w:ascii="Times New Roman" w:cs="Times New Roman" w:eastAsia="Times New Roman" w:hAnsi="Times New Roman"/>
          <w:sz w:val="21"/>
          <w:szCs w:val="21"/>
          <w:color w:val="auto"/>
        </w:rPr>
      </w:pPr>
    </w:p>
    <w:p>
      <w:pPr>
        <w:jc w:val="both"/>
        <w:ind w:firstLine="1304"/>
        <w:spacing w:after="0" w:line="250" w:lineRule="auto"/>
        <w:tabs>
          <w:tab w:leader="none" w:pos="1618" w:val="left"/>
        </w:tabs>
        <w:numPr>
          <w:ilvl w:val="1"/>
          <w:numId w:val="3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Grantor agrees to maintain, at its own cost and expense, such complete and accurate records with respect to the Article 9 Collateral owned by it as shall be consistent with its current practices and in accordance with such prudent and standard practices used in industries that are the same as or similar to those in which such Grantor is engaged, but in any event to include complete accounting records indicating all payments and proceeds received with respect to any part of the Article 9 Collateral, and, at such time or times as the Collateral Agent may reasonably request, promptly to prepare and deliver to the Collateral Agent schedules in form and detail reasonably satisfactory to the Collateral Agent showing the identity, amount and location of any specified Article 9 Collateral.</w:t>
      </w:r>
    </w:p>
    <w:p>
      <w:pPr>
        <w:spacing w:after="0" w:line="180" w:lineRule="exact"/>
        <w:rPr>
          <w:rFonts w:ascii="Times New Roman" w:cs="Times New Roman" w:eastAsia="Times New Roman" w:hAnsi="Times New Roman"/>
          <w:sz w:val="22"/>
          <w:szCs w:val="22"/>
          <w:color w:val="auto"/>
        </w:rPr>
      </w:pPr>
    </w:p>
    <w:p>
      <w:pPr>
        <w:jc w:val="both"/>
        <w:ind w:firstLine="1304"/>
        <w:spacing w:after="0" w:line="250" w:lineRule="auto"/>
        <w:tabs>
          <w:tab w:leader="none" w:pos="1677" w:val="left"/>
        </w:tabs>
        <w:numPr>
          <w:ilvl w:val="1"/>
          <w:numId w:val="3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year, at the time of delivery of annual financial statements of the Company with respect to the preceding fiscal year pursuant to the Credit Agreement, the Company shall deliver to the Collateral Agent a certificate executed on behalf of the Company by a Financial Officer and a legal officer of the Company setting forth the information required pursuant to the Perfection Certificate (including the Schedules thereto) or confirming that there has been no change in such information since the date of such certificate or the date of the most recent certificate delivered pursuant to this paragraph, and setting forth for any Aircraft owned by any Grantor and not already listed on Schedule I hereto information sufficient to permit the Collateral Agent to file notices of its security interests in such Aircraft with the Federal Aviation Administration, including the model number, the tail number, the name, the serial number and the location of such Aircraft (and Schedule I shall be automatically updated to list any Aircraft identified in any such certificate).</w:t>
      </w:r>
    </w:p>
    <w:p>
      <w:pPr>
        <w:spacing w:after="0" w:line="179" w:lineRule="exact"/>
        <w:rPr>
          <w:rFonts w:ascii="Times New Roman" w:cs="Times New Roman" w:eastAsia="Times New Roman" w:hAnsi="Times New Roman"/>
          <w:sz w:val="22"/>
          <w:szCs w:val="22"/>
          <w:color w:val="auto"/>
        </w:rPr>
      </w:pPr>
    </w:p>
    <w:p>
      <w:pPr>
        <w:ind w:firstLine="1304"/>
        <w:spacing w:after="0" w:line="271" w:lineRule="auto"/>
        <w:tabs>
          <w:tab w:leader="none" w:pos="1669" w:val="left"/>
        </w:tabs>
        <w:numPr>
          <w:ilvl w:val="1"/>
          <w:numId w:val="3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Agent and such Persons as the Collateral Agent may reasonably designate shall have the right, at the Grantors’ own cost and expense,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[[6773428]]</w:t>
      </w:r>
    </w:p>
    <w:p>
      <w:pPr>
        <w:sectPr>
          <w:pgSz w:w="11900" w:h="16838" w:orient="portrait"/>
          <w:cols w:equalWidth="0" w:num="1">
            <w:col w:w="11240"/>
          </w:cols>
          <w:pgMar w:left="320" w:top="1421" w:right="339" w:bottom="1440" w:gutter="0" w:footer="0" w:header="0"/>
        </w:sectPr>
      </w:pPr>
    </w:p>
    <w:bookmarkStart w:id="437" w:name="page438"/>
    <w:bookmarkEnd w:id="437"/>
    <w:p>
      <w:pPr>
        <w:jc w:val="both"/>
        <w:spacing w:after="0" w:line="250" w:lineRule="auto"/>
        <w:rPr>
          <w:sz w:val="20"/>
          <w:szCs w:val="20"/>
          <w:color w:val="auto"/>
        </w:rPr>
      </w:pPr>
      <w:r>
        <w:rPr>
          <w:rFonts w:ascii="Times New Roman" w:cs="Times New Roman" w:eastAsia="Times New Roman" w:hAnsi="Times New Roman"/>
          <w:sz w:val="22"/>
          <w:szCs w:val="22"/>
          <w:color w:val="auto"/>
        </w:rPr>
        <w:t>inspect the Article 9 Collateral and the premises upon which any of the Article 9 Collateral is located and to verify under reasonable procedures, in accordance with the provisions of the Credit Agreement, the validity, amount, quality, quantity, value, condition and status of, or any other matter relating to, the Article 9 Collateral, including, only after the occurrence and during the continuance of an Event of Default, in the case of Accounts or Article 9 Collateral in the possession of any third person, by contacting Account Debtors or the third person possessing such Article 9 Collateral for the purpose of making such a verification. The Collateral Agent shall have the absolute right to share any information it gains from such inspection or verification with any Secured Party.</w:t>
      </w:r>
    </w:p>
    <w:p>
      <w:pPr>
        <w:spacing w:after="0" w:line="180" w:lineRule="exact"/>
        <w:rPr>
          <w:sz w:val="20"/>
          <w:szCs w:val="20"/>
          <w:color w:val="auto"/>
        </w:rPr>
      </w:pPr>
    </w:p>
    <w:p>
      <w:pPr>
        <w:jc w:val="both"/>
        <w:ind w:firstLine="1304"/>
        <w:spacing w:after="0" w:line="250" w:lineRule="auto"/>
        <w:tabs>
          <w:tab w:leader="none" w:pos="1625" w:val="left"/>
        </w:tabs>
        <w:numPr>
          <w:ilvl w:val="0"/>
          <w:numId w:val="3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its option, the Collateral Agent may discharge past due taxes, assessments, charges, fees, Liens, security interests or other encumbrances at any time levied or placed on the Article 9 Collateral and not permitted pursuant to the Credit Agreement, and may pay for the maintenance and preservation of the Article 9 Collateral to the extent any Grantor fails to do so as required by the Credit Agreement or this Agreement, and each Grantor jointly and severally agrees to reimburse the Collateral Agent on demand for any payment made or any expense incurred by the Collateral Agent pursuant to the foregoing authorization;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nothing in this paragraph shall be interpreted as excusing any Grantor from the performance of, or imposing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obligation on the Collateral Agent or any Secured Party to perform, any covenants or other promises of any Grantor with respect to taxes, assessments, charges, fees, Liens, security interests or other encumbrances and maintenance as set forth herein or in the other Credit Documents.</w:t>
      </w:r>
    </w:p>
    <w:p>
      <w:pPr>
        <w:spacing w:after="0" w:line="179" w:lineRule="exact"/>
        <w:rPr>
          <w:rFonts w:ascii="Times New Roman" w:cs="Times New Roman" w:eastAsia="Times New Roman" w:hAnsi="Times New Roman"/>
          <w:sz w:val="22"/>
          <w:szCs w:val="22"/>
          <w:color w:val="auto"/>
        </w:rPr>
      </w:pPr>
    </w:p>
    <w:p>
      <w:pPr>
        <w:jc w:val="both"/>
        <w:ind w:firstLine="1304"/>
        <w:spacing w:after="0" w:line="247" w:lineRule="auto"/>
        <w:tabs>
          <w:tab w:leader="none" w:pos="1685" w:val="left"/>
        </w:tabs>
        <w:numPr>
          <w:ilvl w:val="0"/>
          <w:numId w:val="3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Grantors, at their own expense, shall maintain, or cause to be maintained, insurance covering physical loss or damage to the Inventory and Equipment included in the Article 9 Collateral in accordance with the requirements set forth in the Credit Agreement. Each Grantor irrevocably makes, constitutes and appoints the Collateral Agent (and all officers, employees or agents designated by the Collateral Agent) as such Grantor’s true and lawful agent (and attorney-in-fact) for the purpose, during the continuance of an Event of Default, of making, settling and adjusting claims in respect of Article 9 Collateral under policies of insurance, endorsing the name of such Grantor on any check, draft, instrument or other item of payment for the proceeds of such policies of insurance and for making all determinations and decisions with respect thereto. In the event that any Grantor at any time or times shall fail to obtain or maintain any of the policies of insurance required hereby or to pay any premium in whole or part relating thereto, the Collateral Agent may, without waiving or releasing any obligation or liability of the Grantors hereunder or any Event of Default, in its sole discretion, obtain and maintain such policies of insurance and pay such premiums and take any other actions with respect thereto as the Collateral Agent deems advisable. All sums disbursed by the Collateral Agent in connection with this paragraph, including reasonable attorneys’ fees, court costs, expenses and other charges relating thereto, shall be payable, upon demand, by the Grantors to the Collateral Agent and shall be additional Obligations secured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[[6773428]]</w:t>
      </w:r>
    </w:p>
    <w:p>
      <w:pPr>
        <w:sectPr>
          <w:pgSz w:w="11900" w:h="16838" w:orient="portrait"/>
          <w:cols w:equalWidth="0" w:num="1">
            <w:col w:w="11240"/>
          </w:cols>
          <w:pgMar w:left="320" w:top="1421" w:right="339" w:bottom="1440" w:gutter="0" w:footer="0" w:header="0"/>
        </w:sectPr>
      </w:pPr>
    </w:p>
    <w:bookmarkStart w:id="438" w:name="page439"/>
    <w:bookmarkEnd w:id="438"/>
    <w:p>
      <w:pPr>
        <w:ind w:firstLine="1304"/>
        <w:spacing w:after="0" w:line="271" w:lineRule="auto"/>
        <w:tabs>
          <w:tab w:leader="none" w:pos="1735" w:val="left"/>
        </w:tabs>
        <w:numPr>
          <w:ilvl w:val="1"/>
          <w:numId w:val="4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Grantor shall maintain, in form and manner reasonably satisfactory to the Collateral Agent, records of its Chattel Paper and its books, records and documents evidencing or pertaining thereto.</w:t>
      </w:r>
    </w:p>
    <w:p>
      <w:pPr>
        <w:spacing w:after="0" w:line="153" w:lineRule="exact"/>
        <w:rPr>
          <w:rFonts w:ascii="Times New Roman" w:cs="Times New Roman" w:eastAsia="Times New Roman" w:hAnsi="Times New Roman"/>
          <w:sz w:val="22"/>
          <w:szCs w:val="22"/>
          <w:color w:val="auto"/>
        </w:rPr>
      </w:pPr>
    </w:p>
    <w:p>
      <w:pPr>
        <w:jc w:val="both"/>
        <w:ind w:firstLine="8"/>
        <w:spacing w:after="0" w:line="252" w:lineRule="auto"/>
        <w:tabs>
          <w:tab w:leader="none" w:pos="294" w:val="left"/>
        </w:tabs>
        <w:numPr>
          <w:ilvl w:val="0"/>
          <w:numId w:val="4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Other Actions. </w:t>
      </w:r>
      <w:r>
        <w:rPr>
          <w:rFonts w:ascii="Times New Roman" w:cs="Times New Roman" w:eastAsia="Times New Roman" w:hAnsi="Times New Roman"/>
          <w:sz w:val="22"/>
          <w:szCs w:val="22"/>
          <w:color w:val="auto"/>
        </w:rPr>
        <w:t>In order to further ensure the attachment, perfection and priority of, and the ability of the Collateral Agent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enforce, the security interests created hereby, each Grantor agrees, in each case at such Grantor’s own expense, to take the following actions with respect to the following Article 9 Collateral: if any Grantor shall at any time hold or acquire any Instrument representing Indebtedness in excess of $3,000,000, such Grantor shall forthwith endorse, assign and deliver the same to the Collateral Agent, accompanied by such instruments of transfer or assignment duly executed in blank as the Collateral Agent may from time to time reasonably request.</w:t>
      </w:r>
    </w:p>
    <w:p>
      <w:pPr>
        <w:spacing w:after="0" w:line="188" w:lineRule="exact"/>
        <w:rPr>
          <w:rFonts w:ascii="Times New Roman" w:cs="Times New Roman" w:eastAsia="Times New Roman" w:hAnsi="Times New Roman"/>
          <w:sz w:val="22"/>
          <w:szCs w:val="22"/>
          <w:color w:val="auto"/>
        </w:rPr>
      </w:pPr>
    </w:p>
    <w:p>
      <w:pPr>
        <w:jc w:val="both"/>
        <w:ind w:firstLine="8"/>
        <w:spacing w:after="0" w:line="251" w:lineRule="auto"/>
        <w:tabs>
          <w:tab w:leader="none" w:pos="270" w:val="left"/>
        </w:tabs>
        <w:numPr>
          <w:ilvl w:val="0"/>
          <w:numId w:val="4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Covenants Regarding Patent, Trademark and Copyright Collateral. </w:t>
      </w:r>
      <w:r>
        <w:rPr>
          <w:rFonts w:ascii="Times New Roman" w:cs="Times New Roman" w:eastAsia="Times New Roman" w:hAnsi="Times New Roman"/>
          <w:sz w:val="22"/>
          <w:szCs w:val="22"/>
          <w:color w:val="auto"/>
        </w:rPr>
        <w:t>(i)Each Grantor agrees that it will not do or omit to do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act (and will exercise commercially reasonable efforts to prevent its licensees from doing or omitting to do any act) whereby any Patent constituting Material Intellectual Property may become invalidated or dedicated to the public, and agrees that it shall continue to mark any products covered by such Patent with the relevant patent number consistent with good business judgment to establish and preserve its rights under applicable patent laws.</w:t>
      </w:r>
    </w:p>
    <w:p>
      <w:pPr>
        <w:spacing w:after="0" w:line="179" w:lineRule="exact"/>
        <w:rPr>
          <w:rFonts w:ascii="Times New Roman" w:cs="Times New Roman" w:eastAsia="Times New Roman" w:hAnsi="Times New Roman"/>
          <w:sz w:val="22"/>
          <w:szCs w:val="22"/>
          <w:color w:val="auto"/>
        </w:rPr>
      </w:pPr>
    </w:p>
    <w:p>
      <w:pPr>
        <w:jc w:val="both"/>
        <w:ind w:firstLine="1304"/>
        <w:spacing w:after="0" w:line="253" w:lineRule="auto"/>
        <w:tabs>
          <w:tab w:leader="none" w:pos="1635" w:val="left"/>
        </w:tabs>
        <w:numPr>
          <w:ilvl w:val="1"/>
          <w:numId w:val="4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Grantor (either itself or through its licensees or its sublicensees) will, for each Trademark constituting Material Intellectual Property, (i) maintain such Trademark in full force free from any claim of abandonment or invalidity for non-use, (ii) maintain the quality of products and services offered under such Trademark, (iii) display such Trademark with notice of Federal or foreign registration consistent with good business judgment to establish and preserve its rights under applicable law and (iv) not knowingly use or knowingly permit the use of such Trademark in violation of any third party rights.</w:t>
      </w:r>
    </w:p>
    <w:p>
      <w:pPr>
        <w:spacing w:after="0" w:line="178" w:lineRule="exact"/>
        <w:rPr>
          <w:rFonts w:ascii="Times New Roman" w:cs="Times New Roman" w:eastAsia="Times New Roman" w:hAnsi="Times New Roman"/>
          <w:sz w:val="22"/>
          <w:szCs w:val="22"/>
          <w:color w:val="auto"/>
        </w:rPr>
      </w:pPr>
    </w:p>
    <w:p>
      <w:pPr>
        <w:jc w:val="both"/>
        <w:ind w:firstLine="1304"/>
        <w:spacing w:after="0" w:line="281" w:lineRule="auto"/>
        <w:tabs>
          <w:tab w:leader="none" w:pos="1675" w:val="left"/>
        </w:tabs>
        <w:numPr>
          <w:ilvl w:val="1"/>
          <w:numId w:val="4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Grantor (either itself or through its licensees or sublicensees) will, for each work covered by a Copyright constituting Material Intellectual Property, continue to publish, reproduce, display, adopt and distribute the work with appropriate copyright notice consistent with good business judgment to establish and preserve its rights under applicable copyright laws.</w:t>
      </w:r>
    </w:p>
    <w:p>
      <w:pPr>
        <w:spacing w:after="0" w:line="150" w:lineRule="exact"/>
        <w:rPr>
          <w:rFonts w:ascii="Times New Roman" w:cs="Times New Roman" w:eastAsia="Times New Roman" w:hAnsi="Times New Roman"/>
          <w:sz w:val="21"/>
          <w:szCs w:val="21"/>
          <w:color w:val="auto"/>
        </w:rPr>
      </w:pPr>
    </w:p>
    <w:p>
      <w:pPr>
        <w:jc w:val="both"/>
        <w:ind w:firstLine="1304"/>
        <w:spacing w:after="0" w:line="250" w:lineRule="auto"/>
        <w:tabs>
          <w:tab w:leader="none" w:pos="1683" w:val="left"/>
        </w:tabs>
        <w:numPr>
          <w:ilvl w:val="1"/>
          <w:numId w:val="4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Grantor shall notify the Collateral Agent promptly if it knows or has reason to know that any Patent, Trademark or Copyright constituting Material Intellectual Property may become abandoned, lost or dedicated to the public, or of any materially adverse determination or development (including the institution of, or any such determination or development in, any proceeding in the United States Patent and Trademark Office, United States Copyright Office or any court or similar office of any country) regarding such Grantor’s ownership of any Patent, Trademark or Copyright, its right to register the same, or its right to keep and maintain the same;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notification need not be given if such impairment of such Intellectual Property is not material viewed against the Material Intellectual Property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[[6773428]]</w:t>
      </w:r>
    </w:p>
    <w:p>
      <w:pPr>
        <w:sectPr>
          <w:pgSz w:w="11900" w:h="16838" w:orient="portrait"/>
          <w:cols w:equalWidth="0" w:num="1">
            <w:col w:w="11240"/>
          </w:cols>
          <w:pgMar w:left="320" w:top="1421" w:right="339" w:bottom="1440" w:gutter="0" w:footer="0" w:header="0"/>
        </w:sectPr>
      </w:pPr>
    </w:p>
    <w:bookmarkStart w:id="439" w:name="page440"/>
    <w:bookmarkEnd w:id="439"/>
    <w:p>
      <w:pPr>
        <w:jc w:val="both"/>
        <w:ind w:firstLine="1304"/>
        <w:spacing w:after="0" w:line="249" w:lineRule="auto"/>
        <w:tabs>
          <w:tab w:leader="none" w:pos="1606" w:val="left"/>
        </w:tabs>
        <w:numPr>
          <w:ilvl w:val="1"/>
          <w:numId w:val="4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Grantor will take all steps consistent with good business judgment that are consistent with the practice in any proceeding before the United States Patent and Trademark Office, United States Copyright Office or any office or agency in any political subdivision of the United States or in any other country or any political subdivision thereof, to maintain and pursue each application relating to the Patents, Trademarks and/or Copyrights constituting Material Intellectual Property (and to obtain the relevant grant or registration) and to maintain each issued Patent and each registration of the Trademarks and Copyrights constituting Material Intellectual Property, including timely filings of applications for renewal, affidavits of use, affidavits of incontestability and payment of maintenance fees, and, if consistent with good business judgment, to initiate opposition, interference and cancelation proceedings against third parties.</w:t>
      </w:r>
    </w:p>
    <w:p>
      <w:pPr>
        <w:spacing w:after="0" w:line="195" w:lineRule="exact"/>
        <w:rPr>
          <w:rFonts w:ascii="Times New Roman" w:cs="Times New Roman" w:eastAsia="Times New Roman" w:hAnsi="Times New Roman"/>
          <w:sz w:val="22"/>
          <w:szCs w:val="22"/>
          <w:color w:val="auto"/>
        </w:rPr>
      </w:pPr>
    </w:p>
    <w:p>
      <w:pPr>
        <w:jc w:val="both"/>
        <w:ind w:firstLine="1304"/>
        <w:spacing w:after="0" w:line="257" w:lineRule="auto"/>
        <w:tabs>
          <w:tab w:leader="none" w:pos="1672" w:val="left"/>
        </w:tabs>
        <w:numPr>
          <w:ilvl w:val="1"/>
          <w:numId w:val="4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and during the continuance of an Event of Default, each Grantor shall endeavor in good faith to obtain all requisite consents or approvals by the licensor of each Copyright License, Patent License or Trademark License to effect the assignment of all such Grantor’s right, title and interest thereunder to the Collateral Agent or its designee.</w:t>
      </w:r>
    </w:p>
    <w:p>
      <w:pPr>
        <w:spacing w:after="0" w:line="168" w:lineRule="exact"/>
        <w:rPr>
          <w:rFonts w:ascii="Times New Roman" w:cs="Times New Roman" w:eastAsia="Times New Roman" w:hAnsi="Times New Roman"/>
          <w:sz w:val="22"/>
          <w:szCs w:val="22"/>
          <w:color w:val="auto"/>
        </w:rPr>
      </w:pPr>
    </w:p>
    <w:p>
      <w:pPr>
        <w:jc w:val="both"/>
        <w:ind w:firstLine="8"/>
        <w:spacing w:after="0" w:line="247" w:lineRule="auto"/>
        <w:tabs>
          <w:tab w:leader="none" w:pos="306" w:val="left"/>
        </w:tabs>
        <w:numPr>
          <w:ilvl w:val="0"/>
          <w:numId w:val="4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Lockbox System. </w:t>
      </w:r>
      <w:r>
        <w:rPr>
          <w:rFonts w:ascii="Times New Roman" w:cs="Times New Roman" w:eastAsia="Times New Roman" w:hAnsi="Times New Roman"/>
          <w:sz w:val="22"/>
          <w:szCs w:val="22"/>
          <w:color w:val="auto"/>
        </w:rPr>
        <w:t>(i)The Grantors shall maintain, subject to the control of the Collateral Agent pursuant to the Account Control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Agreements, a system of lockboxes and related Deposit Accounts (the </w:t>
      </w:r>
      <w:r>
        <w:rPr>
          <w:rFonts w:ascii="Times New Roman" w:cs="Times New Roman" w:eastAsia="Times New Roman" w:hAnsi="Times New Roman"/>
          <w:sz w:val="22"/>
          <w:szCs w:val="22"/>
          <w:i w:val="1"/>
          <w:iCs w:val="1"/>
          <w:color w:val="auto"/>
        </w:rPr>
        <w:t>“Lockbox System”).</w:t>
      </w:r>
      <w:r>
        <w:rPr>
          <w:rFonts w:ascii="Times New Roman" w:cs="Times New Roman" w:eastAsia="Times New Roman" w:hAnsi="Times New Roman"/>
          <w:sz w:val="22"/>
          <w:szCs w:val="22"/>
          <w:color w:val="auto"/>
        </w:rPr>
        <w:t xml:space="preserve"> Each Grantor agrees that it shall have no Deposit Accounts other than (A) Deposit Accounts in the Lockbox System, (B) Excluded Operating Accounts and (C) Local Collection Accounts. Each Grantor further agrees (i) to cause at all times to be in effect with respect to each Deposit Account Institution at which any Deposit Account (other than an Excluded Operating Account or a Local Collection Account) is maintained an Account Control Agreement with respect to each such Deposit Account, (ii) to notify and direct promptly each Account Debtor and every other Person obligated to make payments on Accounts or in respect of any Inventory to make all such payments directly to one or more Deposit Accounts in the Lockbox System (or, in the case of Accounts or Inventory of the Company’s retail division (including both consumer and commercial), Local Collection Accounts) or related lockboxes, (iii) to use all reasonable efforts to cause each such Account Debtor and other Person to make all payments with respect to Accounts and Inventory directly to one or more Deposit Accounts in the Lockbox System (or, in the case of Accounts or Inventory of the Company’s retail division (including both consumer and commercial), Local Collection Accounts) or related lockboxes, (iv) promptly to deposit all payments received by it on account of Accounts and Inventory, whether in the form of cash, checks, notes, drafts, bills of exchange, money orders or otherwise, in one or more Deposit Accounts in the Lockbox System (or, in the case of Accounts or Inventory of the Company’s retail division (including both consumer and commercial), Local Collection Accounts) or related lockboxes in the form in which received (but with any endorsements of such Grantor necessary for deposit or collection), (v) to maintain at all times a Collateral Proceeds Account in the United States, a U.S. dollar Collateral Proceeds Account in Canada and a Canadian dollar Collateral Proceeds Account in Canada, in each case on terms reasonably satisfactory to the Collateral Agent, (vi) to cause all funds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[[6773428]]</w:t>
      </w:r>
    </w:p>
    <w:p>
      <w:pPr>
        <w:sectPr>
          <w:pgSz w:w="11900" w:h="16838" w:orient="portrait"/>
          <w:cols w:equalWidth="0" w:num="1">
            <w:col w:w="11240"/>
          </w:cols>
          <w:pgMar w:left="320" w:top="1421" w:right="339" w:bottom="1440" w:gutter="0" w:footer="0" w:header="0"/>
        </w:sectPr>
      </w:pPr>
    </w:p>
    <w:bookmarkStart w:id="440" w:name="page441"/>
    <w:bookmarkEnd w:id="440"/>
    <w:p>
      <w:pPr>
        <w:jc w:val="both"/>
        <w:spacing w:after="0" w:line="259" w:lineRule="auto"/>
        <w:rPr>
          <w:sz w:val="20"/>
          <w:szCs w:val="20"/>
          <w:color w:val="auto"/>
        </w:rPr>
      </w:pPr>
      <w:r>
        <w:rPr>
          <w:rFonts w:ascii="Times New Roman" w:cs="Times New Roman" w:eastAsia="Times New Roman" w:hAnsi="Times New Roman"/>
          <w:sz w:val="21"/>
          <w:szCs w:val="21"/>
          <w:color w:val="auto"/>
        </w:rPr>
        <w:t xml:space="preserve">deposit in Local Collection Accounts to be remitted periodically, but in no event less frequently than weekly, to a Deposit Account in the Lockbox System which is subject to an Account Control Agreement, and (vii) to maintain in effect agreements with the applicable Deposit Account Institutions under which amounts on deposit in each Deposit Account (other than Excluded Operating Accounts and Local Collection Accounts) located in the United States and in Canada will not less often than weekly be paid to the Collateral Agent for deposit in same day funds in the Collateral Proceeds Account located in the United States or in the Collateral Proceeds Account in Canada;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so long as no Event of Default has occurred and is continuing, the Grantors shall be permitted to retain in the Deposit Accounts (including Local Collection Accounts, but excluding (I) Excluded Operating Accounts and (II) each Collateral Proceeds Account) which are subject to clauses (vi) and (vii) above, an amount, in the aggregate for all such Deposit Accounts, not to exceed $10,000,000, which amount is to be calculated following the sweep of any such Deposit Account on each date for which the standing instructions to sweep such Deposit Account are applicable. So long as no Event of Default has occurred and is continuing, the Collateral Agent shall promptly (and no less frequently than each Business Day) remit any funds on deposit in each Collateral Proceeds Account to one or more accounts of the Company that have been designated by the Company. Effective upon notice to the Company after the occurrence and during the continuance of an Event of Default, each Collateral Proceeds Account and each Deposit Account (other than Excluded Operating Accounts and Local Collection Accounts) will, without further action on the part of any Grantor or the Collateral Agent, convert into a closed lockbox account under the sole dominion and control of the Collateral Agent in which all funds are held subject to the rights of the Collateral Agent hereunder. Without the prior written consent of the Collateral Agent, no Grantor shall, in a manner adverse to the Secured Parties, change the general instructions given to Account Debtors in respect of payments to be deposited in the Lockbox System. Each Grantor irrevocably authorizes the Collateral Agent, upon the occurrence of an Event of Default, to deliver a Control Notice under each Account Control Agreement. The Collateral Agent agrees with each Grantor that the Collateral Agent shall not give any instructions pursuant to any Account Control Agreement terminating such Account Control Agreement or the right of such Grantor to make withdrawals from any Deposit Account in the Lockbox System unless an Event of Default shall have occurred and be continuing or, after giving effect to any withdrawal, would occur.</w:t>
      </w:r>
    </w:p>
    <w:p>
      <w:pPr>
        <w:spacing w:after="0" w:line="172" w:lineRule="exact"/>
        <w:rPr>
          <w:sz w:val="20"/>
          <w:szCs w:val="20"/>
          <w:color w:val="auto"/>
        </w:rPr>
      </w:pPr>
    </w:p>
    <w:p>
      <w:pPr>
        <w:ind w:firstLine="8"/>
        <w:spacing w:after="0" w:line="287" w:lineRule="auto"/>
        <w:tabs>
          <w:tab w:leader="none" w:pos="306" w:val="left"/>
        </w:tabs>
        <w:numPr>
          <w:ilvl w:val="0"/>
          <w:numId w:val="4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Insurance. </w:t>
      </w:r>
      <w:r>
        <w:rPr>
          <w:rFonts w:ascii="Times New Roman" w:cs="Times New Roman" w:eastAsia="Times New Roman" w:hAnsi="Times New Roman"/>
          <w:sz w:val="22"/>
          <w:szCs w:val="22"/>
          <w:color w:val="auto"/>
        </w:rPr>
        <w:t>Each Grantor shall cause the Collateral Agent to be named as loss payee on all property insurance maintained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respect of property subject to the Mortgages.</w:t>
      </w:r>
    </w:p>
    <w:p>
      <w:pPr>
        <w:spacing w:after="0" w:line="137" w:lineRule="exact"/>
        <w:rPr>
          <w:rFonts w:ascii="Times New Roman" w:cs="Times New Roman" w:eastAsia="Times New Roman" w:hAnsi="Times New Roman"/>
          <w:sz w:val="22"/>
          <w:szCs w:val="22"/>
          <w:color w:val="auto"/>
        </w:rPr>
      </w:pPr>
    </w:p>
    <w:p>
      <w:pPr>
        <w:jc w:val="both"/>
        <w:ind w:firstLine="8"/>
        <w:spacing w:after="0" w:line="251" w:lineRule="auto"/>
        <w:tabs>
          <w:tab w:leader="none" w:pos="271" w:val="left"/>
        </w:tabs>
        <w:numPr>
          <w:ilvl w:val="0"/>
          <w:numId w:val="4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Securities Accounts</w:t>
      </w:r>
      <w:r>
        <w:rPr>
          <w:rFonts w:ascii="Times New Roman" w:cs="Times New Roman" w:eastAsia="Times New Roman" w:hAnsi="Times New Roman"/>
          <w:sz w:val="22"/>
          <w:szCs w:val="22"/>
          <w:color w:val="auto"/>
        </w:rPr>
        <w:t>. If any securities, whether certificated or uncertificated, or other investment property now or hereafter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acquired by any Grantor are held by such Grantor or its nominee in an account with a securities intermediary, such Grantor shall promptly notify the Collateral Agent thereof and, at the Collateral Agent’s request and option, pursuant to an agreement in form and substance reasonably satisfactory to the Administrative Agent, cause such securities intermediary to agree to comply with entitlement orders or other instructions from the Collateral Agent to such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[[6773428]]</w:t>
      </w:r>
    </w:p>
    <w:p>
      <w:pPr>
        <w:sectPr>
          <w:pgSz w:w="11900" w:h="16838" w:orient="portrait"/>
          <w:cols w:equalWidth="0" w:num="1">
            <w:col w:w="11240"/>
          </w:cols>
          <w:pgMar w:left="320" w:top="1421" w:right="339" w:bottom="1440" w:gutter="0" w:footer="0" w:header="0"/>
        </w:sectPr>
      </w:pPr>
    </w:p>
    <w:bookmarkStart w:id="441" w:name="page442"/>
    <w:bookmarkEnd w:id="441"/>
    <w:p>
      <w:pPr>
        <w:jc w:val="both"/>
        <w:spacing w:after="0" w:line="256" w:lineRule="auto"/>
        <w:rPr>
          <w:sz w:val="20"/>
          <w:szCs w:val="20"/>
          <w:color w:val="auto"/>
        </w:rPr>
      </w:pPr>
      <w:r>
        <w:rPr>
          <w:rFonts w:ascii="Times New Roman" w:cs="Times New Roman" w:eastAsia="Times New Roman" w:hAnsi="Times New Roman"/>
          <w:sz w:val="22"/>
          <w:szCs w:val="22"/>
          <w:color w:val="auto"/>
        </w:rPr>
        <w:t>intermediary as to such security entitlements without further consent of any Grantor, such nominee, or any other Person (each such agreement, a “Securities Account Control Agreement”). The Collateral Agent agrees with each of the Grantors that the Collateral Agent shall not give any such entitlement orders or instructions or directions to any such issuer or securities intermediary unless an Event of Default has occurred and is continuing.</w:t>
      </w:r>
    </w:p>
    <w:p>
      <w:pPr>
        <w:spacing w:after="0" w:line="39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SECTION 14.</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Other Pledges, Mortgages and Security Interests</w:t>
      </w:r>
    </w:p>
    <w:p>
      <w:pPr>
        <w:spacing w:after="0" w:line="220" w:lineRule="exact"/>
        <w:rPr>
          <w:sz w:val="20"/>
          <w:szCs w:val="20"/>
          <w:color w:val="auto"/>
        </w:rPr>
      </w:pPr>
    </w:p>
    <w:p>
      <w:pPr>
        <w:ind w:left="300" w:hanging="292"/>
        <w:spacing w:after="0"/>
        <w:tabs>
          <w:tab w:leader="none" w:pos="300" w:val="left"/>
        </w:tabs>
        <w:numPr>
          <w:ilvl w:val="0"/>
          <w:numId w:val="4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Other Security Documents. </w:t>
      </w:r>
      <w:r>
        <w:rPr>
          <w:rFonts w:ascii="Times New Roman" w:cs="Times New Roman" w:eastAsia="Times New Roman" w:hAnsi="Times New Roman"/>
          <w:sz w:val="21"/>
          <w:szCs w:val="21"/>
          <w:color w:val="auto"/>
        </w:rPr>
        <w:t>In addition to the security interests created under Articles IV and V, the parties acknowledge that:</w:t>
      </w:r>
    </w:p>
    <w:p>
      <w:pPr>
        <w:spacing w:after="0" w:line="235" w:lineRule="exact"/>
        <w:rPr>
          <w:rFonts w:ascii="Times New Roman" w:cs="Times New Roman" w:eastAsia="Times New Roman" w:hAnsi="Times New Roman"/>
          <w:sz w:val="21"/>
          <w:szCs w:val="21"/>
          <w:color w:val="auto"/>
        </w:rPr>
      </w:pPr>
    </w:p>
    <w:p>
      <w:pPr>
        <w:jc w:val="both"/>
        <w:ind w:firstLine="1304"/>
        <w:spacing w:after="0" w:line="256" w:lineRule="auto"/>
        <w:tabs>
          <w:tab w:leader="none" w:pos="1599" w:val="left"/>
        </w:tabs>
        <w:numPr>
          <w:ilvl w:val="1"/>
          <w:numId w:val="4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applicable Grantors and the Collateral Agent are parties to the Foreign Pledge Agreements listed in Schedule II under which such Grantors have pledged (and the applicable Grantors may in the future enter into additional Foreign Pledge Agreements under which such Grantors may pledge) Equity Interests in Foreign Subsidiaries owned by them on a senior basis to secure the Obligations.</w:t>
      </w:r>
    </w:p>
    <w:p>
      <w:pPr>
        <w:spacing w:after="0" w:line="176" w:lineRule="exact"/>
        <w:rPr>
          <w:rFonts w:ascii="Times New Roman" w:cs="Times New Roman" w:eastAsia="Times New Roman" w:hAnsi="Times New Roman"/>
          <w:sz w:val="22"/>
          <w:szCs w:val="22"/>
          <w:color w:val="auto"/>
        </w:rPr>
      </w:pPr>
    </w:p>
    <w:p>
      <w:pPr>
        <w:ind w:firstLine="1304"/>
        <w:spacing w:after="0" w:line="271" w:lineRule="auto"/>
        <w:tabs>
          <w:tab w:leader="none" w:pos="1621" w:val="left"/>
        </w:tabs>
        <w:numPr>
          <w:ilvl w:val="1"/>
          <w:numId w:val="4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Grantors and the Collateral Agent are parties to the Mortgages as listed in Schedule III, under which they have mortgaged the real properties and interests in the Mortgaged Properties to secure the Obligations.</w:t>
      </w:r>
    </w:p>
    <w:p>
      <w:pPr>
        <w:spacing w:after="0" w:line="157" w:lineRule="exact"/>
        <w:rPr>
          <w:rFonts w:ascii="Times New Roman" w:cs="Times New Roman" w:eastAsia="Times New Roman" w:hAnsi="Times New Roman"/>
          <w:sz w:val="22"/>
          <w:szCs w:val="22"/>
          <w:color w:val="auto"/>
        </w:rPr>
      </w:pPr>
    </w:p>
    <w:p>
      <w:pPr>
        <w:jc w:val="both"/>
        <w:ind w:firstLine="1304"/>
        <w:spacing w:after="0" w:line="263" w:lineRule="auto"/>
        <w:tabs>
          <w:tab w:leader="none" w:pos="1690" w:val="left"/>
        </w:tabs>
        <w:numPr>
          <w:ilvl w:val="1"/>
          <w:numId w:val="4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Certain Grantors that are organized under the laws of Canada or one or more provinces thereof are entering into the Canadian Security Agreements, under which they are creating security interests in certain Collateral owned by them to secure the Obligations.</w:t>
      </w:r>
    </w:p>
    <w:p>
      <w:pPr>
        <w:spacing w:after="0" w:line="163" w:lineRule="exact"/>
        <w:rPr>
          <w:rFonts w:ascii="Times New Roman" w:cs="Times New Roman" w:eastAsia="Times New Roman" w:hAnsi="Times New Roman"/>
          <w:sz w:val="22"/>
          <w:szCs w:val="22"/>
          <w:color w:val="auto"/>
        </w:rPr>
      </w:pPr>
    </w:p>
    <w:p>
      <w:pPr>
        <w:jc w:val="both"/>
        <w:ind w:firstLine="8"/>
        <w:spacing w:after="0" w:line="250" w:lineRule="auto"/>
        <w:tabs>
          <w:tab w:leader="none" w:pos="306" w:val="left"/>
        </w:tabs>
        <w:numPr>
          <w:ilvl w:val="0"/>
          <w:numId w:val="4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Other Security Documents Subject to This Agreement. </w:t>
      </w:r>
      <w:r>
        <w:rPr>
          <w:rFonts w:ascii="Times New Roman" w:cs="Times New Roman" w:eastAsia="Times New Roman" w:hAnsi="Times New Roman"/>
          <w:sz w:val="22"/>
          <w:szCs w:val="22"/>
          <w:color w:val="auto"/>
        </w:rPr>
        <w:t>(i) The parties hereto and to the Other Security Documents agree that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they will observe and be bound by, and that the Other Security Documents will in all respects be subject to, the following provisions: (i) to the extent applicable, the provisions of Section 5.01(c) (limiting the amount of the obligations secured by the Indenture Properties); (ii) the provisions of Sections 7.02 and 7.03 (governing the exercise of remedies under the Other Security Documents and the distribution of the proceeds realized from the exercise of remedies under the Security Documents); (iii) the provisions of Articles IX and X (relating to the duties and responsibilities of the Collateral Agent); and (iv) the provisions of Section 12.13 (providing for releases of Guarantees of and Collateral securing the Obligations).</w:t>
      </w:r>
    </w:p>
    <w:p>
      <w:pPr>
        <w:spacing w:after="0" w:line="184" w:lineRule="exact"/>
        <w:rPr>
          <w:rFonts w:ascii="Times New Roman" w:cs="Times New Roman" w:eastAsia="Times New Roman" w:hAnsi="Times New Roman"/>
          <w:sz w:val="22"/>
          <w:szCs w:val="22"/>
          <w:color w:val="auto"/>
        </w:rPr>
      </w:pPr>
    </w:p>
    <w:p>
      <w:pPr>
        <w:jc w:val="both"/>
        <w:ind w:firstLine="1304"/>
        <w:spacing w:after="0" w:line="263" w:lineRule="auto"/>
        <w:tabs>
          <w:tab w:leader="none" w:pos="1624" w:val="left"/>
        </w:tabs>
        <w:numPr>
          <w:ilvl w:val="1"/>
          <w:numId w:val="4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Mortgages (other than any Mortgage that sets forth in full the provisions referred to in clauses (i) through (iv) of paragraph (a) above) contains or, with respect to any future mortgage, shall contain a provision substantially to the effect set forth below (in the language of such Mortgage) and satisfactory to the Collateral Agent and its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[[6773428]]</w:t>
      </w:r>
    </w:p>
    <w:p>
      <w:pPr>
        <w:sectPr>
          <w:pgSz w:w="11900" w:h="16838" w:orient="portrait"/>
          <w:cols w:equalWidth="0" w:num="1">
            <w:col w:w="11240"/>
          </w:cols>
          <w:pgMar w:left="320" w:top="1421" w:right="339" w:bottom="1440" w:gutter="0" w:footer="0" w:header="0"/>
        </w:sectPr>
      </w:pPr>
    </w:p>
    <w:bookmarkStart w:id="442" w:name="page443"/>
    <w:bookmarkEnd w:id="442"/>
    <w:p>
      <w:pPr>
        <w:jc w:val="both"/>
        <w:spacing w:after="0" w:line="250" w:lineRule="auto"/>
        <w:rPr>
          <w:sz w:val="20"/>
          <w:szCs w:val="20"/>
          <w:color w:val="auto"/>
        </w:rPr>
      </w:pPr>
      <w:r>
        <w:rPr>
          <w:rFonts w:ascii="Times New Roman" w:cs="Times New Roman" w:eastAsia="Times New Roman" w:hAnsi="Times New Roman"/>
          <w:sz w:val="22"/>
          <w:szCs w:val="22"/>
          <w:color w:val="auto"/>
        </w:rPr>
        <w:t>“THIS AGREEMENT AND THE PLEDGES, SECURITY INTERESTS AND OTHER LIENS AND CHARGES CREATED HEREBY ARE SUBJECT IN ALL RESPECTS TO THE PROVISIONS OF THE FIRST LIEN GUARANTEE AND COLLATERAL AGREEMENT DATED AS OF APRIL 8, 2005, AS AMENDED, AMONG THE GOODYEAR TIRE &amp; RUBBER COMPANY, CERTAIN OF ITS SUBSIDIARIES AND JPMORGAN CHASE BANK, N.A., AS COLLATERAL AGENT, AND ANY PROVISION OF THIS AGREEMENT THAT IS INCONSISTENT WITH THE PROVISIONS OF SUCH FIRST LIEN GUARANTEE AND COLLATERAL AGREEMENT SHALL BE DEEMED FOR ALL PURPOSES TO HAVE BEEN AMENDED TO CONFORM IN ALL RESPECTS TO SUCH PROVISIONS.”</w:t>
      </w:r>
    </w:p>
    <w:p>
      <w:pPr>
        <w:spacing w:after="0" w:line="39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SECTION 15.</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Remedies</w:t>
      </w:r>
    </w:p>
    <w:p>
      <w:pPr>
        <w:spacing w:after="0" w:line="220" w:lineRule="exact"/>
        <w:rPr>
          <w:sz w:val="20"/>
          <w:szCs w:val="20"/>
          <w:color w:val="auto"/>
        </w:rPr>
      </w:pPr>
    </w:p>
    <w:p>
      <w:pPr>
        <w:jc w:val="both"/>
        <w:ind w:firstLine="8"/>
        <w:spacing w:after="0" w:line="247" w:lineRule="auto"/>
        <w:tabs>
          <w:tab w:leader="none" w:pos="294" w:val="left"/>
        </w:tabs>
        <w:numPr>
          <w:ilvl w:val="0"/>
          <w:numId w:val="4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Remedies Upon Default. </w:t>
      </w:r>
      <w:r>
        <w:rPr>
          <w:rFonts w:ascii="Times New Roman" w:cs="Times New Roman" w:eastAsia="Times New Roman" w:hAnsi="Times New Roman"/>
          <w:sz w:val="22"/>
          <w:szCs w:val="22"/>
          <w:color w:val="auto"/>
        </w:rPr>
        <w:t>Upon the occurrence and during the continuance of an Event of Default under and as defined in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Credit Agreement, to the extent permitted by law, (a) the Collateral Agent may demand that each Grantor deliver each item of Collateral owned or held by it to the Collateral Agent, and each Grantor agrees so to deliver all such Collateral, and (b) the Collateral Agent shall have the right to take any of or all the following actions at the same or different times with respect to any Collateral: (i) with respect to any Collateral consisting of Intellectual Property, on demand, to cause its security interest in such Collateral to become an assignment, transfer and conveyance of any of or all such Collateral by the applicable Grantors to the Collateral Agent, or to grant any license or sublicense, whether general, special or otherwise, and whether on an exclusive or nonexclusive basis, with respect to any such Collateral throughout the world on such terms and conditions and in such manner as the Collateral Agent shall determine (other than in violation of any then-existing licensing arrangements to the extent that waivers cannot be obtained), and (ii) with or without legal process and with or without prior notice or demand for performance, to take possession of the Collateral and without liability for trespass to enter any premises where the Collateral may be located for the purpose of taking possession of or removing the Collateral and, generally, to exercise any and all rights afforded to a secured party under the Uniform Commercial Code or other applicable law. Without limiting the generality of the foregoing, each Grantor agrees that the Collateral Agent shall have the right, subject to the mandatory requirements of applicable law, to sell or otherwise dispose of all or any part of the Collateral at a public or private sale or at any broker’s board or on any securities exchange, for cash, upon credit or for future delivery as the Collateral Agent shall deem appropriate. The Collateral Agent shall be authorized at any such sale of securities (if it deems it advisable to do so) to restrict the prospective bidders or purchasers to Persons who will represent and agree that they are purchasing the Collateral for their own account for investment and not with a view to the distribution or sale thereof, and upon consummation of any such sale the Collateral Agent shall have the right to assign, transfer and deliver to the purchaser or purchasers thereof the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[[6773428]]</w:t>
      </w:r>
    </w:p>
    <w:p>
      <w:pPr>
        <w:sectPr>
          <w:pgSz w:w="11900" w:h="16838" w:orient="portrait"/>
          <w:cols w:equalWidth="0" w:num="1">
            <w:col w:w="11240"/>
          </w:cols>
          <w:pgMar w:left="320" w:top="1421" w:right="339" w:bottom="1440" w:gutter="0" w:footer="0" w:header="0"/>
        </w:sectPr>
      </w:pPr>
    </w:p>
    <w:bookmarkStart w:id="443" w:name="page444"/>
    <w:bookmarkEnd w:id="443"/>
    <w:p>
      <w:pPr>
        <w:jc w:val="both"/>
        <w:spacing w:after="0" w:line="256" w:lineRule="auto"/>
        <w:rPr>
          <w:sz w:val="20"/>
          <w:szCs w:val="20"/>
          <w:color w:val="auto"/>
        </w:rPr>
      </w:pPr>
      <w:r>
        <w:rPr>
          <w:rFonts w:ascii="Times New Roman" w:cs="Times New Roman" w:eastAsia="Times New Roman" w:hAnsi="Times New Roman"/>
          <w:sz w:val="22"/>
          <w:szCs w:val="22"/>
          <w:color w:val="auto"/>
        </w:rPr>
        <w:t>so sold. Each such purchaser at any sale of Collateral shall (to the extent permitted by law) hold the property sold absolutely, free from any claim or right on the part of any Grantor, and each Grantor hereby waives (to the extent permitted by law) all rights of redemption, stay and appraisal which such Grantor now has or may at any time in the future have under any rule of law or statute now existing or hereafter enacted.</w:t>
      </w:r>
    </w:p>
    <w:p>
      <w:pPr>
        <w:spacing w:after="0" w:line="176"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1"/>
          <w:szCs w:val="21"/>
          <w:color w:val="auto"/>
        </w:rPr>
        <w:t>In the case of any Collateral that constitutes Article 9 Collateral, the Collateral Agent shall give the applicable Grantors 10 days’ prior written notice (which each Grantor agrees is reasonable notice within the meaning of Section 9-611 of the New York UCC or its equivalent in other jurisdictions) of the Collateral Agent’s intention to make any sale of Collateral. Such notice, in the case of a public sale, shall state the time and place for such sale and, in the case of a sale at a broker’s board or on a securities exchange, shall state the board or exchange at which such sale is to be made and the day on which the Collateral, or portion thereof, will first be offered for sale at such board or exchange. Any such public sale shall be held at such time or times within ordinary business hours and at such place or places as the Collateral Agent may fix and state in the notice (if any) of such sale. At any such sale, the Collateral, or portion thereof, to be sold may be sold in one lot as an entirety or in separate parcels, as the Collateral Agent may (in its sole and absolute discretion) determine. The Collateral Agent shall not be obligated to make any sale of any Collateral if it shall determine not to do so, regardless of the fact that notice of sale of such Collateral shall have been given. The Collateral Agent may, without notice or publication, adjourn any public or private sale or cause the same to be adjourned from time to time by announcement at the time and place fixed for sale, and such sale may, without further notice, be made at the time and place to which the same was so adjourned. In case any sale of all or any part of the Collateral is made on credit or for future delivery, the Collateral so sold may be retained by the Collateral Agent until the sale price is paid by the purchaser or purchasers thereof, but the Collateral Agent shall not incur any liability in case any such purchaser or purchasers shall fail to take up and pay for the Collateral so sold and, in case of any such failure, such Collateral may be sold again upon like notice. At any public (or, to the extent permitted by law, private) sale made pursuant to this Agreement, any Secured Party may bid for or purchase, free (to the extent permitted by law) from any right of redemption, stay, valuation or appraisal on the part of any Grantor (all said rights being also hereby waived and released to the extent permitted by law), the Collateral or any part thereof offered for sale and may make payment on account thereof by using any claim then due and payable to such Secured Party from any Grantor as a credit against the purchase price, and such Secured Party may, upon compliance with the terms of sale, hold, retain and dispose of such property without further accountability to any Grantor therefor (to the extent permitted by law). For purposes hereof, a written agreement to purchase any Collateral or portion thereof shall be treated as a sale thereof; the Collateral Agent shall be free to carry out such sale pursuant to such agreement and no Grantor shall be entitled to the return of the Collateral or any portion thereof subject thereto, notwithstanding the fact that after the Collateral Agent shall have entered into such an agreement all Events of Default shall have been remedied and the Obligations paid in full. As an alternative to exercising the power of sale herein conferred upon it, the Collateral Agent may proceed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[[6773428]]</w:t>
      </w:r>
    </w:p>
    <w:p>
      <w:pPr>
        <w:sectPr>
          <w:pgSz w:w="11900" w:h="16838" w:orient="portrait"/>
          <w:cols w:equalWidth="0" w:num="1">
            <w:col w:w="11240"/>
          </w:cols>
          <w:pgMar w:left="320" w:top="1421" w:right="339" w:bottom="1440" w:gutter="0" w:footer="0" w:header="0"/>
        </w:sectPr>
      </w:pPr>
    </w:p>
    <w:bookmarkStart w:id="444" w:name="page445"/>
    <w:bookmarkEnd w:id="444"/>
    <w:p>
      <w:pPr>
        <w:jc w:val="both"/>
        <w:spacing w:after="0" w:line="256" w:lineRule="auto"/>
        <w:rPr>
          <w:sz w:val="20"/>
          <w:szCs w:val="20"/>
          <w:color w:val="auto"/>
        </w:rPr>
      </w:pPr>
      <w:r>
        <w:rPr>
          <w:rFonts w:ascii="Times New Roman" w:cs="Times New Roman" w:eastAsia="Times New Roman" w:hAnsi="Times New Roman"/>
          <w:sz w:val="22"/>
          <w:szCs w:val="22"/>
          <w:color w:val="auto"/>
        </w:rPr>
        <w:t>by a suit or suits at law or in equity to foreclose this Agreement and to sell the Collateral or any portion thereof pursuant to a judgment or decree of a court or courts having competent jurisdiction or pursuant to a proceeding by a court-appointed receiver. Any sale pursuant to the provisions of this Section shall be deemed to conform to the commercially reasonable standards as provided in Section 9-610(b) of the New York UCC or its equivalent in other jurisdictions.</w:t>
      </w:r>
    </w:p>
    <w:p>
      <w:pPr>
        <w:spacing w:after="0" w:line="172" w:lineRule="exact"/>
        <w:rPr>
          <w:sz w:val="20"/>
          <w:szCs w:val="20"/>
          <w:color w:val="auto"/>
        </w:rPr>
      </w:pPr>
    </w:p>
    <w:p>
      <w:pPr>
        <w:ind w:firstLine="8"/>
        <w:spacing w:after="0" w:line="275" w:lineRule="auto"/>
        <w:tabs>
          <w:tab w:leader="none" w:pos="319" w:val="left"/>
        </w:tabs>
        <w:numPr>
          <w:ilvl w:val="0"/>
          <w:numId w:val="4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Exercise of Remedies under Other Security Documents. </w:t>
      </w:r>
      <w:r>
        <w:rPr>
          <w:rFonts w:ascii="Times New Roman" w:cs="Times New Roman" w:eastAsia="Times New Roman" w:hAnsi="Times New Roman"/>
          <w:sz w:val="22"/>
          <w:szCs w:val="22"/>
          <w:color w:val="auto"/>
        </w:rPr>
        <w:t>The Collateral Agent shall also have the right to exercise remedies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provided for in each Other Security Document upon the occurrence and during the continuance of an Event of Default.</w:t>
      </w:r>
    </w:p>
    <w:p>
      <w:pPr>
        <w:spacing w:after="0" w:line="149" w:lineRule="exact"/>
        <w:rPr>
          <w:rFonts w:ascii="Times New Roman" w:cs="Times New Roman" w:eastAsia="Times New Roman" w:hAnsi="Times New Roman"/>
          <w:sz w:val="22"/>
          <w:szCs w:val="22"/>
          <w:color w:val="auto"/>
        </w:rPr>
      </w:pPr>
    </w:p>
    <w:p>
      <w:pPr>
        <w:ind w:firstLine="8"/>
        <w:spacing w:after="0" w:line="275" w:lineRule="auto"/>
        <w:tabs>
          <w:tab w:leader="none" w:pos="294" w:val="left"/>
        </w:tabs>
        <w:numPr>
          <w:ilvl w:val="0"/>
          <w:numId w:val="4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Application of Proceeds. </w:t>
      </w:r>
      <w:r>
        <w:rPr>
          <w:rFonts w:ascii="Times New Roman" w:cs="Times New Roman" w:eastAsia="Times New Roman" w:hAnsi="Times New Roman"/>
          <w:sz w:val="22"/>
          <w:szCs w:val="22"/>
          <w:color w:val="auto"/>
        </w:rPr>
        <w:t>(i)Unless otherwise required by applicable law, the Collateral Agent shall apply the proceeds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collection or sale of any Collateral, including any Collateral consisting of cash, as follows:</w:t>
      </w:r>
    </w:p>
    <w:p>
      <w:pPr>
        <w:spacing w:after="0" w:line="167" w:lineRule="exact"/>
        <w:rPr>
          <w:sz w:val="20"/>
          <w:szCs w:val="20"/>
          <w:color w:val="auto"/>
        </w:rPr>
      </w:pPr>
    </w:p>
    <w:p>
      <w:pPr>
        <w:jc w:val="both"/>
        <w:ind w:left="660" w:firstLine="648"/>
        <w:spacing w:after="0" w:line="248" w:lineRule="auto"/>
        <w:rPr>
          <w:sz w:val="20"/>
          <w:szCs w:val="20"/>
          <w:color w:val="auto"/>
        </w:rPr>
      </w:pPr>
      <w:r>
        <w:rPr>
          <w:rFonts w:ascii="Times New Roman" w:cs="Times New Roman" w:eastAsia="Times New Roman" w:hAnsi="Times New Roman"/>
          <w:sz w:val="22"/>
          <w:szCs w:val="22"/>
          <w:color w:val="auto"/>
        </w:rPr>
        <w:t>FIRST, to the payment of all costs and expenses incurred by the Collateral Agent in connection with such collection or sale or otherwise in connection with this Agreement or any other Credit Document, or otherwise in connection with any of the Obligations, including all court costs and the fees and expenses of its agents and legal counsel, the repayment of all advances made by the Collateral Agent hereunder or under any other Credit Document on behalf of any Grantor and any other costs or expenses incurred in connection with the exercise of any right or remedy hereunder or under any other Credit Document at the direction or for the benefit of holders of the Obligations;</w:t>
      </w:r>
    </w:p>
    <w:p>
      <w:pPr>
        <w:spacing w:after="0" w:line="200" w:lineRule="exact"/>
        <w:rPr>
          <w:sz w:val="20"/>
          <w:szCs w:val="20"/>
          <w:color w:val="auto"/>
        </w:rPr>
      </w:pPr>
    </w:p>
    <w:p>
      <w:pPr>
        <w:jc w:val="both"/>
        <w:ind w:left="660" w:firstLine="648"/>
        <w:spacing w:after="0" w:line="295" w:lineRule="auto"/>
        <w:rPr>
          <w:sz w:val="20"/>
          <w:szCs w:val="20"/>
          <w:color w:val="auto"/>
        </w:rPr>
      </w:pPr>
      <w:r>
        <w:rPr>
          <w:rFonts w:ascii="Times New Roman" w:cs="Times New Roman" w:eastAsia="Times New Roman" w:hAnsi="Times New Roman"/>
          <w:sz w:val="21"/>
          <w:szCs w:val="21"/>
          <w:color w:val="auto"/>
        </w:rPr>
        <w:t>SECOND, to the payment of all such Obligations as shall be owed to the Administrative Agent (in such capacity) and all such Obligations for fees, indemnification or the reimbursement of expenses as shall be owed to any Issuing Bank;</w:t>
      </w:r>
    </w:p>
    <w:p>
      <w:pPr>
        <w:spacing w:after="0" w:line="135" w:lineRule="exact"/>
        <w:rPr>
          <w:sz w:val="20"/>
          <w:szCs w:val="20"/>
          <w:color w:val="auto"/>
        </w:rPr>
      </w:pPr>
    </w:p>
    <w:p>
      <w:pPr>
        <w:jc w:val="both"/>
        <w:ind w:left="660" w:firstLine="648"/>
        <w:spacing w:after="0" w:line="271" w:lineRule="auto"/>
        <w:rPr>
          <w:sz w:val="20"/>
          <w:szCs w:val="20"/>
          <w:color w:val="auto"/>
        </w:rPr>
      </w:pPr>
      <w:r>
        <w:rPr>
          <w:rFonts w:ascii="Times New Roman" w:cs="Times New Roman" w:eastAsia="Times New Roman" w:hAnsi="Times New Roman"/>
          <w:sz w:val="22"/>
          <w:szCs w:val="22"/>
          <w:color w:val="auto"/>
        </w:rPr>
        <w:t>THIRD, to the payment in full of the other Obligations (other than Miscellaneous Obligations) secured by such Collateral, ratably in accordance with the amounts of such Obligations on the date of such application;</w:t>
      </w:r>
    </w:p>
    <w:p>
      <w:pPr>
        <w:spacing w:after="0" w:line="158" w:lineRule="exact"/>
        <w:rPr>
          <w:sz w:val="20"/>
          <w:szCs w:val="20"/>
          <w:color w:val="auto"/>
        </w:rPr>
      </w:pPr>
    </w:p>
    <w:p>
      <w:pPr>
        <w:jc w:val="both"/>
        <w:ind w:left="660" w:firstLine="648"/>
        <w:spacing w:after="0" w:line="263" w:lineRule="auto"/>
        <w:rPr>
          <w:sz w:val="20"/>
          <w:szCs w:val="20"/>
          <w:color w:val="auto"/>
        </w:rPr>
      </w:pPr>
      <w:r>
        <w:rPr>
          <w:rFonts w:ascii="Times New Roman" w:cs="Times New Roman" w:eastAsia="Times New Roman" w:hAnsi="Times New Roman"/>
          <w:sz w:val="22"/>
          <w:szCs w:val="22"/>
          <w:color w:val="auto"/>
        </w:rPr>
        <w:t>FOURTH, to the payment in full of any Miscellaneous Obligations (other than the Miscellaneous Obligations described in clause (c) of the definition of Miscellaneous Obligations) secured by such Collateral, ratably in accordance with the amounts of such Obligations on the date of such application;</w:t>
      </w:r>
    </w:p>
    <w:p>
      <w:pPr>
        <w:spacing w:after="0" w:line="167" w:lineRule="exact"/>
        <w:rPr>
          <w:sz w:val="20"/>
          <w:szCs w:val="20"/>
          <w:color w:val="auto"/>
        </w:rPr>
      </w:pPr>
    </w:p>
    <w:p>
      <w:pPr>
        <w:jc w:val="both"/>
        <w:ind w:left="660" w:firstLine="648"/>
        <w:spacing w:after="0" w:line="257" w:lineRule="auto"/>
        <w:rPr>
          <w:sz w:val="20"/>
          <w:szCs w:val="20"/>
          <w:color w:val="auto"/>
        </w:rPr>
      </w:pPr>
      <w:r>
        <w:rPr>
          <w:rFonts w:ascii="Times New Roman" w:cs="Times New Roman" w:eastAsia="Times New Roman" w:hAnsi="Times New Roman"/>
          <w:sz w:val="22"/>
          <w:szCs w:val="22"/>
          <w:color w:val="auto"/>
        </w:rPr>
        <w:t>FIFTH, to the payment in full of any Miscellaneous Obligations described in clause (c) of the definition of Miscellaneous Obligations secured by such Collateral, ratably in accordance with the amounts of such Obligations on the date of such application;</w:t>
      </w:r>
    </w:p>
    <w:p>
      <w:pPr>
        <w:spacing w:after="0" w:line="186" w:lineRule="exact"/>
        <w:rPr>
          <w:sz w:val="20"/>
          <w:szCs w:val="20"/>
          <w:color w:val="auto"/>
        </w:rPr>
      </w:pPr>
    </w:p>
    <w:p>
      <w:pPr>
        <w:jc w:val="both"/>
        <w:ind w:left="660" w:firstLine="648"/>
        <w:spacing w:after="0" w:line="271" w:lineRule="auto"/>
        <w:rPr>
          <w:sz w:val="20"/>
          <w:szCs w:val="20"/>
          <w:color w:val="auto"/>
        </w:rPr>
      </w:pPr>
      <w:r>
        <w:rPr>
          <w:rFonts w:ascii="Times New Roman" w:cs="Times New Roman" w:eastAsia="Times New Roman" w:hAnsi="Times New Roman"/>
          <w:sz w:val="22"/>
          <w:szCs w:val="22"/>
          <w:color w:val="auto"/>
        </w:rPr>
        <w:t>SIXTH, to the “Collateral Agent” under and as defined in the Second Lien Guarantee and Collateral Agreement for application as provided therein to satisfy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[[6773428]]</w:t>
      </w:r>
    </w:p>
    <w:p>
      <w:pPr>
        <w:sectPr>
          <w:pgSz w:w="11900" w:h="16838" w:orient="portrait"/>
          <w:cols w:equalWidth="0" w:num="1">
            <w:col w:w="11240"/>
          </w:cols>
          <w:pgMar w:left="320" w:top="1421" w:right="339" w:bottom="1440" w:gutter="0" w:footer="0" w:header="0"/>
        </w:sectPr>
      </w:pPr>
    </w:p>
    <w:bookmarkStart w:id="445" w:name="page446"/>
    <w:bookmarkEnd w:id="445"/>
    <w:p>
      <w:pPr>
        <w:jc w:val="both"/>
        <w:ind w:left="660"/>
        <w:spacing w:after="0" w:line="271" w:lineRule="auto"/>
        <w:rPr>
          <w:sz w:val="20"/>
          <w:szCs w:val="20"/>
          <w:color w:val="auto"/>
        </w:rPr>
      </w:pPr>
      <w:r>
        <w:rPr>
          <w:rFonts w:ascii="Times New Roman" w:cs="Times New Roman" w:eastAsia="Times New Roman" w:hAnsi="Times New Roman"/>
          <w:sz w:val="22"/>
          <w:szCs w:val="22"/>
          <w:color w:val="auto"/>
        </w:rPr>
        <w:t>obligations secured by Liens on the Collateral created thereunder or under the “Other Security Documents” (as defined therein) that are junior to the Liens created hereunder and under the Other Security Documents;</w:t>
      </w:r>
    </w:p>
    <w:p>
      <w:pPr>
        <w:spacing w:after="0" w:line="158"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22"/>
          <w:szCs w:val="22"/>
          <w:color w:val="auto"/>
        </w:rPr>
        <w:t>SEVENTH, if the Second Lien Guarantee and Collateral Agreement shall no longer be in effect or if the Collateral Agent shall be advised by the “Collateral Agent” under and as defined in the Second Lien Guarantee and Collateral Agreement that there are no persons entitled under the Second Lien Guarantee and Collateral Agreement to receive such proceeds or cash, to the Junior Collateral Agents (as such term is defined in the Lien Subordination and Intercreditor Agreement) for application as provided in the Lien Subordination and Intercreditor Agreement; and</w:t>
      </w:r>
    </w:p>
    <w:p>
      <w:pPr>
        <w:spacing w:after="0" w:line="179" w:lineRule="exact"/>
        <w:rPr>
          <w:sz w:val="20"/>
          <w:szCs w:val="20"/>
          <w:color w:val="auto"/>
        </w:rPr>
      </w:pPr>
    </w:p>
    <w:p>
      <w:pPr>
        <w:jc w:val="both"/>
        <w:ind w:left="660" w:firstLine="648"/>
        <w:spacing w:after="0" w:line="251" w:lineRule="auto"/>
        <w:rPr>
          <w:sz w:val="20"/>
          <w:szCs w:val="20"/>
          <w:color w:val="auto"/>
        </w:rPr>
      </w:pPr>
      <w:r>
        <w:rPr>
          <w:rFonts w:ascii="Times New Roman" w:cs="Times New Roman" w:eastAsia="Times New Roman" w:hAnsi="Times New Roman"/>
          <w:sz w:val="22"/>
          <w:szCs w:val="22"/>
          <w:color w:val="auto"/>
        </w:rPr>
        <w:t>EIGHTH, if there shall be no outstanding “Junior Obligations”, as defined in the Lien Subordination and Intercreditor Agreement, or if the Collateral Agent shall be advised by each Junior Collateral Agent (as such term is defined in the Lien Subordination and Intercreditor Agreement) that there are no persons entitled under the documents governing “Junior Obligations”, as defined in the Lien Subordination and Intercreditor Agreement, to receive such proceeds or cash, to the applicable Grantors, their successors or assigns, or as a court of competent jurisdiction may otherwise direct.</w:t>
      </w:r>
    </w:p>
    <w:p>
      <w:pPr>
        <w:spacing w:after="0" w:line="18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The Collateral Agent shall have absolute discretion as to the time of application of any such proceeds, moneys or balances in accordance with this Agreement. Upon any sale of Collateral by the Collateral Agent (including pursuant to a power of sale granted by statute or under a judicial proceeding), the receipt of the Collateral Agent or of the officer making the sale shall be a sufficient discharge to the purchaser or purchasers of the Collateral so sold and such purchaser or purchasers shall not be obligated to see to the application of any part of the purchase money paid over to the Collateral Agent or such officer or be answerable in any way for the misapplication thereof. Notwithstanding the provisions of clause THIRD above, any Article 9 Collateral consisting of cash deposited to collateralize Letter of Credit reimbursement obligations pursuant to the Credit Agreement will be applied first against such reimbursement obligations.</w:t>
      </w:r>
    </w:p>
    <w:p>
      <w:pPr>
        <w:spacing w:after="0" w:line="183" w:lineRule="exact"/>
        <w:rPr>
          <w:sz w:val="20"/>
          <w:szCs w:val="20"/>
          <w:color w:val="auto"/>
        </w:rPr>
      </w:pPr>
    </w:p>
    <w:p>
      <w:pPr>
        <w:jc w:val="both"/>
        <w:ind w:firstLine="8"/>
        <w:spacing w:after="0" w:line="249" w:lineRule="auto"/>
        <w:tabs>
          <w:tab w:leader="none" w:pos="306" w:val="left"/>
        </w:tabs>
        <w:numPr>
          <w:ilvl w:val="0"/>
          <w:numId w:val="4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Grant </w:t>
      </w:r>
      <w:r>
        <w:rPr>
          <w:rFonts w:ascii="Times New Roman" w:cs="Times New Roman" w:eastAsia="Times New Roman" w:hAnsi="Times New Roman"/>
          <w:sz w:val="22"/>
          <w:szCs w:val="22"/>
          <w:color w:val="auto"/>
        </w:rPr>
        <w:t>of</w:t>
      </w:r>
      <w:r>
        <w:rPr>
          <w:rFonts w:ascii="Times New Roman" w:cs="Times New Roman" w:eastAsia="Times New Roman" w:hAnsi="Times New Roman"/>
          <w:sz w:val="22"/>
          <w:szCs w:val="22"/>
          <w:i w:val="1"/>
          <w:iCs w:val="1"/>
          <w:color w:val="auto"/>
        </w:rPr>
        <w:t xml:space="preserve"> License to Use Intellectual Property. </w:t>
      </w:r>
      <w:r>
        <w:rPr>
          <w:rFonts w:ascii="Times New Roman" w:cs="Times New Roman" w:eastAsia="Times New Roman" w:hAnsi="Times New Roman"/>
          <w:sz w:val="22"/>
          <w:szCs w:val="22"/>
          <w:color w:val="auto"/>
        </w:rPr>
        <w:t>Each Grantor hereby grants to the Collateral Agent, to the extent necessary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enable the Collateral Agent to exercise rights and remedies under this Agreement and the Other Security Documents at such time as the Collateral Agent shall be lawfully entitled to exercise such rights and remedies, an irrevocable, nonexclusive license (exercisable without payment of royalty or other compensation to the Grantors) to use, license or sublicense any Intellectual Property now owned or hereafter acquired by such Grantor, and wherever the same may be located, including in such license reasonable access to all media in which any of the licensed items may be recorded or stored and to all computer software and programs used for the compilation or printout thereof, to the extent and only to the extent such license would not violate or result in a default under any license or other agreement, whether express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[[6773428]]</w:t>
      </w:r>
    </w:p>
    <w:p>
      <w:pPr>
        <w:sectPr>
          <w:pgSz w:w="11900" w:h="16838" w:orient="portrait"/>
          <w:cols w:equalWidth="0" w:num="1">
            <w:col w:w="11240"/>
          </w:cols>
          <w:pgMar w:left="320" w:top="1421" w:right="339" w:bottom="1440" w:gutter="0" w:footer="0" w:header="0"/>
        </w:sectPr>
      </w:pPr>
    </w:p>
    <w:bookmarkStart w:id="446" w:name="page447"/>
    <w:bookmarkEnd w:id="446"/>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implied, between the Grantor and any Person other than a Wholly Owned Subsidiary. The rights of the Collateral Agent under such license may be exercised, at the option of the Collateral Agent, solely upon the occurrence and during the continuation of an Event of Default;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license, sublicense or other transaction entered into by the Collateral Agent in accordance herewith shall be binding upon the Grantors notwithstanding any subsequent cure of any Event of Default.</w:t>
      </w:r>
    </w:p>
    <w:p>
      <w:pPr>
        <w:spacing w:after="0" w:line="172" w:lineRule="exact"/>
        <w:rPr>
          <w:sz w:val="20"/>
          <w:szCs w:val="20"/>
          <w:color w:val="auto"/>
        </w:rPr>
      </w:pPr>
    </w:p>
    <w:p>
      <w:pPr>
        <w:jc w:val="both"/>
        <w:ind w:firstLine="8"/>
        <w:spacing w:after="0" w:line="259" w:lineRule="auto"/>
        <w:tabs>
          <w:tab w:leader="none" w:pos="307" w:val="left"/>
        </w:tabs>
        <w:numPr>
          <w:ilvl w:val="0"/>
          <w:numId w:val="4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Securities Act. </w:t>
      </w:r>
      <w:r>
        <w:rPr>
          <w:rFonts w:ascii="Times New Roman" w:cs="Times New Roman" w:eastAsia="Times New Roman" w:hAnsi="Times New Roman"/>
          <w:sz w:val="21"/>
          <w:szCs w:val="21"/>
          <w:color w:val="auto"/>
        </w:rPr>
        <w:t>In view of the position of the Grantors in relation to the Pledged Collateral, or because of other current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future circumstances, a question may arise under the Securities Act of 1933, as now or hereafter in effect, or any similar statute hereafter enacted analogous in purpose or effect (such Act and any such similar statute as from time to time in effect being called the </w:t>
      </w:r>
      <w:r>
        <w:rPr>
          <w:rFonts w:ascii="Times New Roman" w:cs="Times New Roman" w:eastAsia="Times New Roman" w:hAnsi="Times New Roman"/>
          <w:sz w:val="21"/>
          <w:szCs w:val="21"/>
          <w:i w:val="1"/>
          <w:iCs w:val="1"/>
          <w:color w:val="auto"/>
        </w:rPr>
        <w:t>“Federal Securities Laws”)</w:t>
      </w:r>
      <w:r>
        <w:rPr>
          <w:rFonts w:ascii="Times New Roman" w:cs="Times New Roman" w:eastAsia="Times New Roman" w:hAnsi="Times New Roman"/>
          <w:sz w:val="21"/>
          <w:szCs w:val="21"/>
          <w:color w:val="auto"/>
        </w:rPr>
        <w:t xml:space="preserve"> with respect to any disposition of the Pledged Collateral permitted hereunder. Each Grantor understands that compliance with the Federal Securities Laws might very strictly limit the course of conduct of the Collateral Agent if the Collateral Agent were to attempt to dispose of all or any part of the Pledged Collateral, and might also limit the extent to which or the manner in which any subsequent transferee of any Pledged Collateral could dispose of the same. Similarly, there may be other legal restrictions or limitations affecting the Collateral Agent in any attempt to dispose of all or part of the Pledged Collateral under applicable Blue Sky or other state securities laws or similar laws analogous in purpose or effect. Each Grantor recognizes that in light of such restrictions and limitations the Collateral Agent may, with respect to any sale of the Pledged Collateral, limit the purchasers to those who will agree, among other things, to acquire such Pledged Collateral for their own account, for investment, and not with a view to the distribution or resale thereof. Each Grantor acknowledges and agrees that in light of such restrictions and limitations, the Collateral Agent, in its sole and absolute discretion (a) may proceed to make such a sale whether or not a registration statement for the purpose of registering such Pledged Collateral or part thereof shall have been filed under the Federal Securities Laws and (b) may approach and negotiate with a single potential purchaser to effect such sale. Each Grantor acknowledges and agrees that any such sale might result in prices and other terms less favorable than if such sale were a public sale without such restrictions. In the event of any such sale, the Collateral Agent shall incur no responsibility or liability for selling all or any part of the Pledged Collateral at a price that the Collateral Agent, in its sole and absolute discretion, may in good faith deem reasonable under the circumstances, notwithstanding the possibility that a substantially higher price might have been realized if the sale were deferred until after registration as aforesaid or if more than a single purchaser were approached. The provisions of this Section will apply notwithstanding the existence of a public or private market upon which the quotations or sales prices may exceed substantially the price at which the Collateral Agent sells.</w:t>
      </w:r>
    </w:p>
    <w:p>
      <w:pPr>
        <w:spacing w:after="0" w:line="179" w:lineRule="exact"/>
        <w:rPr>
          <w:rFonts w:ascii="Times New Roman" w:cs="Times New Roman" w:eastAsia="Times New Roman" w:hAnsi="Times New Roman"/>
          <w:sz w:val="21"/>
          <w:szCs w:val="21"/>
          <w:color w:val="auto"/>
        </w:rPr>
      </w:pPr>
    </w:p>
    <w:p>
      <w:pPr>
        <w:jc w:val="both"/>
        <w:ind w:firstLine="8"/>
        <w:spacing w:after="0" w:line="253" w:lineRule="auto"/>
        <w:tabs>
          <w:tab w:leader="none" w:pos="283" w:val="left"/>
        </w:tabs>
        <w:numPr>
          <w:ilvl w:val="0"/>
          <w:numId w:val="4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Registration. </w:t>
      </w:r>
      <w:r>
        <w:rPr>
          <w:rFonts w:ascii="Times New Roman" w:cs="Times New Roman" w:eastAsia="Times New Roman" w:hAnsi="Times New Roman"/>
          <w:sz w:val="22"/>
          <w:szCs w:val="22"/>
          <w:color w:val="auto"/>
        </w:rPr>
        <w:t>Each Grantor agrees that, upon the occurrence and during the continuance of an Event of Default, if for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reason the Collateral Agent desires to sell any of the Pledged Collateral at a public sale, it will, at any time and from time to time, upon the written request of the Collateral Agent, use its best efforts to take or to cause the issuer of such Pledged Collateral to take such action and prepare, distribute and/or file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[[6773428]]</w:t>
      </w:r>
    </w:p>
    <w:p>
      <w:pPr>
        <w:sectPr>
          <w:pgSz w:w="11900" w:h="16838" w:orient="portrait"/>
          <w:cols w:equalWidth="0" w:num="1">
            <w:col w:w="11240"/>
          </w:cols>
          <w:pgMar w:left="320" w:top="1421" w:right="339" w:bottom="1440" w:gutter="0" w:footer="0" w:header="0"/>
        </w:sectPr>
      </w:pPr>
    </w:p>
    <w:bookmarkStart w:id="447" w:name="page448"/>
    <w:bookmarkEnd w:id="447"/>
    <w:p>
      <w:pPr>
        <w:jc w:val="both"/>
        <w:spacing w:after="0" w:line="247" w:lineRule="auto"/>
        <w:rPr>
          <w:sz w:val="20"/>
          <w:szCs w:val="20"/>
          <w:color w:val="auto"/>
        </w:rPr>
      </w:pPr>
      <w:r>
        <w:rPr>
          <w:rFonts w:ascii="Times New Roman" w:cs="Times New Roman" w:eastAsia="Times New Roman" w:hAnsi="Times New Roman"/>
          <w:sz w:val="22"/>
          <w:szCs w:val="22"/>
          <w:color w:val="auto"/>
        </w:rPr>
        <w:t>such documents, as are required or advisable in the reasonable opinion of counsel for the Collateral Agent to permit the public sale of such Pledged Collateral under applicable law. Each Grantor further agrees to indemnify, defend and hold harmless the Collateral Agent, each other Secured Party, any underwriter and their respective officers, directors, affiliates and controlling persons from and against all loss, liability, expenses, costs of counsel (including, without limitation, reasonable fees and expenses of the Collateral Agent’s legal counsel), and claims (including the costs of investigation) that they may incur insofar as such loss, liability, expense or claim arises out of or is based upon any alleged untrue statement of a material fact contained in any prospectus (or any amendment or supplement thereto) or in any notification or offering circular relating to the offering for sale of any Pledged Collateral, or arises out of or is based upon any alleged omission to state a material fact required to be stated therein or necessary to make the statements in any thereof not misleading, except insofar as the same may have been caused by any untrue statement or omission based upon information furnished in writing to such Grantor or the issuer of such Pledged Collateral by the Collateral Agent or any other Secured Party expressly for use therein. Each Grantor further agrees, upon such written request referred to above, to use its best efforts to qualify, file or register, or cause the issuer of such Pledged Collateral to qualify, file or register, any of the Pledged Collateral under the Blue Sky or other securities laws of such jurisdictions as may be requested by the Collateral Agent and keep effective, or cause to be kept effective, all such qualifications, filings or registrations. Each Grantor will bear all costs and expenses of carrying out its obligations under this Section. Each Grantor acknowledges that there is no adequate remedy at law for failure by it to comply with the provisions of this Section and that such failure would not be adequately compensable in damages, and therefore agrees that its agreements contained in this Section may be specifically enforced.</w:t>
      </w:r>
    </w:p>
    <w:p>
      <w:pPr>
        <w:spacing w:after="0" w:line="200" w:lineRule="exact"/>
        <w:rPr>
          <w:sz w:val="20"/>
          <w:szCs w:val="20"/>
          <w:color w:val="auto"/>
        </w:rPr>
      </w:pPr>
    </w:p>
    <w:p>
      <w:pPr>
        <w:spacing w:after="0" w:line="20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SECTION 16.</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Indemnity, Subrogation and Subordination</w:t>
      </w:r>
    </w:p>
    <w:p>
      <w:pPr>
        <w:spacing w:after="0" w:line="220" w:lineRule="exact"/>
        <w:rPr>
          <w:sz w:val="20"/>
          <w:szCs w:val="20"/>
          <w:color w:val="auto"/>
        </w:rPr>
      </w:pPr>
    </w:p>
    <w:p>
      <w:pPr>
        <w:jc w:val="both"/>
        <w:ind w:firstLine="8"/>
        <w:spacing w:after="0" w:line="263" w:lineRule="auto"/>
        <w:tabs>
          <w:tab w:leader="none" w:pos="307" w:val="left"/>
        </w:tabs>
        <w:numPr>
          <w:ilvl w:val="0"/>
          <w:numId w:val="4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Indemnity and Subrogation. </w:t>
      </w:r>
      <w:r>
        <w:rPr>
          <w:rFonts w:ascii="Times New Roman" w:cs="Times New Roman" w:eastAsia="Times New Roman" w:hAnsi="Times New Roman"/>
          <w:sz w:val="21"/>
          <w:szCs w:val="21"/>
          <w:color w:val="auto"/>
        </w:rPr>
        <w:t>In addition to all such rights of indemnity and subrogation as the Grantors and Guarantors may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have under applicable law (but subject to Section 8.03), the Company agrees that (a) in the event a payment shall be made by any Guarantor under this Agreement in respect of an Obligation of the Company or of any Subsidiary other than such Guarantor or one of its Subsidiaries, the Company shall indemnify such Guarantor for the full amount of such payment and such Guarantor shall be subrogated to the rights of the Person to whom such payment shall have been made to the extent of such payment and</w:t>
      </w:r>
    </w:p>
    <w:p>
      <w:pPr>
        <w:jc w:val="both"/>
        <w:ind w:firstLine="8"/>
        <w:spacing w:after="0" w:line="245" w:lineRule="auto"/>
        <w:tabs>
          <w:tab w:leader="none" w:pos="314" w:val="left"/>
        </w:tabs>
        <w:numPr>
          <w:ilvl w:val="0"/>
          <w:numId w:val="4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any assets of any Grantor shall be sold pursuant to this Agreement or any Other Security Document to satisfy in whole or in part an Obligation of the Company or of any Subsidiary other than such Grantor or one of its Subsidiaries, the Company shall indemnify such Grantor in an amount equal to the greater of the book value or the fair market value of the assets so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[[6773428]]</w:t>
      </w:r>
    </w:p>
    <w:p>
      <w:pPr>
        <w:sectPr>
          <w:pgSz w:w="11900" w:h="16838" w:orient="portrait"/>
          <w:cols w:equalWidth="0" w:num="1">
            <w:col w:w="11240"/>
          </w:cols>
          <w:pgMar w:left="320" w:top="1421" w:right="339" w:bottom="1440" w:gutter="0" w:footer="0" w:header="0"/>
        </w:sectPr>
      </w:pPr>
    </w:p>
    <w:bookmarkStart w:id="448" w:name="page449"/>
    <w:bookmarkEnd w:id="448"/>
    <w:p>
      <w:pPr>
        <w:jc w:val="both"/>
        <w:ind w:firstLine="8"/>
        <w:spacing w:after="0" w:line="248" w:lineRule="auto"/>
        <w:tabs>
          <w:tab w:leader="none" w:pos="306" w:val="left"/>
        </w:tabs>
        <w:numPr>
          <w:ilvl w:val="0"/>
          <w:numId w:val="4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Contribution and Subrogation. </w:t>
      </w:r>
      <w:r>
        <w:rPr>
          <w:rFonts w:ascii="Times New Roman" w:cs="Times New Roman" w:eastAsia="Times New Roman" w:hAnsi="Times New Roman"/>
          <w:sz w:val="22"/>
          <w:szCs w:val="22"/>
          <w:color w:val="auto"/>
        </w:rPr>
        <w:t>Each Guarantor and Grantor, other than the Company, that has guaranteed, or granted Liens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secure, the Obligations (a </w:t>
      </w:r>
      <w:r>
        <w:rPr>
          <w:rFonts w:ascii="Times New Roman" w:cs="Times New Roman" w:eastAsia="Times New Roman" w:hAnsi="Times New Roman"/>
          <w:sz w:val="22"/>
          <w:szCs w:val="22"/>
          <w:i w:val="1"/>
          <w:iCs w:val="1"/>
          <w:color w:val="auto"/>
        </w:rPr>
        <w:t>“Contributing Party”)</w:t>
      </w:r>
      <w:r>
        <w:rPr>
          <w:rFonts w:ascii="Times New Roman" w:cs="Times New Roman" w:eastAsia="Times New Roman" w:hAnsi="Times New Roman"/>
          <w:sz w:val="22"/>
          <w:szCs w:val="22"/>
          <w:color w:val="auto"/>
        </w:rPr>
        <w:t xml:space="preserve"> agrees (subject to Section 8.03) that, in the event (a) a payment shall be made by any other Guarantor (other than the Company) hereunder in respect of any Obligations or (b) assets of any other Grantor (other than the Company) shall be sold pursuant to any Security Document to satisfy any Obligations, and such other Guarantor or Grantor (the </w:t>
      </w:r>
      <w:r>
        <w:rPr>
          <w:rFonts w:ascii="Times New Roman" w:cs="Times New Roman" w:eastAsia="Times New Roman" w:hAnsi="Times New Roman"/>
          <w:sz w:val="22"/>
          <w:szCs w:val="22"/>
          <w:i w:val="1"/>
          <w:iCs w:val="1"/>
          <w:color w:val="auto"/>
        </w:rPr>
        <w:t>“Claiming Party”)</w:t>
      </w:r>
      <w:r>
        <w:rPr>
          <w:rFonts w:ascii="Times New Roman" w:cs="Times New Roman" w:eastAsia="Times New Roman" w:hAnsi="Times New Roman"/>
          <w:sz w:val="22"/>
          <w:szCs w:val="22"/>
          <w:color w:val="auto"/>
        </w:rPr>
        <w:t xml:space="preserve"> shall not have been fully indemnified by the Company as provided in Section 8.01, the Contributing Party shall indemnify the Claiming Party in an amount equal to the amount of such payment or the greater of the book value or the fair market value of such assets, as the case may be, in each case multiplied by a fraction of which the numerator shall be the net worth of the Contributing Party and the denominator shall be the aggregate net worth of all the Guarantors and Grantors, other than the Company. For the purposes of the previous sentence, the net worth of each Guarantor and Grantor shall be determined on the date hereof (or, in the case of any Guarantor or Grantor becoming a Guarantor or Grantor after the date hereof, the date on which such Guarantor or Grantor shall have become a Guarantor or Grantor). Any Contributing Party making any payment to a Claiming Party pursuant to this Section shall be subrogated to the rights of such Claiming Party under Section 8.01 to the extent of such payment.</w:t>
      </w:r>
    </w:p>
    <w:p>
      <w:pPr>
        <w:spacing w:after="0" w:line="179" w:lineRule="exact"/>
        <w:rPr>
          <w:rFonts w:ascii="Times New Roman" w:cs="Times New Roman" w:eastAsia="Times New Roman" w:hAnsi="Times New Roman"/>
          <w:sz w:val="22"/>
          <w:szCs w:val="22"/>
          <w:color w:val="auto"/>
        </w:rPr>
      </w:pPr>
    </w:p>
    <w:p>
      <w:pPr>
        <w:jc w:val="both"/>
        <w:ind w:firstLine="8"/>
        <w:spacing w:after="0" w:line="250" w:lineRule="auto"/>
        <w:tabs>
          <w:tab w:leader="none" w:pos="294" w:val="left"/>
        </w:tabs>
        <w:numPr>
          <w:ilvl w:val="0"/>
          <w:numId w:val="4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Subordination. </w:t>
      </w:r>
      <w:r>
        <w:rPr>
          <w:rFonts w:ascii="Times New Roman" w:cs="Times New Roman" w:eastAsia="Times New Roman" w:hAnsi="Times New Roman"/>
          <w:sz w:val="22"/>
          <w:szCs w:val="22"/>
          <w:color w:val="auto"/>
        </w:rPr>
        <w:t>(i)Notwithstanding any provision of this Agreement to the contrary, all rights of the Guarantors and Grantors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under Sections 8.01 and 8.02 and all other rights of indemnity, contribution or subrogation under applicable law or otherwise shall be fully subordinated to the indefeasible payment in full in cash of the Obligations and the irrevocable termination of all the Commitments under the Credit Agreement, and no Guarantor or Grantor shall seek to enforce any of such rights until the Obligations have been paid in full and such Commitments have been terminated. No failure on the part of the Company or any other Guarantor or Grantor to make the payments required by Sections 8.01 and 8.02 (or any other payments required under applicable law or otherwise) shall in any respect limit the obligations and liabilities of any Guarantor or Grantor with respect to its obligations hereunder, and each Guarantor and Grantor shall remain liable for the full amount of the obligations of such Guarantor or Grantor hereunder.</w:t>
      </w:r>
    </w:p>
    <w:p>
      <w:pPr>
        <w:spacing w:after="0" w:line="40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SECTION 17.</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Duties of Collateral Agent</w:t>
      </w:r>
    </w:p>
    <w:p>
      <w:pPr>
        <w:spacing w:after="0" w:line="233" w:lineRule="exact"/>
        <w:rPr>
          <w:sz w:val="20"/>
          <w:szCs w:val="20"/>
          <w:color w:val="auto"/>
        </w:rPr>
      </w:pPr>
    </w:p>
    <w:p>
      <w:pPr>
        <w:jc w:val="both"/>
        <w:ind w:firstLine="8"/>
        <w:spacing w:after="0" w:line="269" w:lineRule="auto"/>
        <w:tabs>
          <w:tab w:leader="none" w:pos="294" w:val="left"/>
        </w:tabs>
        <w:numPr>
          <w:ilvl w:val="0"/>
          <w:numId w:val="4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Actions Under This Agreement</w:t>
      </w:r>
      <w:r>
        <w:rPr>
          <w:rFonts w:ascii="Times New Roman" w:cs="Times New Roman" w:eastAsia="Times New Roman" w:hAnsi="Times New Roman"/>
          <w:sz w:val="21"/>
          <w:szCs w:val="21"/>
          <w:color w:val="auto"/>
        </w:rPr>
        <w:t>. (i)The Collateral Agent shall not be obligated to take any action under this Agreement or 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Other Security Document except for the performance of such duties as are specifically set forth herein and therein. Subject to the provisions of Article X of this Agreement and to the succeeding provisions of this Section, the Collateral Agent shall take such actions, and only such actions, under this Agreement and the Other Security Documents with respect to any Collateral as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[[6773428]]</w:t>
      </w:r>
    </w:p>
    <w:p>
      <w:pPr>
        <w:sectPr>
          <w:pgSz w:w="11900" w:h="16838" w:orient="portrait"/>
          <w:cols w:equalWidth="0" w:num="1">
            <w:col w:w="11240"/>
          </w:cols>
          <w:pgMar w:left="320" w:top="1417" w:right="339" w:bottom="1440" w:gutter="0" w:footer="0" w:header="0"/>
        </w:sectPr>
      </w:pPr>
    </w:p>
    <w:bookmarkStart w:id="449" w:name="page450"/>
    <w:bookmarkEnd w:id="449"/>
    <w:p>
      <w:pPr>
        <w:jc w:val="both"/>
        <w:spacing w:after="0" w:line="257" w:lineRule="auto"/>
        <w:rPr>
          <w:sz w:val="20"/>
          <w:szCs w:val="20"/>
          <w:color w:val="auto"/>
        </w:rPr>
      </w:pPr>
      <w:r>
        <w:rPr>
          <w:rFonts w:ascii="Times New Roman" w:cs="Times New Roman" w:eastAsia="Times New Roman" w:hAnsi="Times New Roman"/>
          <w:sz w:val="22"/>
          <w:szCs w:val="22"/>
          <w:color w:val="auto"/>
        </w:rPr>
        <w:t>requested by the Administrative Agent, on behalf of the Majority Lenders, under the Credit Agreement and as are not inconsistent with or contrary to the provisions of this Agreement, any Other Security Document or the Credit Agreement, as well as ministerial and/or administrative actions required or permitted by this Agreement and the Other Security Documents.</w:t>
      </w:r>
    </w:p>
    <w:p>
      <w:pPr>
        <w:spacing w:after="0" w:line="186" w:lineRule="exact"/>
        <w:rPr>
          <w:sz w:val="20"/>
          <w:szCs w:val="20"/>
          <w:color w:val="auto"/>
        </w:rPr>
      </w:pPr>
    </w:p>
    <w:p>
      <w:pPr>
        <w:jc w:val="both"/>
        <w:ind w:firstLine="1304"/>
        <w:spacing w:after="0" w:line="248" w:lineRule="auto"/>
        <w:tabs>
          <w:tab w:leader="none" w:pos="1619" w:val="left"/>
        </w:tabs>
        <w:numPr>
          <w:ilvl w:val="0"/>
          <w:numId w:val="4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holders of the Miscellaneous Obligations shall not be entitled to, and shall not, (i) direct the actions of the Collateral Agent hereunder, (ii) take any action, or commence any legal proceeding seeking, to require, compel or cause the Collateral Agent to enforce any provisions of this Agreement against any Guarantor or Grantor or to exercise any remedy hereunder, (iii) take any action, or commence any legal proceeding seeking, to prevent or enjoin the Collateral Agent from taking any action (including, without limitation, the enforcement of any provisions of this Agreement against any Guarantor or Grantor, the exercise of any remedy hereunder, the release of any Guarantee or Collateral hereunder or the consent to any amendment or modification of this Agreement or the grant of any waiver hereunder), or refraining from taking any such action, in accordance with this Agreement or (iv) take any action, or commence any legal proceeding seeking, to delay, hinder or otherwise impair the Collateral Agent in taking any such action in accordance with this Agreement. By their acceptance of the benefits of this Agreement and the Other Security Documents, the holders of the Miscellaneous Obligations will be deemed to have acknowledged and agreed to the provisions of the preceding sentence, and to have acknowledged that such provisions are being relied upon by the other Secured Parties.</w:t>
      </w:r>
    </w:p>
    <w:p>
      <w:pPr>
        <w:spacing w:after="0" w:line="184" w:lineRule="exact"/>
        <w:rPr>
          <w:rFonts w:ascii="Times New Roman" w:cs="Times New Roman" w:eastAsia="Times New Roman" w:hAnsi="Times New Roman"/>
          <w:sz w:val="22"/>
          <w:szCs w:val="22"/>
          <w:color w:val="auto"/>
        </w:rPr>
      </w:pPr>
    </w:p>
    <w:p>
      <w:pPr>
        <w:jc w:val="both"/>
        <w:ind w:firstLine="1304"/>
        <w:spacing w:after="0" w:line="247" w:lineRule="auto"/>
        <w:tabs>
          <w:tab w:leader="none" w:pos="1682" w:val="left"/>
        </w:tabs>
        <w:numPr>
          <w:ilvl w:val="0"/>
          <w:numId w:val="4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AGENT HAS CONSENTED TO SERVE AS COLLATERAL AGENT HEREUNDER ON THE EXPRESS UNDERSTANDING, AND THE HOLDERS OF THE OBLIGATIONS, BY ACCEPTING THE BENEFITS OF THIS AGREEMENT, SHALL BE DEEMED TO HAVE AGREED, THAT THE COLLATERAL AGENT SHALL HAVE NO DUTY AND SHALL OWE NO OBLIGATION OR RESPONSIBILITY (FIDUCIARY OR OTHERWISE) TO THE HOLDERS OF ANY OBLIGATIONS, OTHER THAN THE DUTY TO PERFORM ITS EXPRESS OBLIGATIONS UNDER THIS AGREEMENT IN ACCORDANCE WITH THEIR TERMS, SUBJECT IN ALL EVENTS TO THE PROVISIONS OF ARTICLE X AND THE OTHER PROVISIONS OF THIS AGREEMENT LIMITING THE RESPONSIBILITY OR LIABILITY OF THE COLLATERAL AGENT HEREUNDER. WITHOUT LIMITING THE FOREGOING, THE HOLDERS OF THE MISCELLANEOUS OBLIGATIONS, BY ACCEPTING THE BENEFITS OF THIS AGREEMENT AND THE OTHER SECURITY DOCUMENTS, SHALL BE DEEMED TO HAVE WAIVED ANY RIGHT THEY MIGHT HAVE, UNDER APPLICABLE LAW OR OTHERWISE, TO COMPEL THE SALE OR OTHER DISPOSITION OF ANY COLLATERAL, AND ANY OBLIGATION THE COLLATERAL AGENT MIGHT HAVE, UNDER APPLICABLE LAW OR OTHERWISE, TO OBTAIN ANY MINIMUM PRICE FOR ANY COLLATERAL UPON THE SALE THEREOF, IT BEING EXPRESSLY UNDERSTOOD, AND THE AVAILABILITY OF THE BENEFITS OF THIS AGREEMENT TO THE HOLDERS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[[6773428]]</w:t>
      </w:r>
    </w:p>
    <w:p>
      <w:pPr>
        <w:sectPr>
          <w:pgSz w:w="11900" w:h="16838" w:orient="portrait"/>
          <w:cols w:equalWidth="0" w:num="1">
            <w:col w:w="11240"/>
          </w:cols>
          <w:pgMar w:left="320" w:top="1421" w:right="339" w:bottom="1440" w:gutter="0" w:footer="0" w:header="0"/>
        </w:sectPr>
      </w:pPr>
    </w:p>
    <w:bookmarkStart w:id="450" w:name="page451"/>
    <w:bookmarkEnd w:id="450"/>
    <w:p>
      <w:pPr>
        <w:jc w:val="both"/>
        <w:spacing w:after="0" w:line="256" w:lineRule="auto"/>
        <w:rPr>
          <w:sz w:val="20"/>
          <w:szCs w:val="20"/>
          <w:color w:val="auto"/>
        </w:rPr>
      </w:pPr>
      <w:r>
        <w:rPr>
          <w:rFonts w:ascii="Times New Roman" w:cs="Times New Roman" w:eastAsia="Times New Roman" w:hAnsi="Times New Roman"/>
          <w:sz w:val="22"/>
          <w:szCs w:val="22"/>
          <w:color w:val="auto"/>
        </w:rPr>
        <w:t>MISCELLANEOUS OBLIGATIONS BEING CONDITIONED UPON THE UNDERSTANDING, THAT THE SOLE RIGHT OF THE HOLDERS OF THE MISCELLANEOUS OBLIGATIONS SHALL BE TO RECEIVE THEIR RATABLE SHARE OF ANY PROCEEDS OF COLLATERAL IN ACCORDANCE WITH AND SUBJECT TO THE PROVISIONS OF THIS AGREEMENT.</w:t>
      </w:r>
    </w:p>
    <w:p>
      <w:pPr>
        <w:spacing w:after="0" w:line="39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SECTION 18.</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Concerning the Collateral Agent</w:t>
      </w:r>
    </w:p>
    <w:p>
      <w:pPr>
        <w:spacing w:after="0" w:line="220" w:lineRule="exact"/>
        <w:rPr>
          <w:sz w:val="20"/>
          <w:szCs w:val="20"/>
          <w:color w:val="auto"/>
        </w:rPr>
      </w:pPr>
    </w:p>
    <w:p>
      <w:pPr>
        <w:jc w:val="both"/>
        <w:ind w:firstLine="8"/>
        <w:spacing w:after="0" w:line="246" w:lineRule="auto"/>
        <w:tabs>
          <w:tab w:leader="none" w:pos="294" w:val="left"/>
        </w:tabs>
        <w:numPr>
          <w:ilvl w:val="0"/>
          <w:numId w:val="4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Limitations on Responsibility of Collateral Agent. </w:t>
      </w:r>
      <w:r>
        <w:rPr>
          <w:rFonts w:ascii="Times New Roman" w:cs="Times New Roman" w:eastAsia="Times New Roman" w:hAnsi="Times New Roman"/>
          <w:sz w:val="22"/>
          <w:szCs w:val="22"/>
          <w:color w:val="auto"/>
        </w:rPr>
        <w:t>The Collateral Agent shall not be responsible in any manner whatsoever for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correctness of any recitals, statements, representations or warranties contained herein or in any Other Security Document. The Collateral Agent makes no representation as to the value or condition of the Collateral or any part thereof, as to the title of any Grantor to the Collateral, as to the security afforded by this Agreement or any Other Security Document or as to the validity, execution, enforceability, legality or sufficiency of this Agreement or any Other Security Document, and the Collateral Agent shall incur no liability or responsibility in respect of any such matters. The Collateral Agent shall not be responsible for insuring the Collateral, for the payment of taxes, charges, assessments or Liens upon the Collateral or otherwise for the maintenance of the Collateral, except as provided in the immediately following sentence when the Collateral Agent has possession or control of the Collateral. Except as otherwise provided herein, the Collateral Agent shall have no duty to the Grantors or to the holders of the Obligations as to any Collateral in its possession or control or in the possession or control of any agent or nominee of the Collateral Agent or any income thereon or as to the preservation of rights against prior parties or any other rights pertaining thereto, except the duty to accord such Collateral the same care that it normally accords to its own assets and the duty to account for moneys received by it. The Collateral Agent shall not be required to ascertain or inquire as to the performance by any Guarantor or Grantor of any of the covenants or agreements contained herein or in any other agreement. Neither the Collateral Agent nor any officer, agent or representative thereof shall be personally liable for any action taken or omitted to be taken by any such person in connection with this Agreement or any Other Security Document except for such person’s own gross negligence or wilful misconduct (it being understood that any action taken in accordance with the terms of this Agreement or any Other Security Document by the Collateral Agent or any such officer, agent or representative at the direction or instruction of the Administrative Agent or the Majority Lenders under the Credit Agreement (or not taken in the absence of any such directions or instructions) shall not constitute gross negligence or wilful misconduct). Neither the Collateral Agent nor any officer, agent or representative thereof shall be personally liable for any action taken by any such person in accordance with any notice given by the Administrative Agent or the Majority Lenders under the Credit Agreement hereunder or under any Other Security Document even if, at the time such action is taken by any such Person, the Administrative Agent or the Lenders which gave the notice to take such action shall no longer be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[[6773428]]</w:t>
      </w:r>
    </w:p>
    <w:p>
      <w:pPr>
        <w:sectPr>
          <w:pgSz w:w="11900" w:h="16838" w:orient="portrait"/>
          <w:cols w:equalWidth="0" w:num="1">
            <w:col w:w="11240"/>
          </w:cols>
          <w:pgMar w:left="320" w:top="1421" w:right="339" w:bottom="1440" w:gutter="0" w:footer="0" w:header="0"/>
        </w:sectPr>
      </w:pPr>
    </w:p>
    <w:bookmarkStart w:id="451" w:name="page452"/>
    <w:bookmarkEnd w:id="451"/>
    <w:p>
      <w:pPr>
        <w:jc w:val="both"/>
        <w:spacing w:after="0" w:line="257" w:lineRule="auto"/>
        <w:rPr>
          <w:sz w:val="20"/>
          <w:szCs w:val="20"/>
          <w:color w:val="auto"/>
        </w:rPr>
      </w:pPr>
      <w:r>
        <w:rPr>
          <w:rFonts w:ascii="Times New Roman" w:cs="Times New Roman" w:eastAsia="Times New Roman" w:hAnsi="Times New Roman"/>
          <w:sz w:val="22"/>
          <w:szCs w:val="22"/>
          <w:color w:val="auto"/>
        </w:rPr>
        <w:t>Administrative Agent or the Majority Lenders under the Credit Agreement or the Secured Parties on behalf of which such notice was given are no longer the Secured Parties. The Collateral Agent may execute any of the powers granted under this Agreement and perform any duty hereunder either directly or by or through agents or attorneys-in-fact.</w:t>
      </w:r>
    </w:p>
    <w:p>
      <w:pPr>
        <w:spacing w:after="0" w:line="182" w:lineRule="exact"/>
        <w:rPr>
          <w:sz w:val="20"/>
          <w:szCs w:val="20"/>
          <w:color w:val="auto"/>
        </w:rPr>
      </w:pPr>
    </w:p>
    <w:p>
      <w:pPr>
        <w:jc w:val="both"/>
        <w:ind w:firstLine="8"/>
        <w:spacing w:after="0" w:line="250" w:lineRule="auto"/>
        <w:tabs>
          <w:tab w:leader="none" w:pos="333" w:val="left"/>
        </w:tabs>
        <w:numPr>
          <w:ilvl w:val="0"/>
          <w:numId w:val="4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Reliance by Collateral Agent; Indemnity Against Liabilities, etc. </w:t>
      </w:r>
      <w:r>
        <w:rPr>
          <w:rFonts w:ascii="Times New Roman" w:cs="Times New Roman" w:eastAsia="Times New Roman" w:hAnsi="Times New Roman"/>
          <w:sz w:val="22"/>
          <w:szCs w:val="22"/>
          <w:color w:val="auto"/>
        </w:rPr>
        <w:t>(i)Whenever in the performance of its duties under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Agreement or any Other Security Document the Collateral Agent shall deem it necessary or desirable that a matter be proved or established with respect to any Grantor or any other person in connection with the taking, suffering or omitting of any action hereunder by the Collateral Agent, such matter may be conclusively deemed to be proved or established by a certificate executed by an officer of such Person which is believed by the Collateral Agent to be genuine and to have been signed or sent by the proper Person, and the Collateral Agent shall have no liability with respect to any action taken, suffered or omitted in reliance thereon.</w:t>
      </w:r>
    </w:p>
    <w:p>
      <w:pPr>
        <w:spacing w:after="0" w:line="184" w:lineRule="exact"/>
        <w:rPr>
          <w:rFonts w:ascii="Times New Roman" w:cs="Times New Roman" w:eastAsia="Times New Roman" w:hAnsi="Times New Roman"/>
          <w:sz w:val="22"/>
          <w:szCs w:val="22"/>
          <w:color w:val="auto"/>
        </w:rPr>
      </w:pPr>
    </w:p>
    <w:p>
      <w:pPr>
        <w:jc w:val="both"/>
        <w:ind w:firstLine="1304"/>
        <w:spacing w:after="0" w:line="268" w:lineRule="auto"/>
        <w:tabs>
          <w:tab w:leader="none" w:pos="1620" w:val="left"/>
        </w:tabs>
        <w:numPr>
          <w:ilvl w:val="1"/>
          <w:numId w:val="4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Collateral Agent may consult with counsel and shall not incur any liability in taking any action hereunder or under any Other Security Document in good faith in accordance with any advice of such counsel. The Collateral Agent shall have the right but not the obligation at any time to seek instructions concerning the administration of this Agreement or any Other Security Document, the duties created hereunder or the Collateral from any court of competent jurisdiction.</w:t>
      </w:r>
    </w:p>
    <w:p>
      <w:pPr>
        <w:spacing w:after="0" w:line="176" w:lineRule="exact"/>
        <w:rPr>
          <w:rFonts w:ascii="Times New Roman" w:cs="Times New Roman" w:eastAsia="Times New Roman" w:hAnsi="Times New Roman"/>
          <w:sz w:val="21"/>
          <w:szCs w:val="21"/>
          <w:color w:val="auto"/>
        </w:rPr>
      </w:pPr>
    </w:p>
    <w:p>
      <w:pPr>
        <w:jc w:val="both"/>
        <w:ind w:firstLine="1304"/>
        <w:spacing w:after="0" w:line="251" w:lineRule="auto"/>
        <w:tabs>
          <w:tab w:leader="none" w:pos="1722" w:val="left"/>
        </w:tabs>
        <w:numPr>
          <w:ilvl w:val="1"/>
          <w:numId w:val="4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Agent shall not incur any liability in relying upon any resolution, statement, certificate, instrument, opinion, report, notice, request, consent, order or other paper or document which it in good faith believes to be genuine and to have been signed or presented by the proper party. The Collateral Agent may conclusively rely, as to the truth of the statements and the correctness of the opinions expressed therein, upon any certificate or opinions that are believed by the Collateral Agent to be genuine and signed or furnished by the proper Person furnished to the Collateral Agent in connection with this Agreement or any Other Security Document.</w:t>
      </w:r>
    </w:p>
    <w:p>
      <w:pPr>
        <w:spacing w:after="0" w:line="181" w:lineRule="exact"/>
        <w:rPr>
          <w:rFonts w:ascii="Times New Roman" w:cs="Times New Roman" w:eastAsia="Times New Roman" w:hAnsi="Times New Roman"/>
          <w:sz w:val="22"/>
          <w:szCs w:val="22"/>
          <w:color w:val="auto"/>
        </w:rPr>
      </w:pPr>
    </w:p>
    <w:p>
      <w:pPr>
        <w:jc w:val="both"/>
        <w:ind w:firstLine="1304"/>
        <w:spacing w:after="0" w:line="251" w:lineRule="auto"/>
        <w:tabs>
          <w:tab w:leader="none" w:pos="1673" w:val="left"/>
        </w:tabs>
        <w:numPr>
          <w:ilvl w:val="1"/>
          <w:numId w:val="4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Agent shall not be deemed to have actual, constructive, direct or indirect notice or knowledge of the occurrence of any Event of Default unless and until the Collateral Agent shall have received written notice thereof from the Administrative Agent. The Collateral Agent shall have no obligation whatsoever either prior to or after receiving such a notice that is believed by the Collateral Agent to be genuine and to have been signed or sent by the proper Person to inquire whether an Event of Default has, in fact, occurred and shall be entitled to rely conclusively, and shall be fully protected in so relying, on any such notice so furnished to it.</w:t>
      </w:r>
    </w:p>
    <w:p>
      <w:pPr>
        <w:spacing w:after="0" w:line="181" w:lineRule="exact"/>
        <w:rPr>
          <w:rFonts w:ascii="Times New Roman" w:cs="Times New Roman" w:eastAsia="Times New Roman" w:hAnsi="Times New Roman"/>
          <w:sz w:val="22"/>
          <w:szCs w:val="22"/>
          <w:color w:val="auto"/>
        </w:rPr>
      </w:pPr>
    </w:p>
    <w:p>
      <w:pPr>
        <w:jc w:val="both"/>
        <w:ind w:firstLine="1304"/>
        <w:spacing w:after="0" w:line="253" w:lineRule="auto"/>
        <w:tabs>
          <w:tab w:leader="none" w:pos="1609" w:val="left"/>
        </w:tabs>
        <w:numPr>
          <w:ilvl w:val="1"/>
          <w:numId w:val="4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Collateral Agent has been requested to take any specific action by the Administrative Agent pursuant to any provision of this Agreement or any Other Security Document, the Collateral Agent shall not be under any obligation to exercise any of the rights or powers vested in it by this Agreement or such Other Security Document in the manner so requested unless it shall have been provided indemnity by the Secured Parties on whose behalf such request shall have been made reasonably satisfactory to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[[6773428]]</w:t>
      </w:r>
    </w:p>
    <w:p>
      <w:pPr>
        <w:sectPr>
          <w:pgSz w:w="11900" w:h="16838" w:orient="portrait"/>
          <w:cols w:equalWidth="0" w:num="1">
            <w:col w:w="11240"/>
          </w:cols>
          <w:pgMar w:left="320" w:top="1421" w:right="339" w:bottom="1440" w:gutter="0" w:footer="0" w:header="0"/>
        </w:sectPr>
      </w:pPr>
    </w:p>
    <w:bookmarkStart w:id="452" w:name="page453"/>
    <w:bookmarkEnd w:id="452"/>
    <w:p>
      <w:pPr>
        <w:spacing w:after="0"/>
        <w:rPr>
          <w:sz w:val="20"/>
          <w:szCs w:val="20"/>
          <w:color w:val="auto"/>
        </w:rPr>
      </w:pPr>
      <w:r>
        <w:rPr>
          <w:rFonts w:ascii="Times New Roman" w:cs="Times New Roman" w:eastAsia="Times New Roman" w:hAnsi="Times New Roman"/>
          <w:sz w:val="22"/>
          <w:szCs w:val="22"/>
          <w:color w:val="auto"/>
        </w:rPr>
        <w:t>against the costs, expenses and liabilities which may be incurred by it in compliance with such request or direction.</w:t>
      </w:r>
    </w:p>
    <w:p>
      <w:pPr>
        <w:spacing w:after="0" w:line="216" w:lineRule="exact"/>
        <w:rPr>
          <w:sz w:val="20"/>
          <w:szCs w:val="20"/>
          <w:color w:val="auto"/>
        </w:rPr>
      </w:pPr>
    </w:p>
    <w:p>
      <w:pPr>
        <w:jc w:val="both"/>
        <w:ind w:firstLine="8"/>
        <w:spacing w:after="0" w:line="250" w:lineRule="auto"/>
        <w:tabs>
          <w:tab w:leader="none" w:pos="307" w:val="left"/>
        </w:tabs>
        <w:numPr>
          <w:ilvl w:val="0"/>
          <w:numId w:val="4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Resignation and Removal of the Collateral Agent. </w:t>
      </w:r>
      <w:r>
        <w:rPr>
          <w:rFonts w:ascii="Times New Roman" w:cs="Times New Roman" w:eastAsia="Times New Roman" w:hAnsi="Times New Roman"/>
          <w:sz w:val="22"/>
          <w:szCs w:val="22"/>
          <w:color w:val="auto"/>
        </w:rPr>
        <w:t>The Collateral Agent may at any time, by giving 30 days’ prior written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notice to the Company and the Administrative Agent, resign and be discharged from the responsibilities hereby created, such resignation to become effective upon the appointment of a successor by the Administrative Agent with, so long as no Event of Default has occurred and is continuing, the consent of the Company (such consent not to be unreasonably withheld) and the acceptance of such appointment by such successor. If no successor shall be appointed and approved within 30 days after the date of any such resignation, the Collateral Agent may apply to any court of competent jurisdiction to appoint a successor to act until a successor shall have been appointed as above provided or may, on behalf of the Secured Parties, appoint a successor Collateral Agent which shall be a bank with an office in New York, New York having a combined capital and surplus of at least $500,000,000.</w:t>
      </w:r>
    </w:p>
    <w:p>
      <w:pPr>
        <w:spacing w:after="0" w:line="179" w:lineRule="exact"/>
        <w:rPr>
          <w:rFonts w:ascii="Times New Roman" w:cs="Times New Roman" w:eastAsia="Times New Roman" w:hAnsi="Times New Roman"/>
          <w:sz w:val="22"/>
          <w:szCs w:val="22"/>
          <w:color w:val="auto"/>
        </w:rPr>
      </w:pPr>
    </w:p>
    <w:p>
      <w:pPr>
        <w:jc w:val="both"/>
        <w:ind w:firstLine="8"/>
        <w:spacing w:after="0" w:line="248" w:lineRule="auto"/>
        <w:tabs>
          <w:tab w:leader="none" w:pos="333" w:val="left"/>
        </w:tabs>
        <w:numPr>
          <w:ilvl w:val="0"/>
          <w:numId w:val="4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Expenses and Indemnification. </w:t>
      </w:r>
      <w:r>
        <w:rPr>
          <w:rFonts w:ascii="Times New Roman" w:cs="Times New Roman" w:eastAsia="Times New Roman" w:hAnsi="Times New Roman"/>
          <w:sz w:val="22"/>
          <w:szCs w:val="22"/>
          <w:color w:val="auto"/>
        </w:rPr>
        <w:t>By accepting the benefits of this Agreement, each of the Lenders severally agrees (i)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reimburse the Collateral Agent, on demand, in the amount of its pro rata share from time to time (based on the Applicable Percentage of such Lender), of any expenses referred to in this Agreement or in any Other Security Document securing Obligations owed to such Lender and/or any other expenses incurred by the Collateral Agent in connection with the enforcement and protection of the rights of the Collateral Agent and the Secured Parties which shall not have been paid or reimbursed by the Company or any other Grantor or Guarantor or paid from the proceeds of any Collateral as provided herein and (ii) to indemnify and hold harmless the Collateral Agent and its Affiliates and its and their respective directors, officers, employees, agents and attorneys (each, an </w:t>
      </w:r>
      <w:r>
        <w:rPr>
          <w:rFonts w:ascii="Times New Roman" w:cs="Times New Roman" w:eastAsia="Times New Roman" w:hAnsi="Times New Roman"/>
          <w:sz w:val="22"/>
          <w:szCs w:val="22"/>
          <w:i w:val="1"/>
          <w:iCs w:val="1"/>
          <w:color w:val="auto"/>
        </w:rPr>
        <w:t>“Indemnified Party”),</w:t>
      </w:r>
      <w:r>
        <w:rPr>
          <w:rFonts w:ascii="Times New Roman" w:cs="Times New Roman" w:eastAsia="Times New Roman" w:hAnsi="Times New Roman"/>
          <w:sz w:val="22"/>
          <w:szCs w:val="22"/>
          <w:color w:val="auto"/>
        </w:rPr>
        <w:t xml:space="preserve"> on demand, in the amount of such pro rata share, from and against any and all liabilities, taxes, obligations, losses, damages, penalties, actions, judgments, suits, costs, expenses or disbursements referred to in this Agreement and/or incurred by the Collateral Agent in connection with this Agreement or the Other Security Documents or the enforcement and protection of the rights of the Secured Parties, to the extent the same shall not have been reimbursed by the Company or any other Grantor or Guarantor or paid from the proceeds of Collateral as provided herein;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in each case, that no Secured Party shall be liable to any Indemnified Party for any portion of such expenses, liabilities, taxes, obligations, losses, damages, penalties, actions, judgments, suits, costs, expenses or disbursements resulting from the gross negligence or wilful misconduct of such Person.</w:t>
      </w:r>
    </w:p>
    <w:p>
      <w:pPr>
        <w:spacing w:after="0" w:line="200" w:lineRule="exact"/>
        <w:rPr>
          <w:sz w:val="20"/>
          <w:szCs w:val="20"/>
          <w:color w:val="auto"/>
        </w:rPr>
      </w:pPr>
    </w:p>
    <w:p>
      <w:pPr>
        <w:spacing w:after="0" w:line="20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SECTION 19.</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Subordination of Intercompany Indebtedness</w:t>
      </w:r>
    </w:p>
    <w:p>
      <w:pPr>
        <w:spacing w:after="0" w:line="220" w:lineRule="exact"/>
        <w:rPr>
          <w:sz w:val="20"/>
          <w:szCs w:val="20"/>
          <w:color w:val="auto"/>
        </w:rPr>
      </w:pPr>
    </w:p>
    <w:p>
      <w:pPr>
        <w:jc w:val="both"/>
        <w:ind w:firstLine="8"/>
        <w:spacing w:after="0" w:line="259" w:lineRule="auto"/>
        <w:tabs>
          <w:tab w:leader="none" w:pos="307" w:val="left"/>
        </w:tabs>
        <w:numPr>
          <w:ilvl w:val="0"/>
          <w:numId w:val="4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Subordination. </w:t>
      </w:r>
      <w:r>
        <w:rPr>
          <w:rFonts w:ascii="Times New Roman" w:cs="Times New Roman" w:eastAsia="Times New Roman" w:hAnsi="Times New Roman"/>
          <w:sz w:val="22"/>
          <w:szCs w:val="22"/>
          <w:color w:val="auto"/>
        </w:rPr>
        <w:t>To the fullest extent permitted under law, the Company and each other Grantor and Guarantor hereby agrees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that all Intercompany Indebtedness owed to it by any Intercompany Obligor is hereby expressly subordinated, to the extent and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[[6773428]]</w:t>
      </w:r>
    </w:p>
    <w:p>
      <w:pPr>
        <w:sectPr>
          <w:pgSz w:w="11900" w:h="16838" w:orient="portrait"/>
          <w:cols w:equalWidth="0" w:num="1">
            <w:col w:w="11240"/>
          </w:cols>
          <w:pgMar w:left="320" w:top="1421" w:right="339" w:bottom="1440" w:gutter="0" w:footer="0" w:header="0"/>
        </w:sectPr>
      </w:pPr>
    </w:p>
    <w:bookmarkStart w:id="453" w:name="page454"/>
    <w:bookmarkEnd w:id="453"/>
    <w:p>
      <w:pPr>
        <w:spacing w:after="0"/>
        <w:rPr>
          <w:sz w:val="20"/>
          <w:szCs w:val="20"/>
          <w:color w:val="auto"/>
        </w:rPr>
      </w:pPr>
      <w:r>
        <w:rPr>
          <w:rFonts w:ascii="Times New Roman" w:cs="Times New Roman" w:eastAsia="Times New Roman" w:hAnsi="Times New Roman"/>
          <w:sz w:val="22"/>
          <w:szCs w:val="22"/>
          <w:color w:val="auto"/>
        </w:rPr>
        <w:t>manner set forth in this Article, to the payment in full in cash of all Obligations of such Intercompany Obligor.</w:t>
      </w:r>
    </w:p>
    <w:p>
      <w:pPr>
        <w:spacing w:after="0" w:line="216" w:lineRule="exact"/>
        <w:rPr>
          <w:sz w:val="20"/>
          <w:szCs w:val="20"/>
          <w:color w:val="auto"/>
        </w:rPr>
      </w:pPr>
    </w:p>
    <w:p>
      <w:pPr>
        <w:jc w:val="both"/>
        <w:ind w:firstLine="8"/>
        <w:spacing w:after="0" w:line="283" w:lineRule="auto"/>
        <w:tabs>
          <w:tab w:leader="none" w:pos="333" w:val="left"/>
        </w:tabs>
        <w:numPr>
          <w:ilvl w:val="0"/>
          <w:numId w:val="4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Dissolution or Insolvency. </w:t>
      </w:r>
      <w:r>
        <w:rPr>
          <w:rFonts w:ascii="Times New Roman" w:cs="Times New Roman" w:eastAsia="Times New Roman" w:hAnsi="Times New Roman"/>
          <w:sz w:val="21"/>
          <w:szCs w:val="21"/>
          <w:color w:val="auto"/>
        </w:rPr>
        <w:t>Upon any dissolution, winding up, liquidation or reorganization of any Intercompany Obligor,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whether in bankruptcy, insolvency, reorganization, arrangement or receivership proceedings or otherwise, or upon any assignment for the benefit of creditors or any other marshalling of the assets and liabilities of any Intercompany Obligor, or otherwise:</w:t>
      </w:r>
    </w:p>
    <w:p>
      <w:pPr>
        <w:spacing w:after="0" w:line="148" w:lineRule="exact"/>
        <w:rPr>
          <w:rFonts w:ascii="Times New Roman" w:cs="Times New Roman" w:eastAsia="Times New Roman" w:hAnsi="Times New Roman"/>
          <w:sz w:val="21"/>
          <w:szCs w:val="21"/>
          <w:color w:val="auto"/>
        </w:rPr>
      </w:pPr>
    </w:p>
    <w:p>
      <w:pPr>
        <w:jc w:val="both"/>
        <w:ind w:left="660" w:firstLine="644"/>
        <w:spacing w:after="0" w:line="253" w:lineRule="auto"/>
        <w:tabs>
          <w:tab w:leader="none" w:pos="1716" w:val="left"/>
        </w:tabs>
        <w:numPr>
          <w:ilvl w:val="1"/>
          <w:numId w:val="4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Secured Parties shall, as between such Secured Parties and the Company or any other Grantor or Guarantor, first be entitled to receive payment in full in cash of the Obligations of such Intercompany Obligor in accordance with the terms of such Obligations before the Company or such Grantor or Guarantor shall be entitled to receive any payment on account of the Intercompany Indebtedness of such Intercompany Obligor, whether as principal, interest or otherwise; and</w:t>
      </w:r>
    </w:p>
    <w:p>
      <w:pPr>
        <w:spacing w:after="0" w:line="178"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658" w:val="left"/>
        </w:tabs>
        <w:numPr>
          <w:ilvl w:val="1"/>
          <w:numId w:val="4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payment by, or distribution of the assets of, such Intercompany Obligor of any kind or character, whether in cash, property or securities, to which the Company or any other Grantor or Guarantor would be entitled except for the provisions of clause (a) above shall, upon receipt by the Company or such Grantor or Guarantor, be held in trust (or in a </w:t>
      </w:r>
      <w:r>
        <w:rPr>
          <w:rFonts w:ascii="Times New Roman" w:cs="Times New Roman" w:eastAsia="Times New Roman" w:hAnsi="Times New Roman"/>
          <w:sz w:val="22"/>
          <w:szCs w:val="22"/>
          <w:u w:val="single" w:color="auto"/>
          <w:color w:val="auto"/>
        </w:rPr>
        <w:t>compte de sequestre</w:t>
      </w:r>
      <w:r>
        <w:rPr>
          <w:rFonts w:ascii="Times New Roman" w:cs="Times New Roman" w:eastAsia="Times New Roman" w:hAnsi="Times New Roman"/>
          <w:sz w:val="22"/>
          <w:szCs w:val="22"/>
          <w:color w:val="auto"/>
        </w:rPr>
        <w:t>, if applicable) for the applicable Secured Parties and promptly paid or delivered directly to the Collateral Agent for the benefit of such Secured Parties to the extent necessary to make payment in full in cash of all Obligations remaining unpaid, after giving effect to any concurrent payment or distribution to such Secured Parties in respect of such Obligations.</w:t>
      </w:r>
    </w:p>
    <w:p>
      <w:pPr>
        <w:spacing w:after="0" w:line="176" w:lineRule="exact"/>
        <w:rPr>
          <w:rFonts w:ascii="Times New Roman" w:cs="Times New Roman" w:eastAsia="Times New Roman" w:hAnsi="Times New Roman"/>
          <w:sz w:val="22"/>
          <w:szCs w:val="22"/>
          <w:color w:val="auto"/>
        </w:rPr>
      </w:pPr>
    </w:p>
    <w:p>
      <w:pPr>
        <w:jc w:val="both"/>
        <w:ind w:firstLine="8"/>
        <w:spacing w:after="0" w:line="249" w:lineRule="auto"/>
        <w:tabs>
          <w:tab w:leader="none" w:pos="334" w:val="left"/>
        </w:tabs>
        <w:numPr>
          <w:ilvl w:val="0"/>
          <w:numId w:val="4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Subrogation. </w:t>
      </w:r>
      <w:r>
        <w:rPr>
          <w:rFonts w:ascii="Times New Roman" w:cs="Times New Roman" w:eastAsia="Times New Roman" w:hAnsi="Times New Roman"/>
          <w:sz w:val="22"/>
          <w:szCs w:val="22"/>
          <w:color w:val="auto"/>
        </w:rPr>
        <w:t>Subject to (and only upon) the prior indefeasible payment in full in cash of all the Obligations and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irrevocable termination of all the Commitments under the Credit Agreement, the Company or any other Grantor or Guarantor holding Intercompany Indebtedness of such Intercompany Obligor shall be subrogated to the rights of the applicable Secured Parties to receive payments or distributions in cash, property or securities applicable to such Obligations until all amounts owing on the Intercompany Indebtedness of such Intercompany Obligor shall be paid in full, and as between and among such Intercompany Obligor, its creditors (other than its Secured Parties) and the Company or any other Grantor or Guarantor holding Intercompany Indebtedness of such Intercompany Obligor, no such payment or distribution made to the Secured Parties by virtue of this Agreement that otherwise would have been made to the Company or any other Grantor or Guarantor in respect of such Intercompany Indebtedness shall be deemed to be a payment by such Intercompany Obligor on account of such Intercompany Indebtedness.</w:t>
      </w:r>
    </w:p>
    <w:p>
      <w:pPr>
        <w:spacing w:after="0" w:line="183" w:lineRule="exact"/>
        <w:rPr>
          <w:rFonts w:ascii="Times New Roman" w:cs="Times New Roman" w:eastAsia="Times New Roman" w:hAnsi="Times New Roman"/>
          <w:sz w:val="22"/>
          <w:szCs w:val="22"/>
          <w:color w:val="auto"/>
        </w:rPr>
      </w:pPr>
    </w:p>
    <w:p>
      <w:pPr>
        <w:ind w:firstLine="8"/>
        <w:spacing w:after="0" w:line="299" w:lineRule="auto"/>
        <w:tabs>
          <w:tab w:leader="none" w:pos="319" w:val="left"/>
        </w:tabs>
        <w:numPr>
          <w:ilvl w:val="0"/>
          <w:numId w:val="4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Other Creditors. </w:t>
      </w:r>
      <w:r>
        <w:rPr>
          <w:rFonts w:ascii="Times New Roman" w:cs="Times New Roman" w:eastAsia="Times New Roman" w:hAnsi="Times New Roman"/>
          <w:sz w:val="21"/>
          <w:szCs w:val="21"/>
          <w:color w:val="auto"/>
        </w:rPr>
        <w:t>Nothing contained in this Article is intended to or shall impair, as between and among any Intercompany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Obligor, its creditors (other than the Secured Parties) and the Company or any other Grantor or Guarantor holding Intercompany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[[6773428]]</w:t>
      </w:r>
    </w:p>
    <w:p>
      <w:pPr>
        <w:sectPr>
          <w:pgSz w:w="11900" w:h="16838" w:orient="portrait"/>
          <w:cols w:equalWidth="0" w:num="1">
            <w:col w:w="11240"/>
          </w:cols>
          <w:pgMar w:left="320" w:top="1421" w:right="339" w:bottom="1440" w:gutter="0" w:footer="0" w:header="0"/>
        </w:sectPr>
      </w:pPr>
    </w:p>
    <w:bookmarkStart w:id="454" w:name="page455"/>
    <w:bookmarkEnd w:id="454"/>
    <w:p>
      <w:pPr>
        <w:jc w:val="both"/>
        <w:spacing w:after="0" w:line="256" w:lineRule="auto"/>
        <w:rPr>
          <w:sz w:val="20"/>
          <w:szCs w:val="20"/>
          <w:color w:val="auto"/>
        </w:rPr>
      </w:pPr>
      <w:r>
        <w:rPr>
          <w:rFonts w:ascii="Times New Roman" w:cs="Times New Roman" w:eastAsia="Times New Roman" w:hAnsi="Times New Roman"/>
          <w:sz w:val="22"/>
          <w:szCs w:val="22"/>
          <w:color w:val="auto"/>
        </w:rPr>
        <w:t>Indebtedness of such Intercompany Obligor, the obligations of such Intercompany Obligor to pay its Intercompany Indebtedness as and when the same shall become due and payable in accordance with the terms thereof, or affect the relative rights of the Company or any other Grantor or Guarantor holding Intercompany Indebtedness of such Intercompany Obligor and the creditors of such Intercompany Guarantor (other than the Secured Parties).</w:t>
      </w:r>
    </w:p>
    <w:p>
      <w:pPr>
        <w:spacing w:after="0" w:line="172" w:lineRule="exact"/>
        <w:rPr>
          <w:sz w:val="20"/>
          <w:szCs w:val="20"/>
          <w:color w:val="auto"/>
        </w:rPr>
      </w:pPr>
    </w:p>
    <w:p>
      <w:pPr>
        <w:jc w:val="both"/>
        <w:ind w:firstLine="8"/>
        <w:spacing w:after="0" w:line="250" w:lineRule="auto"/>
        <w:tabs>
          <w:tab w:leader="none" w:pos="294" w:val="left"/>
        </w:tabs>
        <w:numPr>
          <w:ilvl w:val="0"/>
          <w:numId w:val="4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Waiver. </w:t>
      </w:r>
      <w:r>
        <w:rPr>
          <w:rFonts w:ascii="Times New Roman" w:cs="Times New Roman" w:eastAsia="Times New Roman" w:hAnsi="Times New Roman"/>
          <w:sz w:val="22"/>
          <w:szCs w:val="22"/>
          <w:color w:val="auto"/>
        </w:rPr>
        <w:t>No right of any Secured Party to enforce this Article shall at any time or in any way be prejudiced or impaired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act or failure to act on the part of any of the Collateral Agent, the other Secured Parties, or any Intercompany Obligor, or by any noncompliance by any Intercompany Obligor with the terms, provisions and covenants contained in this Agreement, any Other Security Document or the Credit Agreement, and the Secured Parties are hereby expressly authorized to extend, renew, increase, decrease, modify or amend the terms of the Obligations or any security therefor, and to release, sell or exchange any such security and otherwise deal freely with any Intercompany Obligor, all without notice to or consent of the Company or any other Grantor or Guarantor and without affecting the liabilities and obligations of the parties hereto.</w:t>
      </w:r>
    </w:p>
    <w:p>
      <w:pPr>
        <w:spacing w:after="0" w:line="180" w:lineRule="exact"/>
        <w:rPr>
          <w:rFonts w:ascii="Times New Roman" w:cs="Times New Roman" w:eastAsia="Times New Roman" w:hAnsi="Times New Roman"/>
          <w:sz w:val="22"/>
          <w:szCs w:val="22"/>
          <w:color w:val="auto"/>
        </w:rPr>
      </w:pPr>
    </w:p>
    <w:p>
      <w:pPr>
        <w:jc w:val="both"/>
        <w:ind w:firstLine="8"/>
        <w:spacing w:after="0" w:line="259" w:lineRule="auto"/>
        <w:tabs>
          <w:tab w:leader="none" w:pos="283" w:val="left"/>
        </w:tabs>
        <w:numPr>
          <w:ilvl w:val="0"/>
          <w:numId w:val="4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Obligations Hereunder Not Affected. </w:t>
      </w:r>
      <w:r>
        <w:rPr>
          <w:rFonts w:ascii="Times New Roman" w:cs="Times New Roman" w:eastAsia="Times New Roman" w:hAnsi="Times New Roman"/>
          <w:sz w:val="22"/>
          <w:szCs w:val="22"/>
          <w:color w:val="auto"/>
        </w:rPr>
        <w:t>(i)All rights and interests of the Secured Parties under this Article, and all agreements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obligations of the Company and each other Grantor or Guarantor under this Article, shall remain in full force and effect irrespective of:</w:t>
      </w:r>
    </w:p>
    <w:p>
      <w:pPr>
        <w:spacing w:after="0" w:line="183" w:lineRule="exact"/>
        <w:rPr>
          <w:rFonts w:ascii="Times New Roman" w:cs="Times New Roman" w:eastAsia="Times New Roman" w:hAnsi="Times New Roman"/>
          <w:sz w:val="22"/>
          <w:szCs w:val="22"/>
          <w:color w:val="auto"/>
        </w:rPr>
      </w:pPr>
    </w:p>
    <w:p>
      <w:pPr>
        <w:ind w:left="2160" w:hanging="265"/>
        <w:spacing w:after="0"/>
        <w:tabs>
          <w:tab w:leader="none" w:pos="2160" w:val="left"/>
        </w:tabs>
        <w:numPr>
          <w:ilvl w:val="2"/>
          <w:numId w:val="4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lack of validity or enforceability of the Credit Agreement;</w:t>
      </w:r>
    </w:p>
    <w:p>
      <w:pPr>
        <w:spacing w:after="0" w:line="219" w:lineRule="exact"/>
        <w:rPr>
          <w:rFonts w:ascii="Times New Roman" w:cs="Times New Roman" w:eastAsia="Times New Roman" w:hAnsi="Times New Roman"/>
          <w:sz w:val="22"/>
          <w:szCs w:val="22"/>
          <w:color w:val="auto"/>
        </w:rPr>
      </w:pPr>
    </w:p>
    <w:p>
      <w:pPr>
        <w:ind w:left="1100" w:firstLine="795"/>
        <w:spacing w:after="0" w:line="271" w:lineRule="auto"/>
        <w:tabs>
          <w:tab w:leader="none" w:pos="2255" w:val="left"/>
        </w:tabs>
        <w:numPr>
          <w:ilvl w:val="2"/>
          <w:numId w:val="4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 in the time, manner or place of payment of, or in any other term of, all or any of the Obligations, or any other amendment or waiver of or consent to departure from the Credit Agreement;</w:t>
      </w:r>
    </w:p>
    <w:p>
      <w:pPr>
        <w:spacing w:after="0" w:line="157" w:lineRule="exact"/>
        <w:rPr>
          <w:rFonts w:ascii="Times New Roman" w:cs="Times New Roman" w:eastAsia="Times New Roman" w:hAnsi="Times New Roman"/>
          <w:sz w:val="22"/>
          <w:szCs w:val="22"/>
          <w:color w:val="auto"/>
        </w:rPr>
      </w:pPr>
    </w:p>
    <w:p>
      <w:pPr>
        <w:ind w:left="1100" w:firstLine="795"/>
        <w:spacing w:after="0" w:line="271" w:lineRule="auto"/>
        <w:tabs>
          <w:tab w:leader="none" w:pos="2313" w:val="left"/>
        </w:tabs>
        <w:numPr>
          <w:ilvl w:val="2"/>
          <w:numId w:val="4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exchange, release or nonperfection of any security interest in any Collateral, or any release or amendment or waiver of or consent to departure from any Guarantee, in respect of all or any of the Obligations; or</w:t>
      </w:r>
    </w:p>
    <w:p>
      <w:pPr>
        <w:spacing w:after="0" w:line="171" w:lineRule="exact"/>
        <w:rPr>
          <w:rFonts w:ascii="Times New Roman" w:cs="Times New Roman" w:eastAsia="Times New Roman" w:hAnsi="Times New Roman"/>
          <w:sz w:val="22"/>
          <w:szCs w:val="22"/>
          <w:color w:val="auto"/>
        </w:rPr>
      </w:pPr>
    </w:p>
    <w:p>
      <w:pPr>
        <w:jc w:val="both"/>
        <w:ind w:left="1100" w:right="20" w:firstLine="795"/>
        <w:spacing w:after="0" w:line="257" w:lineRule="auto"/>
        <w:tabs>
          <w:tab w:leader="none" w:pos="2290" w:val="left"/>
        </w:tabs>
        <w:numPr>
          <w:ilvl w:val="2"/>
          <w:numId w:val="4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circumstance that might otherwise constitute a defense available to, or a discharge of, any Intercompany Obligor in respect of Obligations or of the Company or any Grantor or Guarantor in respect of the agreements contained in this Article.</w:t>
      </w:r>
    </w:p>
    <w:p>
      <w:pPr>
        <w:spacing w:after="0" w:line="172" w:lineRule="exact"/>
        <w:rPr>
          <w:rFonts w:ascii="Times New Roman" w:cs="Times New Roman" w:eastAsia="Times New Roman" w:hAnsi="Times New Roman"/>
          <w:sz w:val="22"/>
          <w:szCs w:val="22"/>
          <w:color w:val="auto"/>
        </w:rPr>
      </w:pPr>
    </w:p>
    <w:p>
      <w:pPr>
        <w:jc w:val="both"/>
        <w:ind w:firstLine="1304"/>
        <w:spacing w:after="0" w:line="256" w:lineRule="auto"/>
        <w:tabs>
          <w:tab w:leader="none" w:pos="1615" w:val="left"/>
        </w:tabs>
        <w:numPr>
          <w:ilvl w:val="1"/>
          <w:numId w:val="4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agreements contained in this Article shall continue to be effective or be reinstated, as the case may be, if at any time any payment of the Obligations or any part thereof is rescinded or must otherwise be returned by any Secured Party upon the insolvency, bankruptcy or reorganization of any Intercompany Obligor or otherwise, all as though such payment had not been made.</w:t>
      </w:r>
    </w:p>
    <w:p>
      <w:pPr>
        <w:spacing w:after="0" w:line="176" w:lineRule="exact"/>
        <w:rPr>
          <w:rFonts w:ascii="Times New Roman" w:cs="Times New Roman" w:eastAsia="Times New Roman" w:hAnsi="Times New Roman"/>
          <w:sz w:val="22"/>
          <w:szCs w:val="22"/>
          <w:color w:val="auto"/>
        </w:rPr>
      </w:pPr>
    </w:p>
    <w:p>
      <w:pPr>
        <w:ind w:firstLine="1304"/>
        <w:spacing w:after="0" w:line="271" w:lineRule="auto"/>
        <w:tabs>
          <w:tab w:leader="none" w:pos="1674" w:val="left"/>
        </w:tabs>
        <w:numPr>
          <w:ilvl w:val="1"/>
          <w:numId w:val="4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each Grantor and Guarantor hereby agree that the Secured Parties may, without affecting or impairing any of the obligations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[[6773428]]</w:t>
      </w:r>
    </w:p>
    <w:p>
      <w:pPr>
        <w:sectPr>
          <w:pgSz w:w="11900" w:h="16838" w:orient="portrait"/>
          <w:cols w:equalWidth="0" w:num="1">
            <w:col w:w="11240"/>
          </w:cols>
          <w:pgMar w:left="320" w:top="1421" w:right="339" w:bottom="1440" w:gutter="0" w:footer="0" w:header="0"/>
        </w:sectPr>
      </w:pPr>
    </w:p>
    <w:bookmarkStart w:id="455" w:name="page456"/>
    <w:bookmarkEnd w:id="455"/>
    <w:p>
      <w:pPr>
        <w:jc w:val="both"/>
        <w:spacing w:after="0" w:line="257" w:lineRule="auto"/>
        <w:rPr>
          <w:sz w:val="20"/>
          <w:szCs w:val="20"/>
          <w:color w:val="auto"/>
        </w:rPr>
      </w:pPr>
      <w:r>
        <w:rPr>
          <w:rFonts w:ascii="Times New Roman" w:cs="Times New Roman" w:eastAsia="Times New Roman" w:hAnsi="Times New Roman"/>
          <w:sz w:val="22"/>
          <w:szCs w:val="22"/>
          <w:color w:val="auto"/>
        </w:rPr>
        <w:t>Company or such Grantor or Guarantor hereunder, from time to time to (i) renew, compromise, extend, increase, accelerate or otherwise change the time for payment of, or otherwise change the terms of, the Obligations or any part thereof and (ii) exercise or refrain from exercising any rights against any Intercompany Obligor or any other Person.</w:t>
      </w:r>
    </w:p>
    <w:p>
      <w:pPr>
        <w:spacing w:after="0" w:line="200" w:lineRule="exact"/>
        <w:rPr>
          <w:sz w:val="20"/>
          <w:szCs w:val="20"/>
          <w:color w:val="auto"/>
        </w:rPr>
      </w:pPr>
    </w:p>
    <w:p>
      <w:pPr>
        <w:spacing w:after="0" w:line="20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SECTION 20.</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Miscellaneous</w:t>
      </w:r>
    </w:p>
    <w:p>
      <w:pPr>
        <w:spacing w:after="0" w:line="220" w:lineRule="exact"/>
        <w:rPr>
          <w:sz w:val="20"/>
          <w:szCs w:val="20"/>
          <w:color w:val="auto"/>
        </w:rPr>
      </w:pPr>
    </w:p>
    <w:p>
      <w:pPr>
        <w:jc w:val="both"/>
        <w:ind w:firstLine="8"/>
        <w:spacing w:after="0" w:line="259" w:lineRule="auto"/>
        <w:tabs>
          <w:tab w:leader="none" w:pos="334" w:val="left"/>
        </w:tabs>
        <w:numPr>
          <w:ilvl w:val="0"/>
          <w:numId w:val="4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Notices. </w:t>
      </w:r>
      <w:r>
        <w:rPr>
          <w:rFonts w:ascii="Times New Roman" w:cs="Times New Roman" w:eastAsia="Times New Roman" w:hAnsi="Times New Roman"/>
          <w:sz w:val="22"/>
          <w:szCs w:val="22"/>
          <w:color w:val="auto"/>
        </w:rPr>
        <w:t>All communications and notices hereunder shall (except as otherwise expressly permitted herein) be given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provided in the Credit Agreement. All communications and notices hereunder to any Grantor or Guarantor other than the Company shall be given to it in care of the Company as provided in the Credit Agreement.</w:t>
      </w:r>
    </w:p>
    <w:p>
      <w:pPr>
        <w:spacing w:after="0" w:line="179" w:lineRule="exact"/>
        <w:rPr>
          <w:rFonts w:ascii="Times New Roman" w:cs="Times New Roman" w:eastAsia="Times New Roman" w:hAnsi="Times New Roman"/>
          <w:sz w:val="22"/>
          <w:szCs w:val="22"/>
          <w:color w:val="auto"/>
        </w:rPr>
      </w:pPr>
    </w:p>
    <w:p>
      <w:pPr>
        <w:jc w:val="both"/>
        <w:ind w:firstLine="8"/>
        <w:spacing w:after="0" w:line="248" w:lineRule="auto"/>
        <w:tabs>
          <w:tab w:leader="none" w:pos="319" w:val="left"/>
        </w:tabs>
        <w:numPr>
          <w:ilvl w:val="0"/>
          <w:numId w:val="4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Waivers; Amendment. </w:t>
      </w:r>
      <w:r>
        <w:rPr>
          <w:rFonts w:ascii="Times New Roman" w:cs="Times New Roman" w:eastAsia="Times New Roman" w:hAnsi="Times New Roman"/>
          <w:sz w:val="22"/>
          <w:szCs w:val="22"/>
          <w:color w:val="auto"/>
        </w:rPr>
        <w:t>(i)No failure or delay by the Collateral Agent or any Secured Party in exercising any right or power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hereunder or under any other Credit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Collateral Agent and the Secured Parties hereunder and under the other Credit Documents are cumulative and are not exclusive of any rights or remedies that they would otherwise have. No waiver of any provision of this Agreement or consent to any departure by any Credit Party therefrom shall in any event be effective unless the same shall be permitted by paragraph (b) of this Section, and then such waiver or consent shall be effective only in the specific instance and for the purpose for which given. Without limiting the generality of the foregoing, no extension of credit by any Secured Party under the Credit Agreement or otherwise shall be construed as a waiver of any default hereunder, regardless of whether the Collateral Agent or any Secured Party may have had notice or knowledge of such default at the time. No notice or demand on any Credit Party in any case shall entitle such Credit Party to any other or further notice or demand in similar or other circumstances.</w:t>
      </w:r>
    </w:p>
    <w:p>
      <w:pPr>
        <w:spacing w:after="0" w:line="188" w:lineRule="exact"/>
        <w:rPr>
          <w:rFonts w:ascii="Times New Roman" w:cs="Times New Roman" w:eastAsia="Times New Roman" w:hAnsi="Times New Roman"/>
          <w:sz w:val="22"/>
          <w:szCs w:val="22"/>
          <w:color w:val="auto"/>
        </w:rPr>
      </w:pPr>
    </w:p>
    <w:p>
      <w:pPr>
        <w:jc w:val="both"/>
        <w:ind w:firstLine="1304"/>
        <w:spacing w:after="0" w:line="257" w:lineRule="auto"/>
        <w:tabs>
          <w:tab w:leader="none" w:pos="1625" w:val="left"/>
        </w:tabs>
        <w:numPr>
          <w:ilvl w:val="1"/>
          <w:numId w:val="4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this Agreement nor any provision hereof may be waived, amended or modified except pursuant to an agreement or agreements in writing entered into by the Collateral Agent and the Credit Party or Credit Parties with respect to which such waiver, amendment or modification is to apply, subject to any consent required under the Credit Agreement.</w:t>
      </w:r>
    </w:p>
    <w:p>
      <w:pPr>
        <w:spacing w:after="0" w:line="168" w:lineRule="exact"/>
        <w:rPr>
          <w:rFonts w:ascii="Times New Roman" w:cs="Times New Roman" w:eastAsia="Times New Roman" w:hAnsi="Times New Roman"/>
          <w:sz w:val="22"/>
          <w:szCs w:val="22"/>
          <w:color w:val="auto"/>
        </w:rPr>
      </w:pPr>
    </w:p>
    <w:p>
      <w:pPr>
        <w:ind w:firstLine="8"/>
        <w:spacing w:after="0" w:line="287" w:lineRule="auto"/>
        <w:tabs>
          <w:tab w:leader="none" w:pos="294" w:val="left"/>
        </w:tabs>
        <w:numPr>
          <w:ilvl w:val="0"/>
          <w:numId w:val="4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Collateral Agent’s Fees and Expenses; Indemnification. </w:t>
      </w:r>
      <w:r>
        <w:rPr>
          <w:rFonts w:ascii="Times New Roman" w:cs="Times New Roman" w:eastAsia="Times New Roman" w:hAnsi="Times New Roman"/>
          <w:sz w:val="22"/>
          <w:szCs w:val="22"/>
          <w:color w:val="auto"/>
        </w:rPr>
        <w:t>(i)The parties hereto agree that the Collateral Agent shall be entitled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reimbursement of its expenses incurred hereunder as provided in the Credit Agreement.</w:t>
      </w:r>
    </w:p>
    <w:p>
      <w:pPr>
        <w:spacing w:after="0" w:line="141" w:lineRule="exact"/>
        <w:rPr>
          <w:rFonts w:ascii="Times New Roman" w:cs="Times New Roman" w:eastAsia="Times New Roman" w:hAnsi="Times New Roman"/>
          <w:sz w:val="22"/>
          <w:szCs w:val="22"/>
          <w:color w:val="auto"/>
        </w:rPr>
      </w:pPr>
    </w:p>
    <w:p>
      <w:pPr>
        <w:ind w:firstLine="1304"/>
        <w:spacing w:after="0" w:line="271" w:lineRule="auto"/>
        <w:tabs>
          <w:tab w:leader="none" w:pos="1617" w:val="left"/>
        </w:tabs>
        <w:numPr>
          <w:ilvl w:val="1"/>
          <w:numId w:val="4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limitation of its indemnification obligations under the other Credit Documents, each Grantor and each Guarantor, to the fullest extent permitted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[[6773428]]</w:t>
      </w:r>
    </w:p>
    <w:p>
      <w:pPr>
        <w:sectPr>
          <w:pgSz w:w="11900" w:h="16838" w:orient="portrait"/>
          <w:cols w:equalWidth="0" w:num="1">
            <w:col w:w="11240"/>
          </w:cols>
          <w:pgMar w:left="320" w:top="1421" w:right="339" w:bottom="1440" w:gutter="0" w:footer="0" w:header="0"/>
        </w:sectPr>
      </w:pPr>
    </w:p>
    <w:bookmarkStart w:id="456" w:name="page457"/>
    <w:bookmarkEnd w:id="456"/>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law, jointly and severally agrees to indemnify the Collateral Agent and the other Indemnitees (as defined in the Credit Agreement) against, and hold each Indemnitee harmless from, any and all losses, claims, damages, liabilities and related expenses, including reasonable fees, charges and disbursements of any counsel for any Indemnitee, incurred by or asserted against any Indemnitee arising out of the execution, delivery or performance of this Agreement or any agreement or instrument contemplated hereby or any claim, litigation, investigation or proceeding relating to any of the foregoing or to the Collateral, whether or not any Indemnitee is a party thereto;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indemnity shall not, as to any Indemnitee, be available to the extent that such losses, claims, damages, liabilities or related expenses shall have resulted from the gross negligence or wilful misconduct of such Indemnitee or from the breach of any of its obligations set forth in any Credit Document.</w:t>
      </w:r>
    </w:p>
    <w:p>
      <w:pPr>
        <w:spacing w:after="0" w:line="195" w:lineRule="exact"/>
        <w:rPr>
          <w:sz w:val="20"/>
          <w:szCs w:val="20"/>
          <w:color w:val="auto"/>
        </w:rPr>
      </w:pPr>
    </w:p>
    <w:p>
      <w:pPr>
        <w:jc w:val="both"/>
        <w:ind w:firstLine="1304"/>
        <w:spacing w:after="0" w:line="250" w:lineRule="auto"/>
        <w:tabs>
          <w:tab w:leader="none" w:pos="1680" w:val="left"/>
        </w:tabs>
        <w:numPr>
          <w:ilvl w:val="1"/>
          <w:numId w:val="4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this Section shall remain operative and in full force and effect regardless of the termination of this Agreement or any other Credit Document, the consummation of the transactions contemplated hereby, the repayment of any of the Obligations, the invalidity or unenforceability of any term or provision of this Agreement or any other Credit Document, or any investigation made by or on behalf of the Collateral Agent or any other Secured Party. All amounts due under this Section shall be payable promptly after written demand therefor.</w:t>
      </w:r>
    </w:p>
    <w:p>
      <w:pPr>
        <w:spacing w:after="0" w:line="176" w:lineRule="exact"/>
        <w:rPr>
          <w:rFonts w:ascii="Times New Roman" w:cs="Times New Roman" w:eastAsia="Times New Roman" w:hAnsi="Times New Roman"/>
          <w:sz w:val="22"/>
          <w:szCs w:val="22"/>
          <w:color w:val="auto"/>
        </w:rPr>
      </w:pPr>
    </w:p>
    <w:p>
      <w:pPr>
        <w:jc w:val="both"/>
        <w:ind w:firstLine="8"/>
        <w:spacing w:after="0" w:line="258" w:lineRule="auto"/>
        <w:tabs>
          <w:tab w:leader="none" w:pos="306" w:val="left"/>
        </w:tabs>
        <w:numPr>
          <w:ilvl w:val="0"/>
          <w:numId w:val="4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Successors and Assigns. </w:t>
      </w:r>
      <w:r>
        <w:rPr>
          <w:rFonts w:ascii="Times New Roman" w:cs="Times New Roman" w:eastAsia="Times New Roman" w:hAnsi="Times New Roman"/>
          <w:sz w:val="22"/>
          <w:szCs w:val="22"/>
          <w:color w:val="auto"/>
        </w:rPr>
        <w:t>Whenever in this Agreement any of the parties hereto is referred to, such reference shall be deemed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include the permitted successors and assigns of such party; and all covenants, promises and agreements by or on behalf of any Guarantor or Grantor or the Collateral Agent that are contained in this Agreement shall bind and inure to the benefit of their respective successors and assigns.</w:t>
      </w:r>
    </w:p>
    <w:p>
      <w:pPr>
        <w:spacing w:after="0" w:line="167" w:lineRule="exact"/>
        <w:rPr>
          <w:rFonts w:ascii="Times New Roman" w:cs="Times New Roman" w:eastAsia="Times New Roman" w:hAnsi="Times New Roman"/>
          <w:sz w:val="22"/>
          <w:szCs w:val="22"/>
          <w:color w:val="auto"/>
        </w:rPr>
      </w:pPr>
    </w:p>
    <w:p>
      <w:pPr>
        <w:jc w:val="both"/>
        <w:ind w:firstLine="8"/>
        <w:spacing w:after="0" w:line="263" w:lineRule="auto"/>
        <w:tabs>
          <w:tab w:leader="none" w:pos="307" w:val="left"/>
        </w:tabs>
        <w:numPr>
          <w:ilvl w:val="0"/>
          <w:numId w:val="4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Survival of Agreement. </w:t>
      </w:r>
      <w:r>
        <w:rPr>
          <w:rFonts w:ascii="Times New Roman" w:cs="Times New Roman" w:eastAsia="Times New Roman" w:hAnsi="Times New Roman"/>
          <w:sz w:val="21"/>
          <w:szCs w:val="21"/>
          <w:color w:val="auto"/>
        </w:rPr>
        <w:t>All covenants, agreements, representations and warranties made by the Credit Parties in the Credit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Documents and in the certificates or other instruments prepared or delivered in connection with or pursuant to this Agreement or any other Credit Document shall be considered to have been relied upon by the Lenders and shall survive the execution and delivery of the Credit Documents and the making of any Loans and issuance of any Letters of Credit, regardless of any investigation made by any Lender or on its behalf and notwithstanding that the Collateral Agent, any Issuing Bank or any Lender may have had notice or knowledge of any Default or incorrect representation or warranty at the time any credit is extended under the Credit Agreement, and shall, subject to Section 12.13, continue in full force and effect as long as the principal of or any accrued interest on any Loan or any fee or any other amount payable under any Credit Document is outstanding and unpaid or any Letter of Credit is outstanding, and so long as the Commitments under the Credit Agreement have not expired or terminated.</w:t>
      </w:r>
    </w:p>
    <w:p>
      <w:pPr>
        <w:spacing w:after="0" w:line="169" w:lineRule="exact"/>
        <w:rPr>
          <w:rFonts w:ascii="Times New Roman" w:cs="Times New Roman" w:eastAsia="Times New Roman" w:hAnsi="Times New Roman"/>
          <w:sz w:val="21"/>
          <w:szCs w:val="21"/>
          <w:color w:val="auto"/>
        </w:rPr>
      </w:pPr>
    </w:p>
    <w:p>
      <w:pPr>
        <w:jc w:val="both"/>
        <w:ind w:firstLine="8"/>
        <w:spacing w:after="0" w:line="259" w:lineRule="auto"/>
        <w:tabs>
          <w:tab w:leader="none" w:pos="310" w:val="left"/>
        </w:tabs>
        <w:numPr>
          <w:ilvl w:val="0"/>
          <w:numId w:val="4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Counterparts; Effectiveness; Several Agreement. </w:t>
      </w:r>
      <w:r>
        <w:rPr>
          <w:rFonts w:ascii="Times New Roman" w:cs="Times New Roman" w:eastAsia="Times New Roman" w:hAnsi="Times New Roman"/>
          <w:sz w:val="22"/>
          <w:szCs w:val="22"/>
          <w:color w:val="auto"/>
        </w:rPr>
        <w:t>This Agreement may be executed in counterparts, each of which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constitute an original but all of which when taken together shall constitute a single contract, and shall become effective as provided in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[[6773428]]</w:t>
      </w:r>
    </w:p>
    <w:p>
      <w:pPr>
        <w:sectPr>
          <w:pgSz w:w="11900" w:h="16838" w:orient="portrait"/>
          <w:cols w:equalWidth="0" w:num="1">
            <w:col w:w="11240"/>
          </w:cols>
          <w:pgMar w:left="320" w:top="1421" w:right="339" w:bottom="1440" w:gutter="0" w:footer="0" w:header="0"/>
        </w:sectPr>
      </w:pPr>
    </w:p>
    <w:bookmarkStart w:id="457" w:name="page458"/>
    <w:bookmarkEnd w:id="457"/>
    <w:p>
      <w:pPr>
        <w:jc w:val="both"/>
        <w:spacing w:after="0" w:line="249" w:lineRule="auto"/>
        <w:rPr>
          <w:sz w:val="20"/>
          <w:szCs w:val="20"/>
          <w:color w:val="auto"/>
        </w:rPr>
      </w:pPr>
      <w:r>
        <w:rPr>
          <w:rFonts w:ascii="Times New Roman" w:cs="Times New Roman" w:eastAsia="Times New Roman" w:hAnsi="Times New Roman"/>
          <w:sz w:val="22"/>
          <w:szCs w:val="22"/>
          <w:color w:val="auto"/>
        </w:rPr>
        <w:t>Section. Delivery of an executed signature page to this Agreement by facsimile transmission shall be as effective as delivery of a manually signed counterpart of this Agreement. This Agreement shall become effective as to any Credit Party when a counterpart hereof executed on behalf of such Credit Party shall have been delivered to the Collateral Agent and a counterpart hereof shall have been executed on behalf of the Collateral Agent, and thereafter shall be binding upon such Credit Party and the Collateral Agent and their respective permitted successors and assigns, and shall inure to the benefit of such Credit Party, the Collateral Agent and the other Secured Parties and their respective successors and assigns, except that no Credit Party shall have the right to assign or transfer its rights or obligations hereunder (and any such assignment or transfer shall be void) except as expressly contemplated by this Agreement. This Agreement shall be construed as a separate agreement with respect to each Credit Party and may be amended, modified, supplemented, waived or released with respect to any Credit Party without the approval of any other Credit Party and without affecting the obligations of any other Credit Party hereunder.</w:t>
      </w:r>
    </w:p>
    <w:p>
      <w:pPr>
        <w:spacing w:after="0" w:line="179" w:lineRule="exact"/>
        <w:rPr>
          <w:sz w:val="20"/>
          <w:szCs w:val="20"/>
          <w:color w:val="auto"/>
        </w:rPr>
      </w:pPr>
    </w:p>
    <w:p>
      <w:pPr>
        <w:jc w:val="both"/>
        <w:ind w:firstLine="8"/>
        <w:spacing w:after="0" w:line="252" w:lineRule="auto"/>
        <w:tabs>
          <w:tab w:leader="none" w:pos="306" w:val="left"/>
        </w:tabs>
        <w:numPr>
          <w:ilvl w:val="0"/>
          <w:numId w:val="4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Severability. </w:t>
      </w:r>
      <w:r>
        <w:rPr>
          <w:rFonts w:ascii="Times New Roman" w:cs="Times New Roman" w:eastAsia="Times New Roman" w:hAnsi="Times New Roman"/>
          <w:sz w:val="22"/>
          <w:szCs w:val="22"/>
          <w:color w:val="auto"/>
        </w:rPr>
        <w:t>Any provision of this Agreement held to be invalid, illegal or unenforceable in any jurisdiction shall, as to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174" w:lineRule="exact"/>
        <w:rPr>
          <w:rFonts w:ascii="Times New Roman" w:cs="Times New Roman" w:eastAsia="Times New Roman" w:hAnsi="Times New Roman"/>
          <w:sz w:val="22"/>
          <w:szCs w:val="22"/>
          <w:color w:val="auto"/>
        </w:rPr>
      </w:pPr>
    </w:p>
    <w:p>
      <w:pPr>
        <w:jc w:val="both"/>
        <w:ind w:firstLine="8"/>
        <w:spacing w:after="0" w:line="250" w:lineRule="auto"/>
        <w:tabs>
          <w:tab w:leader="none" w:pos="333" w:val="left"/>
        </w:tabs>
        <w:numPr>
          <w:ilvl w:val="0"/>
          <w:numId w:val="4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Right of Set-Off. </w:t>
      </w:r>
      <w:r>
        <w:rPr>
          <w:rFonts w:ascii="Times New Roman" w:cs="Times New Roman" w:eastAsia="Times New Roman" w:hAnsi="Times New Roman"/>
          <w:sz w:val="22"/>
          <w:szCs w:val="22"/>
          <w:color w:val="auto"/>
        </w:rPr>
        <w:t>Without limitation to the provisions of Section 5.07, if an Event of Default shall have occurred and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continuing and the Loans shall have become due and payable pursuant to Article VII of the Credit Agreement,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any Credit Party against any of and all the obligations of such Credit Party now or hereafter existing under this Agreement or any other Credit Document and owed to such Lender, irrespective of whether or not such Lender shall have made any demand under this Agreement and although such obligations may be unmatured. The rights of each Lender under this Section are in addition to other rights and remedies (including other rights of set-off) that such Lender may have.</w:t>
      </w:r>
    </w:p>
    <w:p>
      <w:pPr>
        <w:spacing w:after="0" w:line="179" w:lineRule="exact"/>
        <w:rPr>
          <w:rFonts w:ascii="Times New Roman" w:cs="Times New Roman" w:eastAsia="Times New Roman" w:hAnsi="Times New Roman"/>
          <w:sz w:val="22"/>
          <w:szCs w:val="22"/>
          <w:color w:val="auto"/>
        </w:rPr>
      </w:pPr>
    </w:p>
    <w:p>
      <w:pPr>
        <w:jc w:val="both"/>
        <w:ind w:firstLine="8"/>
        <w:spacing w:after="0" w:line="269" w:lineRule="auto"/>
        <w:tabs>
          <w:tab w:leader="none" w:pos="258" w:val="left"/>
        </w:tabs>
        <w:numPr>
          <w:ilvl w:val="0"/>
          <w:numId w:val="4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Governing Law; Jurisdiction; Consent to Service of Process. </w:t>
      </w:r>
      <w:r>
        <w:rPr>
          <w:rFonts w:ascii="Times New Roman" w:cs="Times New Roman" w:eastAsia="Times New Roman" w:hAnsi="Times New Roman"/>
          <w:sz w:val="21"/>
          <w:szCs w:val="21"/>
          <w:color w:val="auto"/>
        </w:rPr>
        <w:t>(i) THIS AGREEMENT AND ANY CLAIM, CONTROVERSY,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DISPUTE OR CAUSE OF ACTION (WHETHER BASED UPON CONTRACT, TORT OR OTHERWISE AND IN LAW OR IN EQUITY) ARISING UNDER OR RELATED TO THIS AGREEMENT OR THE TRANSACTIONS CONTEMPLATED HEREBY SHALL BE CONSTRUED IN ACCORDANCE WITH AND GOVERNED BY THE LAW OF THE STATE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[[6773428]]</w:t>
      </w:r>
    </w:p>
    <w:p>
      <w:pPr>
        <w:sectPr>
          <w:pgSz w:w="11900" w:h="16838" w:orient="portrait"/>
          <w:cols w:equalWidth="0" w:num="1">
            <w:col w:w="11240"/>
          </w:cols>
          <w:pgMar w:left="320" w:top="1421" w:right="339" w:bottom="1440" w:gutter="0" w:footer="0" w:header="0"/>
        </w:sectPr>
      </w:pPr>
    </w:p>
    <w:bookmarkStart w:id="458" w:name="page459"/>
    <w:bookmarkEnd w:id="458"/>
    <w:p>
      <w:pPr>
        <w:ind w:right="20"/>
        <w:spacing w:after="0" w:line="271" w:lineRule="auto"/>
        <w:rPr>
          <w:sz w:val="20"/>
          <w:szCs w:val="20"/>
          <w:color w:val="auto"/>
        </w:rPr>
      </w:pPr>
      <w:r>
        <w:rPr>
          <w:rFonts w:ascii="Times New Roman" w:cs="Times New Roman" w:eastAsia="Times New Roman" w:hAnsi="Times New Roman"/>
          <w:sz w:val="22"/>
          <w:szCs w:val="22"/>
          <w:color w:val="auto"/>
        </w:rPr>
        <w:t>NEW YORK, WITHOUT REGARD TO CONFLICT OF LAWS PRINCIPLES THEREOF THAT WOULD RESULT IN THE APPLICATION OF ANY LAW OTHER THAN THE LAW OF THE STATE OF NEW YORK.</w:t>
      </w:r>
    </w:p>
    <w:p>
      <w:pPr>
        <w:spacing w:after="0" w:line="158" w:lineRule="exact"/>
        <w:rPr>
          <w:sz w:val="20"/>
          <w:szCs w:val="20"/>
          <w:color w:val="auto"/>
        </w:rPr>
      </w:pPr>
    </w:p>
    <w:p>
      <w:pPr>
        <w:jc w:val="both"/>
        <w:ind w:firstLine="1304"/>
        <w:spacing w:after="0" w:line="248" w:lineRule="auto"/>
        <w:tabs>
          <w:tab w:leader="none" w:pos="1627" w:val="left"/>
        </w:tabs>
        <w:numPr>
          <w:ilvl w:val="1"/>
          <w:numId w:val="4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hereto hereby irrevocably and unconditionally submits, for itself and its property, to the exclusive jurisdiction of the United States District Court of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this Agreement or any other Credit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any other Credit Document shall affect any right of the Collateral Agent to bring any action or proceeding relating to any Collateral in the courts of any jurisdiction where such Collateral is located or deemed located.</w:t>
      </w:r>
    </w:p>
    <w:p>
      <w:pPr>
        <w:spacing w:after="0" w:line="188" w:lineRule="exact"/>
        <w:rPr>
          <w:rFonts w:ascii="Times New Roman" w:cs="Times New Roman" w:eastAsia="Times New Roman" w:hAnsi="Times New Roman"/>
          <w:sz w:val="22"/>
          <w:szCs w:val="22"/>
          <w:color w:val="auto"/>
        </w:rPr>
      </w:pPr>
    </w:p>
    <w:p>
      <w:pPr>
        <w:jc w:val="both"/>
        <w:ind w:firstLine="1304"/>
        <w:spacing w:after="0" w:line="253" w:lineRule="auto"/>
        <w:tabs>
          <w:tab w:leader="none" w:pos="1708" w:val="left"/>
        </w:tabs>
        <w:numPr>
          <w:ilvl w:val="1"/>
          <w:numId w:val="4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hereto hereby irrevocably and unconditionally waives, to the fullest extent it may legally and effectively do so, any objection which it may now or hereafter have to the laying of venue of any suit, action or proceeding arising out of or relating to this Agreement or any other Credit Document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178" w:lineRule="exact"/>
        <w:rPr>
          <w:rFonts w:ascii="Times New Roman" w:cs="Times New Roman" w:eastAsia="Times New Roman" w:hAnsi="Times New Roman"/>
          <w:sz w:val="22"/>
          <w:szCs w:val="22"/>
          <w:color w:val="auto"/>
        </w:rPr>
      </w:pPr>
    </w:p>
    <w:p>
      <w:pPr>
        <w:jc w:val="both"/>
        <w:ind w:firstLine="1304"/>
        <w:spacing w:after="0" w:line="263" w:lineRule="auto"/>
        <w:tabs>
          <w:tab w:leader="none" w:pos="1669" w:val="left"/>
        </w:tabs>
        <w:numPr>
          <w:ilvl w:val="1"/>
          <w:numId w:val="4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to this Agreement irrevocably consents to service of process in the manner provided for notices in Section 12.01. Nothing in this Agreement or any other Credit Document will affect the right of any party to this Agreement to serve process in any other manner permitted by law.</w:t>
      </w:r>
    </w:p>
    <w:p>
      <w:pPr>
        <w:spacing w:after="0" w:line="167" w:lineRule="exact"/>
        <w:rPr>
          <w:rFonts w:ascii="Times New Roman" w:cs="Times New Roman" w:eastAsia="Times New Roman" w:hAnsi="Times New Roman"/>
          <w:sz w:val="22"/>
          <w:szCs w:val="22"/>
          <w:color w:val="auto"/>
        </w:rPr>
      </w:pPr>
    </w:p>
    <w:p>
      <w:pPr>
        <w:jc w:val="both"/>
        <w:ind w:firstLine="8"/>
        <w:spacing w:after="0" w:line="249" w:lineRule="auto"/>
        <w:tabs>
          <w:tab w:leader="none" w:pos="258" w:val="left"/>
        </w:tabs>
        <w:numPr>
          <w:ilvl w:val="0"/>
          <w:numId w:val="4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WAIVER OF JURY TRIAL. EACH PARTY HERETO HEREBY WAIVES, TO THE FULLEST EXTENT PERMITTED BY APPLICABLE LAW, ANY RIGHT IT MAY HAVE TO A TRIAL BY JURY IN ANY LEGAL PROCEEDING DIRECTLY OR INDIRECTLY ARISING OUT OF OR RELATING TO THIS AGREEMENT, ANY OTHER CREDIT DOCUMENT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[[6773428]]</w:t>
      </w:r>
    </w:p>
    <w:p>
      <w:pPr>
        <w:sectPr>
          <w:pgSz w:w="11900" w:h="16838" w:orient="portrait"/>
          <w:cols w:equalWidth="0" w:num="1">
            <w:col w:w="11240"/>
          </w:cols>
          <w:pgMar w:left="320" w:top="1421" w:right="339" w:bottom="1440" w:gutter="0" w:footer="0" w:header="0"/>
        </w:sectPr>
      </w:pPr>
    </w:p>
    <w:bookmarkStart w:id="459" w:name="page460"/>
    <w:bookmarkEnd w:id="459"/>
    <w:p>
      <w:pPr>
        <w:spacing w:after="0" w:line="271" w:lineRule="auto"/>
        <w:rPr>
          <w:sz w:val="20"/>
          <w:szCs w:val="20"/>
          <w:color w:val="auto"/>
        </w:rPr>
      </w:pPr>
      <w:r>
        <w:rPr>
          <w:rFonts w:ascii="Times New Roman" w:cs="Times New Roman" w:eastAsia="Times New Roman" w:hAnsi="Times New Roman"/>
          <w:sz w:val="22"/>
          <w:szCs w:val="22"/>
          <w:color w:val="auto"/>
        </w:rPr>
        <w:t>BEEN INDUCED TO ENTER INTO THIS AGREEMENT BY, AMONG OTHER THINGS, THE MUTUAL WAIVERS AND CERTIFICATIONS IN THIS SECTION.</w:t>
      </w:r>
    </w:p>
    <w:p>
      <w:pPr>
        <w:spacing w:after="0" w:line="154" w:lineRule="exact"/>
        <w:rPr>
          <w:sz w:val="20"/>
          <w:szCs w:val="20"/>
          <w:color w:val="auto"/>
        </w:rPr>
      </w:pPr>
    </w:p>
    <w:p>
      <w:pPr>
        <w:ind w:right="20" w:firstLine="8"/>
        <w:spacing w:after="0" w:line="313" w:lineRule="auto"/>
        <w:tabs>
          <w:tab w:leader="none" w:pos="306" w:val="left"/>
        </w:tabs>
        <w:numPr>
          <w:ilvl w:val="0"/>
          <w:numId w:val="4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Headings. </w:t>
      </w:r>
      <w:r>
        <w:rPr>
          <w:rFonts w:ascii="Times New Roman" w:cs="Times New Roman" w:eastAsia="Times New Roman" w:hAnsi="Times New Roman"/>
          <w:sz w:val="21"/>
          <w:szCs w:val="21"/>
          <w:color w:val="auto"/>
        </w:rPr>
        <w:t>Article and Section headings and the Table of Contents used herein are for convenience of reference only, are not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part of this Agreement and are not to affect the construction of, or to be taken into consideration in interpreting, this Agreement.</w:t>
      </w:r>
    </w:p>
    <w:p>
      <w:pPr>
        <w:spacing w:after="0" w:line="112" w:lineRule="exact"/>
        <w:rPr>
          <w:rFonts w:ascii="Times New Roman" w:cs="Times New Roman" w:eastAsia="Times New Roman" w:hAnsi="Times New Roman"/>
          <w:sz w:val="21"/>
          <w:szCs w:val="21"/>
          <w:color w:val="auto"/>
        </w:rPr>
      </w:pPr>
    </w:p>
    <w:p>
      <w:pPr>
        <w:jc w:val="both"/>
        <w:ind w:firstLine="8"/>
        <w:spacing w:after="0" w:line="248" w:lineRule="auto"/>
        <w:tabs>
          <w:tab w:leader="none" w:pos="271" w:val="left"/>
        </w:tabs>
        <w:numPr>
          <w:ilvl w:val="0"/>
          <w:numId w:val="4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Security Interest Absolute. </w:t>
      </w:r>
      <w:r>
        <w:rPr>
          <w:rFonts w:ascii="Times New Roman" w:cs="Times New Roman" w:eastAsia="Times New Roman" w:hAnsi="Times New Roman"/>
          <w:sz w:val="22"/>
          <w:szCs w:val="22"/>
          <w:color w:val="auto"/>
        </w:rPr>
        <w:t>The pledges and security interests created hereby and by the Other Security Documents shall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absolute and unconditional irrespective of (a) any lack of validity or enforceability of the Credit Agreement, any other Credit Document, any agreement with respect to any of the Obligations or any other agreement or instrument relating to any of the foregoing, (b) any change in the time, manner or place of payment of, or in any other term of, all or any of the Obligations, or any other amendment or waiver of or any consent to any departure from the Credit Agreement, any other Credit Document or any other agreement or instrument, (c) any exchange, release or non-perfection of any Lien on other collateral, or any release or amendment or waiver of or consent under or departure from any guarantee, securing or guaranteeing all or any of the Obligations, or (d) any other circumstance that might otherwise constitute a defense available to, or a discharge of, any Grantor or Guarantor in respect of the Obligations or this Agreement.</w:t>
      </w:r>
    </w:p>
    <w:p>
      <w:pPr>
        <w:spacing w:after="0" w:line="185" w:lineRule="exact"/>
        <w:rPr>
          <w:rFonts w:ascii="Times New Roman" w:cs="Times New Roman" w:eastAsia="Times New Roman" w:hAnsi="Times New Roman"/>
          <w:sz w:val="22"/>
          <w:szCs w:val="22"/>
          <w:color w:val="auto"/>
        </w:rPr>
      </w:pPr>
    </w:p>
    <w:p>
      <w:pPr>
        <w:jc w:val="both"/>
        <w:ind w:firstLine="8"/>
        <w:spacing w:after="0" w:line="252" w:lineRule="auto"/>
        <w:tabs>
          <w:tab w:leader="none" w:pos="420" w:val="left"/>
        </w:tabs>
        <w:numPr>
          <w:ilvl w:val="0"/>
          <w:numId w:val="4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Termination or Release. </w:t>
      </w:r>
      <w:r>
        <w:rPr>
          <w:rFonts w:ascii="Times New Roman" w:cs="Times New Roman" w:eastAsia="Times New Roman" w:hAnsi="Times New Roman"/>
          <w:sz w:val="22"/>
          <w:szCs w:val="22"/>
          <w:color w:val="auto"/>
        </w:rPr>
        <w:t>(i)All pledges, security interests and Liens created hereunder and under the Other Security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Documents and all Guarantees made hereunder shall be automatically released when (i) the principal of all Loans, all accrued interest and fees and all other Obligations (for the avoidance of doubt, excluding the Miscellaneous Obligations) due and owing under the Credit Agreement have been paid in full, (ii) the Lenders have no further commitment to lend under the Credit Agreement, (iii) the LC Exposures under the Credit Agreement have been reduced to zero and (iv) the Issuing Banks under the Credit Agreement have no further obligation to issue Letters of Credit.</w:t>
      </w:r>
    </w:p>
    <w:p>
      <w:pPr>
        <w:spacing w:after="0" w:line="192" w:lineRule="exact"/>
        <w:rPr>
          <w:rFonts w:ascii="Times New Roman" w:cs="Times New Roman" w:eastAsia="Times New Roman" w:hAnsi="Times New Roman"/>
          <w:sz w:val="22"/>
          <w:szCs w:val="22"/>
          <w:color w:val="auto"/>
        </w:rPr>
      </w:pPr>
    </w:p>
    <w:p>
      <w:pPr>
        <w:jc w:val="both"/>
        <w:ind w:firstLine="1304"/>
        <w:spacing w:after="0" w:line="251" w:lineRule="auto"/>
        <w:tabs>
          <w:tab w:leader="none" w:pos="1643" w:val="left"/>
        </w:tabs>
        <w:numPr>
          <w:ilvl w:val="1"/>
          <w:numId w:val="4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Subsidiary shall automatically be released from its obligations as a Grantor or Guarantor hereunder and under each Other Security Document, and all pledges hereunder, or under any Other Security Document, of and security interests created hereunder, or under any Other Security Document, in the Collateral of such Subsidiary shall be automatically released, upon the consummation of any transaction permitted by this Agreement and the Credit Agreement as a result of which such Subsidiary ceases to be a Subsidiary;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consent to such transaction required by the Credit Agreement shall have been obtained and the terms of such consent shall not provide otherwise.</w:t>
      </w:r>
    </w:p>
    <w:p>
      <w:pPr>
        <w:spacing w:after="0" w:line="181" w:lineRule="exact"/>
        <w:rPr>
          <w:rFonts w:ascii="Times New Roman" w:cs="Times New Roman" w:eastAsia="Times New Roman" w:hAnsi="Times New Roman"/>
          <w:sz w:val="22"/>
          <w:szCs w:val="22"/>
          <w:color w:val="auto"/>
        </w:rPr>
      </w:pPr>
    </w:p>
    <w:p>
      <w:pPr>
        <w:jc w:val="both"/>
        <w:ind w:firstLine="1304"/>
        <w:spacing w:after="0" w:line="252" w:lineRule="auto"/>
        <w:tabs>
          <w:tab w:leader="none" w:pos="1674" w:val="left"/>
        </w:tabs>
        <w:numPr>
          <w:ilvl w:val="1"/>
          <w:numId w:val="4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any sale or other transfer of any Collateral permitted under this Agreement and the Credit Agreement by any Grantor to any Person other than the Company or a Subsidiary, or upon the effectiveness of any written consent to the release of any pledge or security interest created hereby or by any Other Security Document in respect of any Collateral pursuant to and in accordance with the requirements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[[6773428]]</w:t>
      </w:r>
    </w:p>
    <w:p>
      <w:pPr>
        <w:sectPr>
          <w:pgSz w:w="11900" w:h="16838" w:orient="portrait"/>
          <w:cols w:equalWidth="0" w:num="1">
            <w:col w:w="11240"/>
          </w:cols>
          <w:pgMar w:left="320" w:top="1421" w:right="339" w:bottom="1440" w:gutter="0" w:footer="0" w:header="0"/>
        </w:sectPr>
      </w:pPr>
    </w:p>
    <w:bookmarkStart w:id="460" w:name="page461"/>
    <w:bookmarkEnd w:id="460"/>
    <w:p>
      <w:pPr>
        <w:ind w:right="20"/>
        <w:spacing w:after="0" w:line="271" w:lineRule="auto"/>
        <w:rPr>
          <w:sz w:val="20"/>
          <w:szCs w:val="20"/>
          <w:color w:val="auto"/>
        </w:rPr>
      </w:pPr>
      <w:r>
        <w:rPr>
          <w:rFonts w:ascii="Times New Roman" w:cs="Times New Roman" w:eastAsia="Times New Roman" w:hAnsi="Times New Roman"/>
          <w:sz w:val="22"/>
          <w:szCs w:val="22"/>
          <w:color w:val="auto"/>
        </w:rPr>
        <w:t>Credit Agreement, all pledges, security interests and Liens created hereunder or under any Other Security Document of, in or on such Collateral shall be automatically released.</w:t>
      </w:r>
    </w:p>
    <w:p>
      <w:pPr>
        <w:spacing w:after="0" w:line="158" w:lineRule="exact"/>
        <w:rPr>
          <w:sz w:val="20"/>
          <w:szCs w:val="20"/>
          <w:color w:val="auto"/>
        </w:rPr>
      </w:pPr>
    </w:p>
    <w:p>
      <w:pPr>
        <w:jc w:val="both"/>
        <w:ind w:firstLine="1304"/>
        <w:spacing w:after="0" w:line="256" w:lineRule="auto"/>
        <w:tabs>
          <w:tab w:leader="none" w:pos="1669" w:val="left"/>
        </w:tabs>
        <w:numPr>
          <w:ilvl w:val="1"/>
          <w:numId w:val="4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any transfer of any Equity Interests in a Foreign Subsidiary pursuant to and in accordance with Section 6.04(c) of the Credit Agreement, the Collateral Agent shall release any pledge of, security interest in or Lien on such Equity Interests if the conditions to such release set forth in such Section 6.04(c) shall have been satisfied and if the Company shall have delivered a certificate to that effect to the Collateral Agent.</w:t>
      </w:r>
    </w:p>
    <w:p>
      <w:pPr>
        <w:spacing w:after="0" w:line="176" w:lineRule="exact"/>
        <w:rPr>
          <w:rFonts w:ascii="Times New Roman" w:cs="Times New Roman" w:eastAsia="Times New Roman" w:hAnsi="Times New Roman"/>
          <w:sz w:val="22"/>
          <w:szCs w:val="22"/>
          <w:color w:val="auto"/>
        </w:rPr>
      </w:pPr>
    </w:p>
    <w:p>
      <w:pPr>
        <w:jc w:val="both"/>
        <w:ind w:firstLine="1304"/>
        <w:spacing w:after="0" w:line="247" w:lineRule="auto"/>
        <w:tabs>
          <w:tab w:leader="none" w:pos="1623" w:val="left"/>
        </w:tabs>
        <w:numPr>
          <w:ilvl w:val="1"/>
          <w:numId w:val="4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any termination or release pursuant to paragraph (a), (b), (c) or (d) above, the Collateral Agent shall execute and deliver to each applicable Grantor, at such Grantor’s expense, all documents that such Grantor shall reasonably request to evidence such termination or release. Any execution and delivery of documents pursuant to this Section shall be without recourse to or representation or warranty by the Collateral Agent. Notwithstanding paragraph (b) or (c) above, in the case of any Lien on any Equity Interests in an entity organized under the laws of a jurisdiction outside the United States of America, such Lien shall not be released until the Collateral Agent executes and delivers to the applicable Grantor a written consent to such release. The Collateral Agent agrees to execute and deliver any such written consent required by the immediately preceding sentence that is requested by the applicable Grantor in connection with the consummation of any transaction permitted by this Agreement and the Credit Agreement. In the case of any License of Intellectual Property to any Person that is not an Affiliate of any Grantor (i) for which it receives consideration at the time of such License at least equal to the Fair Market Value of the subject Intellectual Property and in respect of which the Borrower shall have delivered a notice to the Administrative Agent designating such transfer as an Asset Disposition for purposes of Section 6.04 of the Credit Agreement, (ii) that constitutes an Asset Disposition under Section 6.04 of the Credit Agreement, or (iii) that does not materially reduce the collateral value to the Secured Parties of the Material Intellectual Property, taken as a whole, and, in each case, is permitted under this Agreement and the Credit Agreement, the Liens on such Intellectual Property granted hereunder shall be subject to the rights of third parties to use such Intellectual Property under such License; provided that no such License shall be used for the purpose of securing or otherwise providing credit support for Indebtedness.</w:t>
      </w:r>
    </w:p>
    <w:p>
      <w:pPr>
        <w:spacing w:after="0" w:line="186" w:lineRule="exact"/>
        <w:rPr>
          <w:rFonts w:ascii="Times New Roman" w:cs="Times New Roman" w:eastAsia="Times New Roman" w:hAnsi="Times New Roman"/>
          <w:sz w:val="22"/>
          <w:szCs w:val="22"/>
          <w:color w:val="auto"/>
        </w:rPr>
      </w:pPr>
    </w:p>
    <w:p>
      <w:pPr>
        <w:jc w:val="both"/>
        <w:ind w:firstLine="8"/>
        <w:spacing w:after="0" w:line="250" w:lineRule="auto"/>
        <w:tabs>
          <w:tab w:leader="none" w:pos="346" w:val="left"/>
        </w:tabs>
        <w:numPr>
          <w:ilvl w:val="0"/>
          <w:numId w:val="4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Additional Grantors and Guarantors. </w:t>
      </w:r>
      <w:r>
        <w:rPr>
          <w:rFonts w:ascii="Times New Roman" w:cs="Times New Roman" w:eastAsia="Times New Roman" w:hAnsi="Times New Roman"/>
          <w:sz w:val="22"/>
          <w:szCs w:val="22"/>
          <w:color w:val="auto"/>
        </w:rPr>
        <w:t>(i)Upon execution and delivery by the Collateral Agent and a Subsidiary of 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instrument in a form agreed to by the Collateral Agent and the Company (an </w:t>
      </w:r>
      <w:r>
        <w:rPr>
          <w:rFonts w:ascii="Times New Roman" w:cs="Times New Roman" w:eastAsia="Times New Roman" w:hAnsi="Times New Roman"/>
          <w:sz w:val="22"/>
          <w:szCs w:val="22"/>
          <w:i w:val="1"/>
          <w:iCs w:val="1"/>
          <w:color w:val="auto"/>
        </w:rPr>
        <w:t>“Additional Subsidiary Agreement”),</w:t>
      </w:r>
      <w:r>
        <w:rPr>
          <w:rFonts w:ascii="Times New Roman" w:cs="Times New Roman" w:eastAsia="Times New Roman" w:hAnsi="Times New Roman"/>
          <w:sz w:val="22"/>
          <w:szCs w:val="22"/>
          <w:color w:val="auto"/>
        </w:rPr>
        <w:t xml:space="preserve"> such Subsidiary shall become a party hereto and a Grantor and a Guarantor hereunder to the extent set forth in such Additional Subsidiary Agreement and shall, to the extent applicable, guarantee and create pledges of and security interests in its assets to secure the Obligations with the same force and effect as if originally named as a Grantor or Guarantor herein. At the time any Subsidiary shall become a party to this Agreement as provided in the preceding sentence, the Schedules hereto shall be supplemented as appropriate to reflect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[[6773428]]</w:t>
      </w:r>
    </w:p>
    <w:p>
      <w:pPr>
        <w:sectPr>
          <w:pgSz w:w="11900" w:h="16838" w:orient="portrait"/>
          <w:cols w:equalWidth="0" w:num="1">
            <w:col w:w="11240"/>
          </w:cols>
          <w:pgMar w:left="320" w:top="1421" w:right="339" w:bottom="1440" w:gutter="0" w:footer="0" w:header="0"/>
        </w:sectPr>
      </w:pPr>
    </w:p>
    <w:bookmarkStart w:id="461" w:name="page462"/>
    <w:bookmarkEnd w:id="461"/>
    <w:p>
      <w:pPr>
        <w:jc w:val="both"/>
        <w:spacing w:after="0" w:line="253" w:lineRule="auto"/>
        <w:rPr>
          <w:sz w:val="20"/>
          <w:szCs w:val="20"/>
          <w:color w:val="auto"/>
        </w:rPr>
      </w:pPr>
      <w:r>
        <w:rPr>
          <w:rFonts w:ascii="Times New Roman" w:cs="Times New Roman" w:eastAsia="Times New Roman" w:hAnsi="Times New Roman"/>
          <w:sz w:val="22"/>
          <w:szCs w:val="22"/>
          <w:color w:val="auto"/>
        </w:rPr>
        <w:t>guarantees, pledges and security interests, as applicable, given or created by such Subsidiary, and such supplemented Schedules shall replace the Schedules that shall theretofore have been attached to this Agreement. The execution and delivery of any Additional Subsidiary Agreement and the amendment of the Schedules hereto as above provided shall not require the consent of any other Credit Party. The rights and obligations of each Credit Party shall remain in full force and effect notwithstanding the addition of any new Credit Party as a party to this Agreement.</w:t>
      </w:r>
    </w:p>
    <w:p>
      <w:pPr>
        <w:spacing w:after="0" w:line="179" w:lineRule="exact"/>
        <w:rPr>
          <w:sz w:val="20"/>
          <w:szCs w:val="20"/>
          <w:color w:val="auto"/>
        </w:rPr>
      </w:pPr>
    </w:p>
    <w:p>
      <w:pPr>
        <w:jc w:val="both"/>
        <w:ind w:firstLine="1304"/>
        <w:spacing w:after="0" w:line="262" w:lineRule="auto"/>
        <w:tabs>
          <w:tab w:leader="none" w:pos="1633" w:val="left"/>
        </w:tabs>
        <w:numPr>
          <w:ilvl w:val="1"/>
          <w:numId w:val="4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Subsidiary that is a Guarantor may elect to become a Grantor at any time by delivering a certificate in substantially the form agreed to by the Collateral Agent and the Company or in such other form as may be reasonably required by the Collateral Agent. Any such election shall be effective immediately upon the delivery of such certificate. At the time any such election is made, the Schedules hereto shall be supplemented as appropriate to reflect the pledges and security interests given or created by such Subsidiary, and such supplemented Schedules shall replace the Schedules that shall theretofore have been attached to this Agreement. The execution and delivery of any certificate hereunder and the amendment of the Schedules hereto as above provided shall not require the consent of the Collateral Agent or any Credit Party. The rights and obligations of each Credit Party shall remain in full force and effect notwithstanding the addition of any new Grantor as a party to this Agreement.</w:t>
      </w:r>
    </w:p>
    <w:p>
      <w:pPr>
        <w:spacing w:after="0" w:line="168" w:lineRule="exact"/>
        <w:rPr>
          <w:rFonts w:ascii="Times New Roman" w:cs="Times New Roman" w:eastAsia="Times New Roman" w:hAnsi="Times New Roman"/>
          <w:sz w:val="21"/>
          <w:szCs w:val="21"/>
          <w:color w:val="auto"/>
        </w:rPr>
      </w:pPr>
    </w:p>
    <w:p>
      <w:pPr>
        <w:jc w:val="both"/>
        <w:ind w:firstLine="8"/>
        <w:spacing w:after="0" w:line="247" w:lineRule="auto"/>
        <w:tabs>
          <w:tab w:leader="none" w:pos="306" w:val="left"/>
        </w:tabs>
        <w:numPr>
          <w:ilvl w:val="0"/>
          <w:numId w:val="4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Collateral Agent Appointed Attorney-in-Fact. </w:t>
      </w:r>
      <w:r>
        <w:rPr>
          <w:rFonts w:ascii="Times New Roman" w:cs="Times New Roman" w:eastAsia="Times New Roman" w:hAnsi="Times New Roman"/>
          <w:sz w:val="22"/>
          <w:szCs w:val="22"/>
          <w:color w:val="auto"/>
        </w:rPr>
        <w:t>Each Grantor hereby appoints the Collateral Agent the attorney-in-fact of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Grantor for the purpose of carrying out the provisions of this Agreement and taking any action and executing any instrument that the Collateral Agent may deem necessary or advisable to accomplish the purposes hereof in each case upon the occurrence and during the continuance of an Event of Default, which appointment is irrevocable and coupled with an interest. Without limiting the generality of the foregoing, the Collateral Agent shall have the right, upon the occurrence and during the continuance of an Event of Default, with full power of substitution either in the Collateral Agent’s name or in the name of such Grantor (a) to receive, endorse, assign and/or deliver any and all notes, acceptances, checks, drafts, money orders or other evidences of payment relating to the Collateral of such Grantor or any part thereof; (b) to demand, collect, receive payment of, give receipt for and give discharges and releases of all or any of the Collateral; (c) to sign the name of any Grantor on any invoice or bill of lading relating to any of the Collateral; (d) to send verifications of Accounts Receivable to any Account Debtor; (e) to commence and prosecute any and all suits, actions or proceedings at law or in equity in any court of competent jurisdiction to collect or otherwise realize on all or any of the Collateral or to enforce any rights in respect of any Collateral; (f) to settle, compromise, compound, adjust or defend any actions, suits or proceedings relating to all or any of the Collateral; (g) to notify, or to require any Grantor to notify, Account Debtors to make payment directly to the Collateral Agent relating to the Collateral; and (h) to use, sell, assign, transfer, pledge, make any agreement with respect to or otherwise deal with all or any of the Collateral, and to do all other acts and things necessary to carry out the purposes of this Agreement, as fully and completely as though the Collateral Agent were the absolute owner of the Collateral for all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[[6773428]]</w:t>
      </w:r>
    </w:p>
    <w:p>
      <w:pPr>
        <w:sectPr>
          <w:pgSz w:w="11900" w:h="16838" w:orient="portrait"/>
          <w:cols w:equalWidth="0" w:num="1">
            <w:col w:w="11240"/>
          </w:cols>
          <w:pgMar w:left="320" w:top="1421" w:right="339" w:bottom="1440" w:gutter="0" w:footer="0" w:header="0"/>
        </w:sectPr>
      </w:pPr>
    </w:p>
    <w:bookmarkStart w:id="462" w:name="page463"/>
    <w:bookmarkEnd w:id="462"/>
    <w:p>
      <w:pPr>
        <w:jc w:val="both"/>
        <w:spacing w:after="0" w:line="250" w:lineRule="auto"/>
        <w:rPr>
          <w:sz w:val="20"/>
          <w:szCs w:val="20"/>
          <w:color w:val="auto"/>
        </w:rPr>
      </w:pP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nothing herein contained shall be construed as requiring or obligating the Collateral Agent to make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commitment or to make any inquiry as to the nature or sufficiency of any payment received by the Collateral Agent, or to present or file any claim or notice, or to take any action with respect to the Collateral or any part thereof or the moneys due or to become due in respect thereof or any property covered thereby. The Collateral Agent and the other Secured Parties shall be accountable only for amounts actually received as a result of the exercise of the powers granted to them herein, and neither they nor their officers, directors, employees or agents shall be responsible to any Grantor for any act or failure to act hereunder, except for their own gross negligence or wilful misconduct or the breach of such Person of its obligations set forth herein.</w:t>
      </w:r>
    </w:p>
    <w:p>
      <w:pPr>
        <w:spacing w:after="0" w:line="180" w:lineRule="exact"/>
        <w:rPr>
          <w:sz w:val="20"/>
          <w:szCs w:val="20"/>
          <w:color w:val="auto"/>
        </w:rPr>
      </w:pPr>
    </w:p>
    <w:p>
      <w:pPr>
        <w:ind w:right="20" w:firstLine="8"/>
        <w:spacing w:after="0" w:line="287" w:lineRule="auto"/>
        <w:tabs>
          <w:tab w:leader="none" w:pos="319" w:val="left"/>
        </w:tabs>
        <w:numPr>
          <w:ilvl w:val="0"/>
          <w:numId w:val="4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Excluded Swap Obligations</w:t>
      </w:r>
      <w:r>
        <w:rPr>
          <w:rFonts w:ascii="Times New Roman" w:cs="Times New Roman" w:eastAsia="Times New Roman" w:hAnsi="Times New Roman"/>
          <w:sz w:val="22"/>
          <w:szCs w:val="22"/>
          <w:color w:val="auto"/>
        </w:rPr>
        <w:t>. The provisions of Section 1.06 of the Credit Agreement are incorporated by reference herein,</w:t>
      </w:r>
      <w:r>
        <w:rPr>
          <w:rFonts w:ascii="Times New Roman" w:cs="Times New Roman" w:eastAsia="Times New Roman" w:hAnsi="Times New Roman"/>
          <w:sz w:val="22"/>
          <w:szCs w:val="22"/>
          <w:i w:val="1"/>
          <w:iCs w:val="1"/>
          <w:color w:val="auto"/>
        </w:rPr>
        <w:t xml:space="preserve"> mutatis mutandis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[[6773428]]</w:t>
      </w:r>
    </w:p>
    <w:p>
      <w:pPr>
        <w:sectPr>
          <w:pgSz w:w="11900" w:h="16838" w:orient="portrait"/>
          <w:cols w:equalWidth="0" w:num="1">
            <w:col w:w="11240"/>
          </w:cols>
          <w:pgMar w:left="320" w:top="1417" w:right="339" w:bottom="1440" w:gutter="0" w:footer="0" w:header="0"/>
        </w:sectPr>
      </w:pPr>
    </w:p>
    <w:bookmarkStart w:id="463" w:name="page464"/>
    <w:bookmarkEnd w:id="463"/>
    <w:p>
      <w:pPr>
        <w:jc w:val="right"/>
        <w:spacing w:after="0"/>
        <w:rPr>
          <w:sz w:val="20"/>
          <w:szCs w:val="20"/>
          <w:color w:val="auto"/>
        </w:rPr>
      </w:pPr>
      <w:r>
        <w:rPr>
          <w:rFonts w:ascii="Times New Roman" w:cs="Times New Roman" w:eastAsia="Times New Roman" w:hAnsi="Times New Roman"/>
          <w:sz w:val="18"/>
          <w:szCs w:val="18"/>
          <w:b w:val="1"/>
          <w:bCs w:val="1"/>
          <w:color w:val="auto"/>
        </w:rPr>
        <w:t>EXHIBIT 22.1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SUBSIDIARY GUARANTORS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subsidiaries of The Goodyear Tire &amp; Rubber Company (the "Parent Company") were, as of June 30, 2025, guarantors of the Company's 5% senior notes due 2026, 4.875% senior notes due 2027, 5% senior notes due 2029, 6.625% senior notes due 2030, 5.25% senior notes due April 2031, 5.25% senior notes due July 2031 and 5.625% senior notes due 2033:</w:t>
      </w: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4860" w:type="dxa"/>
            <w:vAlign w:val="bottom"/>
            <w:gridSpan w:val="3"/>
          </w:tcPr>
          <w:p>
            <w:pPr>
              <w:ind w:left="2040"/>
              <w:spacing w:after="0"/>
              <w:rPr>
                <w:sz w:val="20"/>
                <w:szCs w:val="20"/>
                <w:color w:val="auto"/>
              </w:rPr>
            </w:pPr>
            <w:r>
              <w:rPr>
                <w:rFonts w:ascii="Times New Roman" w:cs="Times New Roman" w:eastAsia="Times New Roman" w:hAnsi="Times New Roman"/>
                <w:sz w:val="18"/>
                <w:szCs w:val="18"/>
                <w:b w:val="1"/>
                <w:bCs w:val="1"/>
                <w:color w:val="auto"/>
                <w:w w:val="98"/>
              </w:rPr>
              <w:t>PLACE OF INCORPORATION OR</w:t>
            </w:r>
          </w:p>
        </w:tc>
      </w:tr>
      <w:tr>
        <w:trPr>
          <w:trHeight w:val="198"/>
        </w:trPr>
        <w:tc>
          <w:tcPr>
            <w:tcW w:w="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4860" w:type="dxa"/>
            <w:vAlign w:val="bottom"/>
            <w:gridSpan w:val="3"/>
          </w:tcPr>
          <w:p>
            <w:pPr>
              <w:ind w:left="2040"/>
              <w:spacing w:after="0" w:line="198" w:lineRule="exact"/>
              <w:rPr>
                <w:sz w:val="20"/>
                <w:szCs w:val="20"/>
                <w:color w:val="auto"/>
              </w:rPr>
            </w:pPr>
            <w:r>
              <w:rPr>
                <w:rFonts w:ascii="Times New Roman" w:cs="Times New Roman" w:eastAsia="Times New Roman" w:hAnsi="Times New Roman"/>
                <w:sz w:val="18"/>
                <w:szCs w:val="18"/>
                <w:b w:val="1"/>
                <w:bCs w:val="1"/>
                <w:color w:val="auto"/>
              </w:rPr>
              <w:t>ORGANIZATION</w:t>
            </w:r>
          </w:p>
        </w:tc>
      </w:tr>
      <w:tr>
        <w:trPr>
          <w:trHeight w:val="250"/>
        </w:trPr>
        <w:tc>
          <w:tcPr>
            <w:tcW w:w="60" w:type="dxa"/>
            <w:vAlign w:val="bottom"/>
          </w:tcPr>
          <w:p>
            <w:pPr>
              <w:spacing w:after="0"/>
              <w:rPr>
                <w:sz w:val="21"/>
                <w:szCs w:val="21"/>
                <w:color w:val="auto"/>
              </w:rPr>
            </w:pPr>
          </w:p>
        </w:tc>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204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380" w:type="dxa"/>
            <w:vAlign w:val="bottom"/>
          </w:tcPr>
          <w:p>
            <w:pPr>
              <w:spacing w:after="0"/>
              <w:rPr>
                <w:sz w:val="21"/>
                <w:szCs w:val="21"/>
                <w:color w:val="auto"/>
              </w:rPr>
            </w:pPr>
          </w:p>
        </w:tc>
      </w:tr>
      <w:tr>
        <w:trPr>
          <w:trHeight w:val="20"/>
        </w:trPr>
        <w:tc>
          <w:tcPr>
            <w:tcW w:w="6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72"/>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Celeron Corporation</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Cooper International Holding Corporation</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Cooper Tire &amp; Rubber Company LLC</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Cooper Tire &amp; Rubber Company Vietnam Holding, LLC</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Cooper Tire Holding Company</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Ohio</w:t>
            </w:r>
          </w:p>
        </w:tc>
      </w:tr>
      <w:tr>
        <w:trPr>
          <w:trHeight w:val="248"/>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Divested Companies Holding Company</w:t>
            </w:r>
          </w:p>
        </w:tc>
        <w:tc>
          <w:tcPr>
            <w:tcW w:w="486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Delaware</w:t>
            </w:r>
          </w:p>
        </w:tc>
      </w:tr>
      <w:tr>
        <w:trPr>
          <w:trHeight w:val="252"/>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Divested Litchfield Park Properties, Inc.</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Arizona</w:t>
            </w:r>
          </w:p>
        </w:tc>
      </w:tr>
      <w:tr>
        <w:trPr>
          <w:trHeight w:val="229"/>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Goodyear Canada Inc.</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Ontario, Canada</w:t>
            </w:r>
          </w:p>
        </w:tc>
      </w:tr>
      <w:tr>
        <w:trPr>
          <w:trHeight w:val="229"/>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Goodyear Export Inc.</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Goodyear Farms, Inc.</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Arizona</w:t>
            </w:r>
          </w:p>
        </w:tc>
      </w:tr>
      <w:tr>
        <w:trPr>
          <w:trHeight w:val="229"/>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Goodyear International Corporation</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Goodyear Western Hemisphere Corporation</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Max-Trac Tire Co., Inc.</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Ohio</w:t>
            </w:r>
          </w:p>
        </w:tc>
      </w:tr>
      <w:tr>
        <w:trPr>
          <w:trHeight w:val="230"/>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Raben Tire Co., LLC</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Indiana</w:t>
            </w:r>
          </w:p>
        </w:tc>
      </w:tr>
      <w:tr>
        <w:trPr>
          <w:trHeight w:val="229"/>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T&amp;WA, Inc.</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Kentucky</w:t>
            </w:r>
          </w:p>
        </w:tc>
      </w:tr>
      <w:tr>
        <w:trPr>
          <w:trHeight w:val="234"/>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Wingfoot Brands LLC</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Delaware</w:t>
            </w: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927" w:right="339" w:bottom="1440" w:gutter="0" w:footer="0" w:header="0"/>
        </w:sectPr>
      </w:pPr>
    </w:p>
    <w:bookmarkStart w:id="464" w:name="page465"/>
    <w:bookmarkEnd w:id="46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W. Stewart, certify that:</w:t>
      </w:r>
    </w:p>
    <w:p>
      <w:pPr>
        <w:spacing w:after="0" w:line="185" w:lineRule="exact"/>
        <w:rPr>
          <w:sz w:val="20"/>
          <w:szCs w:val="20"/>
          <w:color w:val="auto"/>
        </w:rPr>
      </w:pPr>
    </w:p>
    <w:p>
      <w:pPr>
        <w:ind w:left="1060" w:hanging="1052"/>
        <w:spacing w:after="0"/>
        <w:tabs>
          <w:tab w:leader="none" w:pos="1060"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Goodyear Tire &amp; Rubber Company;</w:t>
      </w:r>
    </w:p>
    <w:p>
      <w:pPr>
        <w:spacing w:after="0" w:line="184" w:lineRule="exact"/>
        <w:rPr>
          <w:rFonts w:ascii="Times New Roman" w:cs="Times New Roman" w:eastAsia="Times New Roman" w:hAnsi="Times New Roman"/>
          <w:sz w:val="18"/>
          <w:szCs w:val="18"/>
          <w:color w:val="auto"/>
        </w:rPr>
      </w:pPr>
    </w:p>
    <w:p>
      <w:pPr>
        <w:jc w:val="both"/>
        <w:ind w:left="1060" w:hanging="1052"/>
        <w:spacing w:after="0" w:line="266" w:lineRule="auto"/>
        <w:tabs>
          <w:tab w:leader="none" w:pos="1060"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1060" w:right="20" w:hanging="1052"/>
        <w:spacing w:after="0" w:line="282" w:lineRule="auto"/>
        <w:tabs>
          <w:tab w:leader="none" w:pos="1060"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1060" w:hanging="1052"/>
        <w:spacing w:after="0" w:line="261" w:lineRule="auto"/>
        <w:tabs>
          <w:tab w:leader="none" w:pos="1060"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0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166" w:lineRule="exact"/>
        <w:rPr>
          <w:rFonts w:ascii="Times New Roman" w:cs="Times New Roman" w:eastAsia="Times New Roman" w:hAnsi="Times New Roman"/>
          <w:sz w:val="18"/>
          <w:szCs w:val="18"/>
          <w:color w:val="auto"/>
        </w:rPr>
      </w:pPr>
    </w:p>
    <w:p>
      <w:pPr>
        <w:jc w:val="both"/>
        <w:ind w:left="2040" w:hanging="979"/>
        <w:spacing w:after="0" w:line="266" w:lineRule="auto"/>
        <w:tabs>
          <w:tab w:leader="none" w:pos="2031" w:val="left"/>
        </w:tabs>
        <w:numPr>
          <w:ilvl w:val="1"/>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jc w:val="both"/>
        <w:ind w:left="2040" w:right="20" w:hanging="979"/>
        <w:spacing w:after="0" w:line="266" w:lineRule="auto"/>
        <w:tabs>
          <w:tab w:leader="none" w:pos="2028" w:val="left"/>
        </w:tabs>
        <w:numPr>
          <w:ilvl w:val="1"/>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2040" w:hanging="979"/>
        <w:spacing w:after="0" w:line="266" w:lineRule="auto"/>
        <w:tabs>
          <w:tab w:leader="none" w:pos="2031" w:val="left"/>
        </w:tabs>
        <w:numPr>
          <w:ilvl w:val="1"/>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jc w:val="both"/>
        <w:ind w:left="2040" w:hanging="979"/>
        <w:spacing w:after="0" w:line="266" w:lineRule="auto"/>
        <w:tabs>
          <w:tab w:leader="none" w:pos="2028" w:val="left"/>
        </w:tabs>
        <w:numPr>
          <w:ilvl w:val="1"/>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jc w:val="both"/>
        <w:ind w:left="1060" w:hanging="1052"/>
        <w:spacing w:after="0" w:line="266" w:lineRule="auto"/>
        <w:tabs>
          <w:tab w:leader="none" w:pos="1060"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jc w:val="both"/>
        <w:ind w:left="2040" w:hanging="979"/>
        <w:spacing w:after="0" w:line="266" w:lineRule="auto"/>
        <w:tabs>
          <w:tab w:leader="none" w:pos="2031" w:val="left"/>
        </w:tabs>
        <w:numPr>
          <w:ilvl w:val="1"/>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2040" w:right="20" w:hanging="979"/>
        <w:spacing w:after="0" w:line="282" w:lineRule="auto"/>
        <w:tabs>
          <w:tab w:leader="none" w:pos="2028" w:val="left"/>
        </w:tabs>
        <w:numPr>
          <w:ilvl w:val="1"/>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2025</w:t>
      </w:r>
    </w:p>
    <w:p>
      <w:pPr>
        <w:spacing w:after="0" w:line="239"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4"/>
          <w:szCs w:val="14"/>
          <w:color w:val="auto"/>
        </w:rPr>
        <w:t>ARK</w:t>
      </w:r>
      <w:r>
        <w:rPr>
          <w:rFonts w:ascii="Times New Roman" w:cs="Times New Roman" w:eastAsia="Times New Roman" w:hAnsi="Times New Roman"/>
          <w:sz w:val="18"/>
          <w:szCs w:val="18"/>
          <w:color w:val="auto"/>
        </w:rPr>
        <w:t xml:space="preserve"> W. S</w:t>
      </w:r>
      <w:r>
        <w:rPr>
          <w:rFonts w:ascii="Times New Roman" w:cs="Times New Roman" w:eastAsia="Times New Roman" w:hAnsi="Times New Roman"/>
          <w:sz w:val="14"/>
          <w:szCs w:val="14"/>
          <w:color w:val="auto"/>
        </w:rPr>
        <w:t>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34290</wp:posOffset>
            </wp:positionV>
            <wp:extent cx="41833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1">
                      <a:extLst>
                        <a:ext uri="{28A0092B-C50C-407E-A947-70E740481C1C}"/>
                      </a:extLst>
                    </a:blip>
                    <a:srcRect/>
                    <a:stretch>
                      <a:fillRect/>
                    </a:stretch>
                  </pic:blipFill>
                  <pic:spPr bwMode="auto">
                    <a:xfrm>
                      <a:off x="0" y="0"/>
                      <a:ext cx="4183380" cy="8255"/>
                    </a:xfrm>
                    <a:prstGeom prst="rect">
                      <a:avLst/>
                    </a:prstGeom>
                    <a:noFill/>
                  </pic:spPr>
                </pic:pic>
              </a:graphicData>
            </a:graphic>
          </wp:anchor>
        </w:drawing>
      </w:r>
    </w:p>
    <w:p>
      <w:pPr>
        <w:spacing w:after="0" w:line="5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Mark W. Stewart</w:t>
      </w:r>
    </w:p>
    <w:p>
      <w:pPr>
        <w:spacing w:after="0" w:line="2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43" w:right="339" w:bottom="1440" w:gutter="0" w:footer="0" w:header="0"/>
        </w:sectPr>
      </w:pPr>
    </w:p>
    <w:bookmarkStart w:id="465" w:name="page466"/>
    <w:bookmarkEnd w:id="46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Christina L. Zamarro, certify that:</w:t>
      </w:r>
    </w:p>
    <w:p>
      <w:pPr>
        <w:spacing w:after="0" w:line="185" w:lineRule="exact"/>
        <w:rPr>
          <w:sz w:val="20"/>
          <w:szCs w:val="20"/>
          <w:color w:val="auto"/>
        </w:rPr>
      </w:pPr>
    </w:p>
    <w:p>
      <w:pPr>
        <w:ind w:left="1060" w:hanging="1052"/>
        <w:spacing w:after="0"/>
        <w:tabs>
          <w:tab w:leader="none" w:pos="1060"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Goodyear Tire &amp; Rubber Company;</w:t>
      </w:r>
    </w:p>
    <w:p>
      <w:pPr>
        <w:spacing w:after="0" w:line="184" w:lineRule="exact"/>
        <w:rPr>
          <w:rFonts w:ascii="Times New Roman" w:cs="Times New Roman" w:eastAsia="Times New Roman" w:hAnsi="Times New Roman"/>
          <w:sz w:val="18"/>
          <w:szCs w:val="18"/>
          <w:color w:val="auto"/>
        </w:rPr>
      </w:pPr>
    </w:p>
    <w:p>
      <w:pPr>
        <w:jc w:val="both"/>
        <w:ind w:left="1060" w:hanging="1052"/>
        <w:spacing w:after="0" w:line="266" w:lineRule="auto"/>
        <w:tabs>
          <w:tab w:leader="none" w:pos="1060"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1060" w:right="20" w:hanging="1052"/>
        <w:spacing w:after="0" w:line="282" w:lineRule="auto"/>
        <w:tabs>
          <w:tab w:leader="none" w:pos="1060"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1060" w:hanging="1052"/>
        <w:spacing w:after="0" w:line="261" w:lineRule="auto"/>
        <w:tabs>
          <w:tab w:leader="none" w:pos="1060"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0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166" w:lineRule="exact"/>
        <w:rPr>
          <w:rFonts w:ascii="Times New Roman" w:cs="Times New Roman" w:eastAsia="Times New Roman" w:hAnsi="Times New Roman"/>
          <w:sz w:val="18"/>
          <w:szCs w:val="18"/>
          <w:color w:val="auto"/>
        </w:rPr>
      </w:pPr>
    </w:p>
    <w:p>
      <w:pPr>
        <w:jc w:val="both"/>
        <w:ind w:left="2040" w:hanging="979"/>
        <w:spacing w:after="0" w:line="266" w:lineRule="auto"/>
        <w:tabs>
          <w:tab w:leader="none" w:pos="2031" w:val="left"/>
        </w:tabs>
        <w:numPr>
          <w:ilvl w:val="1"/>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jc w:val="both"/>
        <w:ind w:left="2040" w:right="20" w:hanging="979"/>
        <w:spacing w:after="0" w:line="266" w:lineRule="auto"/>
        <w:tabs>
          <w:tab w:leader="none" w:pos="2028" w:val="left"/>
        </w:tabs>
        <w:numPr>
          <w:ilvl w:val="1"/>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2040" w:hanging="979"/>
        <w:spacing w:after="0" w:line="266" w:lineRule="auto"/>
        <w:tabs>
          <w:tab w:leader="none" w:pos="2031" w:val="left"/>
        </w:tabs>
        <w:numPr>
          <w:ilvl w:val="1"/>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jc w:val="both"/>
        <w:ind w:left="2040" w:hanging="979"/>
        <w:spacing w:after="0" w:line="266" w:lineRule="auto"/>
        <w:tabs>
          <w:tab w:leader="none" w:pos="2028" w:val="left"/>
        </w:tabs>
        <w:numPr>
          <w:ilvl w:val="1"/>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jc w:val="both"/>
        <w:ind w:left="1060" w:hanging="1052"/>
        <w:spacing w:after="0" w:line="266" w:lineRule="auto"/>
        <w:tabs>
          <w:tab w:leader="none" w:pos="1060"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jc w:val="both"/>
        <w:ind w:left="2040" w:hanging="979"/>
        <w:spacing w:after="0" w:line="266" w:lineRule="auto"/>
        <w:tabs>
          <w:tab w:leader="none" w:pos="2031" w:val="left"/>
        </w:tabs>
        <w:numPr>
          <w:ilvl w:val="1"/>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2040" w:right="20" w:hanging="979"/>
        <w:spacing w:after="0" w:line="282" w:lineRule="auto"/>
        <w:tabs>
          <w:tab w:leader="none" w:pos="2028" w:val="left"/>
        </w:tabs>
        <w:numPr>
          <w:ilvl w:val="1"/>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2025</w:t>
      </w:r>
    </w:p>
    <w:p>
      <w:pPr>
        <w:spacing w:after="0" w:line="198"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/s/ C</w:t>
      </w:r>
      <w:r>
        <w:rPr>
          <w:rFonts w:ascii="Times New Roman" w:cs="Times New Roman" w:eastAsia="Times New Roman" w:hAnsi="Times New Roman"/>
          <w:sz w:val="14"/>
          <w:szCs w:val="14"/>
          <w:color w:val="auto"/>
        </w:rPr>
        <w:t>HRISTINA</w:t>
      </w:r>
      <w:r>
        <w:rPr>
          <w:rFonts w:ascii="Times New Roman" w:cs="Times New Roman" w:eastAsia="Times New Roman" w:hAnsi="Times New Roman"/>
          <w:sz w:val="18"/>
          <w:szCs w:val="18"/>
          <w:color w:val="auto"/>
        </w:rPr>
        <w:t xml:space="preserve"> L. Z</w:t>
      </w:r>
      <w:r>
        <w:rPr>
          <w:rFonts w:ascii="Times New Roman" w:cs="Times New Roman" w:eastAsia="Times New Roman" w:hAnsi="Times New Roman"/>
          <w:sz w:val="14"/>
          <w:szCs w:val="14"/>
          <w:color w:val="auto"/>
        </w:rPr>
        <w:t>AMARRO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34290</wp:posOffset>
            </wp:positionV>
            <wp:extent cx="41833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2">
                      <a:extLst>
                        <a:ext uri="{28A0092B-C50C-407E-A947-70E740481C1C}"/>
                      </a:extLst>
                    </a:blip>
                    <a:srcRect/>
                    <a:stretch>
                      <a:fillRect/>
                    </a:stretch>
                  </pic:blipFill>
                  <pic:spPr bwMode="auto">
                    <a:xfrm>
                      <a:off x="0" y="0"/>
                      <a:ext cx="4183380" cy="8255"/>
                    </a:xfrm>
                    <a:prstGeom prst="rect">
                      <a:avLst/>
                    </a:prstGeom>
                    <a:noFill/>
                  </pic:spPr>
                </pic:pic>
              </a:graphicData>
            </a:graphic>
          </wp:anchor>
        </w:drawing>
      </w:r>
    </w:p>
    <w:p>
      <w:pPr>
        <w:spacing w:after="0" w:line="5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Christina L. Zamarro</w:t>
      </w:r>
    </w:p>
    <w:p>
      <w:pPr>
        <w:spacing w:after="0" w:line="2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43" w:right="339" w:bottom="1440" w:gutter="0" w:footer="0" w:header="0"/>
        </w:sectPr>
      </w:pPr>
    </w:p>
    <w:bookmarkStart w:id="466" w:name="page467"/>
    <w:bookmarkEnd w:id="46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Pursuant to Section 1350, Chapter 63 of Title 18, United States Code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Section 1350, Chapter 63 of Title 18, United States Code, each of the undersigned officers of The Goodyear Tire &amp; Rubber Company, an Ohio corporation (the “Company”), hereby certifies with respect to the Quarterly Report on Form 10-Q of the Company for the quarter ended June 30, 2025, as filed with the Securities and Exchange Commission (the “10-Q Report”) that to their knowledge:</w:t>
      </w:r>
    </w:p>
    <w:p>
      <w:pPr>
        <w:spacing w:after="0" w:line="135" w:lineRule="exact"/>
        <w:rPr>
          <w:sz w:val="20"/>
          <w:szCs w:val="20"/>
          <w:color w:val="auto"/>
        </w:rPr>
      </w:pPr>
    </w:p>
    <w:p>
      <w:pPr>
        <w:ind w:left="2260" w:hanging="1280"/>
        <w:spacing w:after="0"/>
        <w:tabs>
          <w:tab w:leader="none" w:pos="2260"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10-Q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2280" w:hanging="1300"/>
        <w:spacing w:after="0" w:line="282" w:lineRule="auto"/>
        <w:tabs>
          <w:tab w:leader="none" w:pos="2274"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10-Q Report fairly presents, in all material respects, the financial condition and results of operations of the Company.</w:t>
      </w:r>
    </w:p>
    <w:p>
      <w:pPr>
        <w:spacing w:after="0" w:line="200" w:lineRule="exact"/>
        <w:rPr>
          <w:sz w:val="20"/>
          <w:szCs w:val="20"/>
          <w:color w:val="auto"/>
        </w:rPr>
      </w:pPr>
    </w:p>
    <w:p>
      <w:pPr>
        <w:spacing w:after="0" w:line="380" w:lineRule="exact"/>
        <w:rPr>
          <w:sz w:val="20"/>
          <w:szCs w:val="20"/>
          <w:color w:val="auto"/>
        </w:rPr>
      </w:pPr>
    </w:p>
    <w:p>
      <w:pPr>
        <w:ind w:left="20"/>
        <w:spacing w:after="0"/>
        <w:tabs>
          <w:tab w:leader="none" w:pos="800" w:val="left"/>
          <w:tab w:leader="none" w:pos="716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August 8, 2025</w:t>
      </w:r>
      <w:r>
        <w:rPr>
          <w:sz w:val="20"/>
          <w:szCs w:val="20"/>
          <w:color w:val="auto"/>
        </w:rPr>
        <w:tab/>
      </w:r>
      <w:r>
        <w:rPr>
          <w:rFonts w:ascii="Times New Roman" w:cs="Times New Roman" w:eastAsia="Times New Roman" w:hAnsi="Times New Roman"/>
          <w:sz w:val="17"/>
          <w:szCs w:val="17"/>
          <w:color w:val="auto"/>
        </w:rPr>
        <w:t>/s/ M</w:t>
      </w:r>
      <w:r>
        <w:rPr>
          <w:rFonts w:ascii="Times New Roman" w:cs="Times New Roman" w:eastAsia="Times New Roman" w:hAnsi="Times New Roman"/>
          <w:sz w:val="13"/>
          <w:szCs w:val="13"/>
          <w:color w:val="auto"/>
        </w:rPr>
        <w:t>ARK</w:t>
      </w:r>
      <w:r>
        <w:rPr>
          <w:rFonts w:ascii="Times New Roman" w:cs="Times New Roman" w:eastAsia="Times New Roman" w:hAnsi="Times New Roman"/>
          <w:sz w:val="17"/>
          <w:szCs w:val="17"/>
          <w:color w:val="auto"/>
        </w:rPr>
        <w:t xml:space="preserve"> W. S</w:t>
      </w:r>
      <w:r>
        <w:rPr>
          <w:rFonts w:ascii="Times New Roman" w:cs="Times New Roman" w:eastAsia="Times New Roman" w:hAnsi="Times New Roman"/>
          <w:sz w:val="13"/>
          <w:szCs w:val="13"/>
          <w:color w:val="auto"/>
        </w:rPr>
        <w:t>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34290</wp:posOffset>
            </wp:positionV>
            <wp:extent cx="412305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3">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5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Mark W. Stewart</w:t>
      </w:r>
    </w:p>
    <w:p>
      <w:pPr>
        <w:spacing w:after="0" w:line="6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6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The Goodyear Tire &amp; Rubber Company</w:t>
      </w:r>
    </w:p>
    <w:p>
      <w:pPr>
        <w:spacing w:after="0" w:line="333" w:lineRule="exact"/>
        <w:rPr>
          <w:sz w:val="20"/>
          <w:szCs w:val="20"/>
          <w:color w:val="auto"/>
        </w:rPr>
      </w:pPr>
    </w:p>
    <w:p>
      <w:pPr>
        <w:ind w:left="20"/>
        <w:spacing w:after="0"/>
        <w:tabs>
          <w:tab w:leader="none" w:pos="800" w:val="left"/>
          <w:tab w:leader="none" w:pos="698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August 8, 2025</w:t>
      </w:r>
      <w:r>
        <w:rPr>
          <w:sz w:val="20"/>
          <w:szCs w:val="20"/>
          <w:color w:val="auto"/>
        </w:rPr>
        <w:tab/>
      </w:r>
      <w:r>
        <w:rPr>
          <w:rFonts w:ascii="Times New Roman" w:cs="Times New Roman" w:eastAsia="Times New Roman" w:hAnsi="Times New Roman"/>
          <w:sz w:val="18"/>
          <w:szCs w:val="18"/>
          <w:color w:val="auto"/>
        </w:rPr>
        <w:t>/s/ C</w:t>
      </w:r>
      <w:r>
        <w:rPr>
          <w:rFonts w:ascii="Times New Roman" w:cs="Times New Roman" w:eastAsia="Times New Roman" w:hAnsi="Times New Roman"/>
          <w:sz w:val="14"/>
          <w:szCs w:val="14"/>
          <w:color w:val="auto"/>
        </w:rPr>
        <w:t>HRISTINA</w:t>
      </w:r>
      <w:r>
        <w:rPr>
          <w:rFonts w:ascii="Times New Roman" w:cs="Times New Roman" w:eastAsia="Times New Roman" w:hAnsi="Times New Roman"/>
          <w:sz w:val="18"/>
          <w:szCs w:val="18"/>
          <w:color w:val="auto"/>
        </w:rPr>
        <w:t xml:space="preserve"> L. Z</w:t>
      </w:r>
      <w:r>
        <w:rPr>
          <w:rFonts w:ascii="Times New Roman" w:cs="Times New Roman" w:eastAsia="Times New Roman" w:hAnsi="Times New Roman"/>
          <w:sz w:val="14"/>
          <w:szCs w:val="14"/>
          <w:color w:val="auto"/>
        </w:rPr>
        <w:t>AMARRO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34290</wp:posOffset>
            </wp:positionV>
            <wp:extent cx="412305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4">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5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Christina L. Zamarro</w:t>
      </w:r>
    </w:p>
    <w:p>
      <w:pPr>
        <w:spacing w:after="0" w:line="6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6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The Goodyear Tire &amp; Rubber Company</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C4A08EC"/>
    <w:multiLevelType w:val="hybridMultilevel"/>
    <w:lvl w:ilvl="0">
      <w:lvlJc w:val="left"/>
      <w:lvlText w:val="(%1)"/>
      <w:numFmt w:val="decimal"/>
      <w:start w:val="1"/>
    </w:lvl>
  </w:abstractNum>
  <w:abstractNum w:abstractNumId="1">
    <w:nsid w:val="1958BD17"/>
    <w:multiLevelType w:val="hybridMultilevel"/>
    <w:lvl w:ilvl="0">
      <w:lvlJc w:val="left"/>
      <w:lvlText w:val="(%1)"/>
      <w:numFmt w:val="decimal"/>
      <w:start w:val="1"/>
    </w:lvl>
  </w:abstractNum>
  <w:abstractNum w:abstractNumId="2">
    <w:nsid w:val="4E647FE4"/>
    <w:multiLevelType w:val="hybridMultilevel"/>
    <w:lvl w:ilvl="0">
      <w:lvlJc w:val="left"/>
      <w:lvlText w:val="(%1)"/>
      <w:numFmt w:val="decimal"/>
      <w:start w:val="1"/>
    </w:lvl>
  </w:abstractNum>
  <w:abstractNum w:abstractNumId="3">
    <w:nsid w:val="E0BB885"/>
    <w:multiLevelType w:val="hybridMultilevel"/>
    <w:lvl w:ilvl="0">
      <w:lvlJc w:val="left"/>
      <w:lvlText w:val="(%1)"/>
      <w:numFmt w:val="decimal"/>
      <w:start w:val="1"/>
    </w:lvl>
  </w:abstractNum>
  <w:abstractNum w:abstractNumId="4">
    <w:nsid w:val="565976F1"/>
    <w:multiLevelType w:val="hybridMultilevel"/>
    <w:lvl w:ilvl="0">
      <w:lvlJc w:val="left"/>
      <w:lvlText w:val="(%1)"/>
      <w:numFmt w:val="decimal"/>
      <w:start w:val="1"/>
    </w:lvl>
  </w:abstractNum>
  <w:abstractNum w:abstractNumId="5">
    <w:nsid w:val="64212B8C"/>
    <w:multiLevelType w:val="hybridMultilevel"/>
    <w:lvl w:ilvl="0">
      <w:lvlJc w:val="left"/>
      <w:lvlText w:val="(%1)"/>
      <w:numFmt w:val="decimal"/>
      <w:start w:val="1"/>
    </w:lvl>
  </w:abstractNum>
  <w:abstractNum w:abstractNumId="6">
    <w:nsid w:val="5C17530C"/>
    <w:multiLevelType w:val="hybridMultilevel"/>
    <w:lvl w:ilvl="0">
      <w:lvlJc w:val="left"/>
      <w:lvlText w:val="(%1)"/>
      <w:numFmt w:val="decimal"/>
      <w:start w:val="1"/>
    </w:lvl>
  </w:abstractNum>
  <w:abstractNum w:abstractNumId="7">
    <w:nsid w:val="19A52566"/>
    <w:multiLevelType w:val="hybridMultilevel"/>
    <w:lvl w:ilvl="0">
      <w:lvlJc w:val="left"/>
      <w:lvlText w:val="(%1)"/>
      <w:numFmt w:val="decimal"/>
      <w:start w:val="1"/>
    </w:lvl>
  </w:abstractNum>
  <w:abstractNum w:abstractNumId="8">
    <w:nsid w:val="335A1DF1"/>
    <w:multiLevelType w:val="hybridMultilevel"/>
    <w:lvl w:ilvl="0">
      <w:lvlJc w:val="left"/>
      <w:lvlText w:val="(%1)"/>
      <w:numFmt w:val="decimal"/>
      <w:start w:val="1"/>
    </w:lvl>
  </w:abstractNum>
  <w:abstractNum w:abstractNumId="9">
    <w:nsid w:val="28677B7C"/>
    <w:multiLevelType w:val="hybridMultilevel"/>
    <w:lvl w:ilvl="0">
      <w:lvlJc w:val="left"/>
      <w:lvlText w:val="(%1)"/>
      <w:numFmt w:val="decimal"/>
      <w:start w:val="1"/>
    </w:lvl>
  </w:abstractNum>
  <w:abstractNum w:abstractNumId="10">
    <w:nsid w:val="378D97C0"/>
    <w:multiLevelType w:val="hybridMultilevel"/>
    <w:lvl w:ilvl="0">
      <w:lvlJc w:val="left"/>
      <w:lvlText w:val="(%1)"/>
      <w:numFmt w:val="decimal"/>
      <w:start w:val="1"/>
    </w:lvl>
  </w:abstractNum>
  <w:abstractNum w:abstractNumId="11">
    <w:nsid w:val="1D91467C"/>
    <w:multiLevelType w:val="hybridMultilevel"/>
    <w:lvl w:ilvl="0">
      <w:lvlJc w:val="left"/>
      <w:lvlText w:val="•"/>
      <w:numFmt w:val="bullet"/>
      <w:start w:val="1"/>
    </w:lvl>
  </w:abstractNum>
  <w:abstractNum w:abstractNumId="12">
    <w:nsid w:val="316032BB"/>
    <w:multiLevelType w:val="hybridMultilevel"/>
    <w:lvl w:ilvl="0">
      <w:lvlJc w:val="left"/>
      <w:lvlText w:val="•"/>
      <w:numFmt w:val="bullet"/>
      <w:start w:val="1"/>
    </w:lvl>
  </w:abstractNum>
  <w:abstractNum w:abstractNumId="13">
    <w:nsid w:val="44344C22"/>
    <w:multiLevelType w:val="hybridMultilevel"/>
    <w:lvl w:ilvl="0">
      <w:lvlJc w:val="left"/>
      <w:lvlText w:val="(%1)"/>
      <w:numFmt w:val="decimal"/>
      <w:start w:val="1"/>
    </w:lvl>
  </w:abstractNum>
  <w:abstractNum w:abstractNumId="14">
    <w:nsid w:val="13CDFCFC"/>
    <w:multiLevelType w:val="hybridMultilevel"/>
    <w:lvl w:ilvl="0">
      <w:lvlJc w:val="left"/>
      <w:lvlText w:val="(%1)"/>
      <w:numFmt w:val="decimal"/>
      <w:start w:val="2"/>
    </w:lvl>
  </w:abstractNum>
  <w:abstractNum w:abstractNumId="15">
    <w:nsid w:val="471745E4"/>
    <w:multiLevelType w:val="hybridMultilevel"/>
    <w:lvl w:ilvl="0">
      <w:lvlJc w:val="left"/>
      <w:lvlText w:val="•"/>
      <w:numFmt w:val="bullet"/>
      <w:start w:val="1"/>
    </w:lvl>
  </w:abstractNum>
  <w:abstractNum w:abstractNumId="16">
    <w:nsid w:val="1DDBC66"/>
    <w:multiLevelType w:val="hybridMultilevel"/>
    <w:lvl w:ilvl="0">
      <w:lvlJc w:val="left"/>
      <w:lvlText w:val="•"/>
      <w:numFmt w:val="bullet"/>
      <w:start w:val="1"/>
    </w:lvl>
  </w:abstractNum>
  <w:abstractNum w:abstractNumId="17">
    <w:nsid w:val="30AADFDA"/>
    <w:multiLevelType w:val="hybridMultilevel"/>
    <w:lvl w:ilvl="0">
      <w:lvlJc w:val="left"/>
      <w:lvlText w:val="2"/>
      <w:numFmt w:val="bullet"/>
      <w:start w:val="1"/>
    </w:lvl>
  </w:abstractNum>
  <w:abstractNum w:abstractNumId="18">
    <w:nsid w:val="30EADA61"/>
    <w:multiLevelType w:val="hybridMultilevel"/>
    <w:lvl w:ilvl="0">
      <w:lvlJc w:val="left"/>
      <w:lvlText w:val="4"/>
      <w:numFmt w:val="bullet"/>
      <w:start w:val="1"/>
    </w:lvl>
  </w:abstractNum>
  <w:abstractNum w:abstractNumId="19">
    <w:nsid w:val="27179C0B"/>
    <w:multiLevelType w:val="hybridMultilevel"/>
    <w:lvl w:ilvl="0">
      <w:lvlJc w:val="left"/>
      <w:lvlText w:val="(%1)"/>
      <w:numFmt w:val="lowerLetter"/>
      <w:start w:val="1"/>
    </w:lvl>
  </w:abstractNum>
  <w:abstractNum w:abstractNumId="20">
    <w:nsid w:val="5E636063"/>
    <w:multiLevelType w:val="hybridMultilevel"/>
    <w:lvl w:ilvl="0">
      <w:lvlJc w:val="left"/>
      <w:lvlText w:val="%1"/>
      <w:numFmt w:val="decimal"/>
      <w:start w:val="10"/>
    </w:lvl>
  </w:abstractNum>
  <w:abstractNum w:abstractNumId="21">
    <w:nsid w:val="215641AF"/>
    <w:multiLevelType w:val="hybridMultilevel"/>
    <w:lvl w:ilvl="0">
      <w:lvlJc w:val="left"/>
      <w:lvlText w:val="(%1)"/>
      <w:numFmt w:val="lowerLetter"/>
      <w:start w:val="3"/>
    </w:lvl>
  </w:abstractNum>
  <w:abstractNum w:abstractNumId="22">
    <w:nsid w:val="53280662"/>
    <w:multiLevelType w:val="hybridMultilevel"/>
    <w:lvl w:ilvl="0">
      <w:lvlJc w:val="left"/>
      <w:lvlText w:val="%1"/>
      <w:numFmt w:val="decimal"/>
      <w:start w:val="22"/>
    </w:lvl>
  </w:abstractNum>
  <w:abstractNum w:abstractNumId="23">
    <w:nsid w:val="46B24DBC"/>
    <w:multiLevelType w:val="hybridMultilevel"/>
    <w:lvl w:ilvl="0">
      <w:lvlJc w:val="left"/>
      <w:lvlText w:val="%1"/>
      <w:numFmt w:val="decimal"/>
      <w:start w:val="31"/>
    </w:lvl>
  </w:abstractNum>
  <w:abstractNum w:abstractNumId="24">
    <w:nsid w:val="75B52783"/>
    <w:multiLevelType w:val="hybridMultilevel"/>
    <w:lvl w:ilvl="0">
      <w:lvlJc w:val="left"/>
      <w:lvlText w:val="%1"/>
      <w:numFmt w:val="decimal"/>
      <w:start w:val="32"/>
    </w:lvl>
  </w:abstractNum>
  <w:abstractNum w:abstractNumId="25">
    <w:nsid w:val="57CE66B4"/>
    <w:multiLevelType w:val="hybridMultilevel"/>
    <w:lvl w:ilvl="0">
      <w:lvlJc w:val="left"/>
      <w:lvlText w:val="*"/>
      <w:numFmt w:val="bullet"/>
      <w:start w:val="1"/>
    </w:lvl>
    <w:lvl w:ilvl="1">
      <w:lvlJc w:val="left"/>
      <w:lvlText w:val="%2"/>
      <w:numFmt w:val="decimal"/>
      <w:start w:val="104"/>
    </w:lvl>
  </w:abstractNum>
  <w:abstractNum w:abstractNumId="26">
    <w:nsid w:val="67A70B69"/>
    <w:multiLevelType w:val="hybridMultilevel"/>
    <w:lvl w:ilvl="0">
      <w:lvlJc w:val="left"/>
      <w:lvlText w:val="%1."/>
      <w:numFmt w:val="upperLetter"/>
      <w:start w:val="1"/>
    </w:lvl>
  </w:abstractNum>
  <w:abstractNum w:abstractNumId="27">
    <w:nsid w:val="5953172F"/>
    <w:multiLevelType w:val="hybridMultilevel"/>
    <w:lvl w:ilvl="0">
      <w:lvlJc w:val="left"/>
      <w:lvlText w:val="(%1)"/>
      <w:numFmt w:val="lowerLetter"/>
      <w:start w:val="5"/>
    </w:lvl>
    <w:lvl w:ilvl="1">
      <w:lvlJc w:val="left"/>
      <w:lvlText w:val="-"/>
      <w:numFmt w:val="bullet"/>
      <w:start w:val="1"/>
    </w:lvl>
  </w:abstractNum>
  <w:abstractNum w:abstractNumId="28">
    <w:nsid w:val="27EDFE3A"/>
    <w:multiLevelType w:val="hybridMultilevel"/>
    <w:lvl w:ilvl="0">
      <w:lvlJc w:val="left"/>
      <w:lvlText w:val="(%1)"/>
      <w:numFmt w:val="lowerLetter"/>
      <w:start w:val="1"/>
    </w:lvl>
  </w:abstractNum>
  <w:abstractNum w:abstractNumId="29">
    <w:nsid w:val="52AC7DFF"/>
    <w:multiLevelType w:val="hybridMultilevel"/>
    <w:lvl w:ilvl="0">
      <w:lvlJc w:val="left"/>
      <w:lvlText w:val="(%1)"/>
      <w:numFmt w:val="lowerLetter"/>
      <w:start w:val="1"/>
    </w:lvl>
  </w:abstractNum>
  <w:abstractNum w:abstractNumId="30">
    <w:nsid w:val="C4C3AF"/>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9"/>
    </w:lvl>
  </w:abstractNum>
  <w:abstractNum w:abstractNumId="31">
    <w:nsid w:val="44380727"/>
    <w:multiLevelType w:val="hybridMultilevel"/>
    <w:lvl w:ilvl="0">
      <w:lvlJc w:val="left"/>
      <w:lvlText w:val="(%1)"/>
      <w:numFmt w:val="lowerRoman"/>
      <w:start w:val="2"/>
    </w:lvl>
  </w:abstractNum>
  <w:abstractNum w:abstractNumId="32">
    <w:nsid w:val="6C053B16"/>
    <w:multiLevelType w:val="hybridMultilevel"/>
    <w:lvl w:ilvl="0">
      <w:lvlJc w:val="left"/>
      <w:lvlText w:val="(%1)"/>
      <w:numFmt w:val="lowerRoman"/>
      <w:start w:val="7"/>
    </w:lvl>
  </w:abstractNum>
  <w:abstractNum w:abstractNumId="33">
    <w:nsid w:val="4F294393"/>
    <w:multiLevelType w:val="hybridMultilevel"/>
    <w:lvl w:ilvl="0">
      <w:lvlJc w:val="left"/>
      <w:lvlText w:val="(%1)"/>
      <w:numFmt w:val="lowerRoman"/>
      <w:start w:val="12"/>
    </w:lvl>
  </w:abstractNum>
  <w:abstractNum w:abstractNumId="34">
    <w:nsid w:val="5243BFAC"/>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9"/>
    </w:lvl>
  </w:abstractNum>
  <w:abstractNum w:abstractNumId="35">
    <w:nsid w:val="425EB207"/>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abstractNum>
  <w:abstractNum w:abstractNumId="36">
    <w:nsid w:val="334A6F1F"/>
    <w:multiLevelType w:val="hybridMultilevel"/>
    <w:lvl w:ilvl="0">
      <w:lvlJc w:val="left"/>
      <w:lvlText w:val="(%1)"/>
      <w:numFmt w:val="lowerRoman"/>
      <w:start w:val="7"/>
    </w:lvl>
  </w:abstractNum>
  <w:abstractNum w:abstractNumId="37">
    <w:nsid w:val="2E5B12B8"/>
    <w:multiLevelType w:val="hybridMultilevel"/>
    <w:lvl w:ilvl="0">
      <w:lvlJc w:val="left"/>
      <w:lvlText w:val="%1"/>
      <w:numFmt w:val="lowerLetter"/>
      <w:start w:val="1"/>
    </w:lvl>
    <w:lvl w:ilvl="1">
      <w:lvlJc w:val="left"/>
      <w:lvlText w:val="(%2)"/>
      <w:numFmt w:val="lowerRoman"/>
      <w:start w:val="17"/>
    </w:lvl>
  </w:abstractNum>
  <w:abstractNum w:abstractNumId="38">
    <w:nsid w:val="5C03D76D"/>
    <w:multiLevelType w:val="hybridMultilevel"/>
    <w:lvl w:ilvl="0">
      <w:lvlJc w:val="left"/>
      <w:lvlText w:val="(%1)"/>
      <w:numFmt w:val="lowerLetter"/>
      <w:start w:val="3"/>
    </w:lvl>
    <w:lvl w:ilvl="1">
      <w:lvlJc w:val="left"/>
      <w:lvlText w:val="%2"/>
      <w:numFmt w:val="lowerRoman"/>
      <w:start w:val="1"/>
    </w:lvl>
  </w:abstractNum>
  <w:abstractNum w:abstractNumId="39">
    <w:nsid w:val="66A48D11"/>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40">
    <w:nsid w:val="56C28E34"/>
    <w:multiLevelType w:val="hybridMultilevel"/>
    <w:lvl w:ilvl="0">
      <w:lvlJc w:val="left"/>
      <w:lvlText w:val="-"/>
      <w:numFmt w:val="bullet"/>
      <w:start w:val="1"/>
    </w:lvl>
    <w:lvl w:ilvl="1">
      <w:lvlJc w:val="left"/>
      <w:lvlText w:val="%2"/>
      <w:numFmt w:val="lowerLetter"/>
      <w:start w:val="1"/>
    </w:lvl>
    <w:lvl w:ilvl="2">
      <w:lvlJc w:val="left"/>
      <w:lvlText w:val="(%3)"/>
      <w:numFmt w:val="lowerRoman"/>
      <w:start w:val="6"/>
    </w:lvl>
  </w:abstractNum>
  <w:abstractNum w:abstractNumId="41">
    <w:nsid w:val="13916F2D"/>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abstractNum>
  <w:abstractNum w:abstractNumId="42">
    <w:nsid w:val="435D38D"/>
    <w:multiLevelType w:val="hybridMultilevel"/>
    <w:lvl w:ilvl="0">
      <w:lvlJc w:val="left"/>
      <w:lvlText w:val="-"/>
      <w:numFmt w:val="bullet"/>
      <w:start w:val="1"/>
    </w:lvl>
    <w:lvl w:ilvl="1">
      <w:lvlJc w:val="left"/>
      <w:lvlText w:val="%2"/>
      <w:numFmt w:val="lowerLetter"/>
      <w:start w:val="1"/>
    </w:lvl>
    <w:lvl w:ilvl="2">
      <w:lvlJc w:val="left"/>
      <w:lvlText w:val="(%3)"/>
      <w:numFmt w:val="lowerRoman"/>
      <w:start w:val="3"/>
    </w:lvl>
  </w:abstractNum>
  <w:abstractNum w:abstractNumId="43">
    <w:nsid w:val="822C0EF"/>
    <w:multiLevelType w:val="hybridMultilevel"/>
    <w:lvl w:ilvl="0">
      <w:lvlJc w:val="left"/>
      <w:lvlText w:val="-"/>
      <w:numFmt w:val="bullet"/>
      <w:start w:val="1"/>
    </w:lvl>
    <w:lvl w:ilvl="1">
      <w:lvlJc w:val="left"/>
      <w:lvlText w:val="(%2)"/>
      <w:numFmt w:val="lowerLetter"/>
      <w:start w:val="3"/>
    </w:lvl>
    <w:lvl w:ilvl="2">
      <w:lvlJc w:val="left"/>
      <w:lvlText w:val="%3"/>
      <w:numFmt w:val="lowerRoman"/>
      <w:start w:val="1"/>
    </w:lvl>
  </w:abstractNum>
  <w:abstractNum w:abstractNumId="44">
    <w:nsid w:val="57C5BB4F"/>
    <w:multiLevelType w:val="hybridMultilevel"/>
    <w:lvl w:ilvl="0">
      <w:lvlJc w:val="left"/>
      <w:lvlText w:val="-"/>
      <w:numFmt w:val="bullet"/>
      <w:start w:val="1"/>
    </w:lvl>
    <w:lvl w:ilvl="1">
      <w:lvlJc w:val="left"/>
      <w:lvlText w:val="(%2)"/>
      <w:numFmt w:val="lowerLetter"/>
      <w:start w:val="1"/>
    </w:lvl>
  </w:abstractNum>
  <w:abstractNum w:abstractNumId="45">
    <w:nsid w:val="1803D089"/>
    <w:multiLevelType w:val="hybridMultilevel"/>
    <w:lvl w:ilvl="0">
      <w:lvlJc w:val="left"/>
      <w:lvlText w:val="(%1)"/>
      <w:numFmt w:val="lowerLetter"/>
      <w:start w:val="1"/>
    </w:lvl>
    <w:lvl w:ilvl="1">
      <w:lvlJc w:val="left"/>
      <w:lvlText w:val="-"/>
      <w:numFmt w:val="bullet"/>
      <w:start w:val="1"/>
    </w:lvl>
    <w:lvl w:ilvl="2">
      <w:lvlJc w:val="left"/>
      <w:lvlText w:val="(%3)"/>
      <w:numFmt w:val="lowerLetter"/>
      <w:start w:val="2"/>
    </w:lvl>
  </w:abstractNum>
  <w:abstractNum w:abstractNumId="46">
    <w:nsid w:val="4F3A06D4"/>
    <w:multiLevelType w:val="hybridMultilevel"/>
    <w:lvl w:ilvl="0">
      <w:lvlJc w:val="left"/>
      <w:lvlText w:val="(%1)"/>
      <w:numFmt w:val="lowerLetter"/>
      <w:start w:val="1"/>
    </w:lvl>
  </w:abstractNum>
  <w:abstractNum w:abstractNumId="47">
    <w:nsid w:val="59A377B6"/>
    <w:multiLevelType w:val="hybridMultilevel"/>
    <w:lvl w:ilvl="0">
      <w:lvlJc w:val="left"/>
      <w:lvlText w:val="-"/>
      <w:numFmt w:val="bullet"/>
      <w:start w:val="1"/>
    </w:lvl>
    <w:lvl w:ilvl="1">
      <w:lvlJc w:val="left"/>
      <w:lvlText w:val="(%2)"/>
      <w:numFmt w:val="lowerLetter"/>
      <w:start w:val="1"/>
    </w:lvl>
  </w:abstractNum>
  <w:abstractNum w:abstractNumId="48">
    <w:nsid w:val="48AEB063"/>
    <w:multiLevelType w:val="hybridMultilevel"/>
    <w:lvl w:ilvl="0">
      <w:lvlJc w:val="left"/>
      <w:lvlText w:val="-"/>
      <w:numFmt w:val="bullet"/>
      <w:start w:val="1"/>
    </w:lvl>
    <w:lvl w:ilvl="1">
      <w:lvlJc w:val="left"/>
      <w:lvlText w:val="(%2)"/>
      <w:numFmt w:val="lowerLetter"/>
      <w:start w:val="3"/>
    </w:lvl>
  </w:abstractNum>
  <w:abstractNum w:abstractNumId="49">
    <w:nsid w:val="24E135"/>
    <w:multiLevelType w:val="hybridMultilevel"/>
    <w:lvl w:ilvl="0">
      <w:lvlJc w:val="left"/>
      <w:lvlText w:val="-"/>
      <w:numFmt w:val="bullet"/>
      <w:start w:val="1"/>
    </w:lvl>
    <w:lvl w:ilvl="1">
      <w:lvlJc w:val="left"/>
      <w:lvlText w:val="(%2)"/>
      <w:numFmt w:val="lowerLetter"/>
      <w:start w:val="5"/>
    </w:lvl>
  </w:abstractNum>
  <w:abstractNum w:abstractNumId="50">
    <w:nsid w:val="BB13C1"/>
    <w:multiLevelType w:val="hybridMultilevel"/>
    <w:lvl w:ilvl="0">
      <w:lvlJc w:val="left"/>
      <w:lvlText w:val="(%1)"/>
      <w:numFmt w:val="lowerLetter"/>
      <w:start w:val="1"/>
    </w:lvl>
    <w:lvl w:ilvl="1">
      <w:lvlJc w:val="left"/>
      <w:lvlText w:val="(%2)"/>
      <w:numFmt w:val="lowerRoman"/>
      <w:start w:val="1"/>
    </w:lvl>
  </w:abstractNum>
  <w:abstractNum w:abstractNumId="51">
    <w:nsid w:val="271210C7"/>
    <w:multiLevelType w:val="hybridMultilevel"/>
    <w:lvl w:ilvl="0">
      <w:lvlJc w:val="left"/>
      <w:lvlText w:val="-"/>
      <w:numFmt w:val="bullet"/>
      <w:start w:val="1"/>
    </w:lvl>
    <w:lvl w:ilvl="1">
      <w:lvlJc w:val="left"/>
      <w:lvlText w:val="(%2)"/>
      <w:numFmt w:val="lowerRoman"/>
      <w:start w:val="12"/>
    </w:lvl>
  </w:abstractNum>
  <w:abstractNum w:abstractNumId="52">
    <w:nsid w:val="217B22E4"/>
    <w:multiLevelType w:val="hybridMultilevel"/>
    <w:lvl w:ilvl="0">
      <w:lvlJc w:val="left"/>
      <w:lvlText w:val="(%1)"/>
      <w:numFmt w:val="lowerLetter"/>
      <w:start w:val="2"/>
    </w:lvl>
  </w:abstractNum>
  <w:abstractNum w:abstractNumId="53">
    <w:nsid w:val="53E31A24"/>
    <w:multiLevelType w:val="hybridMultilevel"/>
    <w:lvl w:ilvl="0">
      <w:lvlJc w:val="left"/>
      <w:lvlText w:val="(%1)"/>
      <w:numFmt w:val="lowerRoman"/>
      <w:start w:val="1"/>
    </w:lvl>
  </w:abstractNum>
  <w:abstractNum w:abstractNumId="54">
    <w:nsid w:val="6DC45E83"/>
    <w:multiLevelType w:val="hybridMultilevel"/>
    <w:lvl w:ilvl="0">
      <w:lvlJc w:val="left"/>
      <w:lvlText w:val="(%1)"/>
      <w:numFmt w:val="lowerLetter"/>
      <w:start w:val="1"/>
    </w:lvl>
  </w:abstractNum>
  <w:abstractNum w:abstractNumId="55">
    <w:nsid w:val="17304A67"/>
    <w:multiLevelType w:val="hybridMultilevel"/>
    <w:lvl w:ilvl="0">
      <w:lvlJc w:val="left"/>
      <w:lvlText w:val="-"/>
      <w:numFmt w:val="bullet"/>
      <w:start w:val="1"/>
    </w:lvl>
    <w:lvl w:ilvl="1">
      <w:lvlJc w:val="left"/>
      <w:lvlText w:val="(%2)"/>
      <w:numFmt w:val="lowerLetter"/>
      <w:start w:val="1"/>
    </w:lvl>
  </w:abstractNum>
  <w:abstractNum w:abstractNumId="56">
    <w:nsid w:val="2BB180D8"/>
    <w:multiLevelType w:val="hybridMultilevel"/>
    <w:lvl w:ilvl="0">
      <w:lvlJc w:val="left"/>
      <w:lvlText w:val="(%1)"/>
      <w:numFmt w:val="lowerLetter"/>
      <w:start w:val="1"/>
    </w:lvl>
  </w:abstractNum>
  <w:abstractNum w:abstractNumId="57">
    <w:nsid w:val="556B69ED"/>
    <w:multiLevelType w:val="hybridMultilevel"/>
    <w:lvl w:ilvl="0">
      <w:lvlJc w:val="left"/>
      <w:lvlText w:val="-"/>
      <w:numFmt w:val="bullet"/>
      <w:start w:val="1"/>
    </w:lvl>
    <w:lvl w:ilvl="1">
      <w:lvlJc w:val="left"/>
      <w:lvlText w:val="(%2)"/>
      <w:numFmt w:val="lowerLetter"/>
      <w:start w:val="1"/>
    </w:lvl>
  </w:abstractNum>
  <w:abstractNum w:abstractNumId="58">
    <w:nsid w:val="70836196"/>
    <w:multiLevelType w:val="hybridMultilevel"/>
    <w:lvl w:ilvl="0">
      <w:lvlJc w:val="left"/>
      <w:lvlText w:val="-"/>
      <w:numFmt w:val="bullet"/>
      <w:start w:val="1"/>
    </w:lvl>
    <w:lvl w:ilvl="1">
      <w:lvlJc w:val="left"/>
      <w:lvlText w:val="(%2)"/>
      <w:numFmt w:val="lowerLetter"/>
      <w:start w:val="1"/>
    </w:lvl>
  </w:abstractNum>
  <w:abstractNum w:abstractNumId="59">
    <w:nsid w:val="539F7F12"/>
    <w:multiLevelType w:val="hybridMultilevel"/>
    <w:lvl w:ilvl="0">
      <w:lvlJc w:val="left"/>
      <w:lvlText w:val="(%1)"/>
      <w:numFmt w:val="lowerLetter"/>
      <w:start w:val="3"/>
    </w:lvl>
  </w:abstractNum>
  <w:abstractNum w:abstractNumId="60">
    <w:nsid w:val="2817E7EC"/>
    <w:multiLevelType w:val="hybridMultilevel"/>
    <w:lvl w:ilvl="0">
      <w:lvlJc w:val="left"/>
      <w:lvlText w:val="-"/>
      <w:numFmt w:val="bullet"/>
      <w:start w:val="1"/>
    </w:lvl>
    <w:lvl w:ilvl="1">
      <w:lvlJc w:val="left"/>
      <w:lvlText w:val="(%2)"/>
      <w:numFmt w:val="lowerLetter"/>
      <w:start w:val="1"/>
    </w:lvl>
  </w:abstractNum>
  <w:abstractNum w:abstractNumId="61">
    <w:nsid w:val="71482545"/>
    <w:multiLevelType w:val="hybridMultilevel"/>
    <w:lvl w:ilvl="0">
      <w:lvlJc w:val="left"/>
      <w:lvlText w:val="(%1)"/>
      <w:numFmt w:val="lowerLetter"/>
      <w:start w:val="4"/>
    </w:lvl>
  </w:abstractNum>
  <w:abstractNum w:abstractNumId="62">
    <w:nsid w:val="17D78639"/>
    <w:multiLevelType w:val="hybridMultilevel"/>
    <w:lvl w:ilvl="0">
      <w:lvlJc w:val="left"/>
      <w:lvlText w:val="-"/>
      <w:numFmt w:val="bullet"/>
      <w:start w:val="1"/>
    </w:lvl>
    <w:lvl w:ilvl="1">
      <w:lvlJc w:val="left"/>
      <w:lvlText w:val="(%2)"/>
      <w:numFmt w:val="lowerLetter"/>
      <w:start w:val="1"/>
    </w:lvl>
  </w:abstractNum>
  <w:abstractNum w:abstractNumId="63">
    <w:nsid w:val="141D2302"/>
    <w:multiLevelType w:val="hybridMultilevel"/>
    <w:lvl w:ilvl="0">
      <w:lvlJc w:val="left"/>
      <w:lvlText w:val="(%1)"/>
      <w:numFmt w:val="lowerLetter"/>
      <w:start w:val="6"/>
    </w:lvl>
  </w:abstractNum>
  <w:abstractNum w:abstractNumId="64">
    <w:nsid w:val="407168D8"/>
    <w:multiLevelType w:val="hybridMultilevel"/>
    <w:lvl w:ilvl="0">
      <w:lvlJc w:val="left"/>
      <w:lvlText w:val="-"/>
      <w:numFmt w:val="bullet"/>
      <w:start w:val="1"/>
    </w:lvl>
    <w:lvl w:ilvl="1">
      <w:lvlJc w:val="left"/>
      <w:lvlText w:val="(%2)"/>
      <w:numFmt w:val="lowerLetter"/>
      <w:start w:val="1"/>
    </w:lvl>
  </w:abstractNum>
  <w:abstractNum w:abstractNumId="65">
    <w:nsid w:val="6A1B45E5"/>
    <w:multiLevelType w:val="hybridMultilevel"/>
    <w:lvl w:ilvl="0">
      <w:lvlJc w:val="left"/>
      <w:lvlText w:val="(%1)"/>
      <w:numFmt w:val="lowerLetter"/>
      <w:start w:val="5"/>
    </w:lvl>
  </w:abstractNum>
  <w:abstractNum w:abstractNumId="66">
    <w:nsid w:val="567BD50A"/>
    <w:multiLevelType w:val="hybridMultilevel"/>
    <w:lvl w:ilvl="0">
      <w:lvlJc w:val="left"/>
      <w:lvlText w:val="-"/>
      <w:numFmt w:val="bullet"/>
      <w:start w:val="1"/>
    </w:lvl>
    <w:lvl w:ilvl="1">
      <w:lvlJc w:val="left"/>
      <w:lvlText w:val="(%2)"/>
      <w:numFmt w:val="lowerLetter"/>
      <w:start w:val="1"/>
    </w:lvl>
  </w:abstractNum>
  <w:abstractNum w:abstractNumId="67">
    <w:nsid w:val="73BBD7F8"/>
    <w:multiLevelType w:val="hybridMultilevel"/>
    <w:lvl w:ilvl="0">
      <w:lvlJc w:val="left"/>
      <w:lvlText w:val="%1"/>
      <w:numFmt w:val="decimal"/>
      <w:start w:val="1"/>
    </w:lvl>
    <w:lvl w:ilvl="1">
      <w:lvlJc w:val="left"/>
      <w:lvlText w:val="-"/>
      <w:numFmt w:val="bullet"/>
      <w:start w:val="1"/>
    </w:lvl>
    <w:lvl w:ilvl="2">
      <w:lvlJc w:val="left"/>
      <w:lvlText w:val="(%3)"/>
      <w:numFmt w:val="lowerLetter"/>
      <w:start w:val="3"/>
    </w:lvl>
  </w:abstractNum>
  <w:abstractNum w:abstractNumId="68">
    <w:nsid w:val="1876589D"/>
    <w:multiLevelType w:val="hybridMultilevel"/>
    <w:lvl w:ilvl="0">
      <w:lvlJc w:val="left"/>
      <w:lvlText w:val="(%1)"/>
      <w:numFmt w:val="decimal"/>
      <w:start w:val="3"/>
    </w:lvl>
    <w:lvl w:ilvl="1">
      <w:lvlJc w:val="left"/>
      <w:lvlText w:val="-"/>
      <w:numFmt w:val="bullet"/>
      <w:start w:val="1"/>
    </w:lvl>
    <w:lvl w:ilvl="2">
      <w:lvlJc w:val="left"/>
      <w:lvlText w:val="(%3)"/>
      <w:numFmt w:val="lowerLetter"/>
      <w:start w:val="4"/>
    </w:lvl>
  </w:abstractNum>
  <w:abstractNum w:abstractNumId="69">
    <w:nsid w:val="327FAC77"/>
    <w:multiLevelType w:val="hybridMultilevel"/>
    <w:lvl w:ilvl="0">
      <w:lvlJc w:val="left"/>
      <w:lvlText w:val="%1"/>
      <w:numFmt w:val="upperLetter"/>
      <w:start w:val="1"/>
    </w:lvl>
    <w:lvl w:ilvl="1">
      <w:lvlJc w:val="left"/>
      <w:lvlText w:val="(%2)"/>
      <w:numFmt w:val="lowerLetter"/>
      <w:start w:val="6"/>
    </w:lvl>
  </w:abstractNum>
  <w:abstractNum w:abstractNumId="70">
    <w:nsid w:val="5A606509"/>
    <w:multiLevelType w:val="hybridMultilevel"/>
    <w:lvl w:ilvl="0">
      <w:lvlJc w:val="left"/>
      <w:lvlText w:val="(%1)"/>
      <w:numFmt w:val="upperLetter"/>
      <w:start w:val="1"/>
    </w:lvl>
    <w:lvl w:ilvl="1">
      <w:lvlJc w:val="left"/>
      <w:lvlText w:val="%2"/>
      <w:numFmt w:val="lowerLetter"/>
      <w:start w:val="1"/>
    </w:lvl>
  </w:abstractNum>
  <w:abstractNum w:abstractNumId="71">
    <w:nsid w:val="6F38E6D1"/>
    <w:multiLevelType w:val="hybridMultilevel"/>
    <w:lvl w:ilvl="0">
      <w:lvlJc w:val="left"/>
      <w:lvlText w:val="-"/>
      <w:numFmt w:val="bullet"/>
      <w:start w:val="1"/>
    </w:lvl>
    <w:lvl w:ilvl="1">
      <w:lvlJc w:val="left"/>
      <w:lvlText w:val="(%2)"/>
      <w:numFmt w:val="lowerLetter"/>
      <w:start w:val="1"/>
    </w:lvl>
  </w:abstractNum>
  <w:abstractNum w:abstractNumId="72">
    <w:nsid w:val="46111BA5"/>
    <w:multiLevelType w:val="hybridMultilevel"/>
    <w:lvl w:ilvl="0">
      <w:lvlJc w:val="left"/>
      <w:lvlText w:val="(%1)"/>
      <w:numFmt w:val="lowerLetter"/>
      <w:start w:val="7"/>
    </w:lvl>
  </w:abstractNum>
  <w:abstractNum w:abstractNumId="73">
    <w:nsid w:val="5E963896"/>
    <w:multiLevelType w:val="hybridMultilevel"/>
    <w:lvl w:ilvl="0">
      <w:lvlJc w:val="left"/>
      <w:lvlText w:val="%1"/>
      <w:numFmt w:val="lowerLetter"/>
      <w:start w:val="1"/>
    </w:lvl>
    <w:lvl w:ilvl="1">
      <w:lvlJc w:val="left"/>
      <w:lvlText w:val="-"/>
      <w:numFmt w:val="bullet"/>
      <w:start w:val="1"/>
    </w:lvl>
    <w:lvl w:ilvl="2">
      <w:lvlJc w:val="left"/>
      <w:lvlText w:val="(%3)"/>
      <w:numFmt w:val="lowerLetter"/>
      <w:start w:val="1"/>
    </w:lvl>
  </w:abstractNum>
  <w:abstractNum w:abstractNumId="74">
    <w:nsid w:val="775BA7C1"/>
    <w:multiLevelType w:val="hybridMultilevel"/>
    <w:lvl w:ilvl="0">
      <w:lvlJc w:val="left"/>
      <w:lvlText w:val="(%1)"/>
      <w:numFmt w:val="lowerLetter"/>
      <w:start w:val="35"/>
    </w:lvl>
    <w:lvl w:ilvl="1">
      <w:lvlJc w:val="left"/>
      <w:lvlText w:val="-"/>
      <w:numFmt w:val="bullet"/>
      <w:start w:val="1"/>
    </w:lvl>
    <w:lvl w:ilvl="2">
      <w:lvlJc w:val="left"/>
      <w:lvlText w:val="(%3)"/>
      <w:numFmt w:val="lowerLetter"/>
      <w:start w:val="2"/>
    </w:lvl>
  </w:abstractNum>
  <w:abstractNum w:abstractNumId="75">
    <w:nsid w:val="1DD6D6F4"/>
    <w:multiLevelType w:val="hybridMultilevel"/>
    <w:lvl w:ilvl="0">
      <w:lvlJc w:val="left"/>
      <w:lvlText w:val="(%1)"/>
      <w:numFmt w:val="lowerLetter"/>
      <w:start w:val="9"/>
    </w:lvl>
    <w:lvl w:ilvl="1">
      <w:lvlJc w:val="left"/>
      <w:lvlText w:val="-"/>
      <w:numFmt w:val="bullet"/>
      <w:start w:val="1"/>
    </w:lvl>
    <w:lvl w:ilvl="2">
      <w:lvlJc w:val="left"/>
      <w:lvlText w:val="%3"/>
      <w:numFmt w:val="lowerLetter"/>
      <w:start w:val="1"/>
    </w:lvl>
  </w:abstractNum>
  <w:abstractNum w:abstractNumId="76">
    <w:nsid w:val="769A091F"/>
    <w:multiLevelType w:val="hybridMultilevel"/>
    <w:lvl w:ilvl="0">
      <w:lvlJc w:val="left"/>
      <w:lvlText w:val="%1"/>
      <w:numFmt w:val="lowerLetter"/>
      <w:start w:val="1"/>
    </w:lvl>
    <w:lvl w:ilvl="1">
      <w:lvlJc w:val="left"/>
      <w:lvlText w:val="-"/>
      <w:numFmt w:val="bullet"/>
      <w:start w:val="1"/>
    </w:lvl>
    <w:lvl w:ilvl="2">
      <w:lvlJc w:val="left"/>
      <w:lvlText w:val="(%3)"/>
      <w:numFmt w:val="lowerLetter"/>
      <w:start w:val="4"/>
    </w:lvl>
  </w:abstractNum>
  <w:abstractNum w:abstractNumId="77">
    <w:nsid w:val="4695AE95"/>
    <w:multiLevelType w:val="hybridMultilevel"/>
    <w:lvl w:ilvl="0">
      <w:lvlJc w:val="left"/>
      <w:lvlText w:val="(%1)"/>
      <w:numFmt w:val="lowerLetter"/>
      <w:start w:val="9"/>
    </w:lvl>
    <w:lvl w:ilvl="1">
      <w:lvlJc w:val="left"/>
      <w:lvlText w:val="-"/>
      <w:numFmt w:val="bullet"/>
      <w:start w:val="1"/>
    </w:lvl>
    <w:lvl w:ilvl="2">
      <w:lvlJc w:val="left"/>
      <w:lvlText w:val="(%3)"/>
      <w:numFmt w:val="lowerLetter"/>
      <w:start w:val="7"/>
    </w:lvl>
  </w:abstractNum>
  <w:abstractNum w:abstractNumId="78">
    <w:nsid w:val="777A4EAA"/>
    <w:multiLevelType w:val="hybridMultilevel"/>
    <w:lvl w:ilvl="0">
      <w:lvlJc w:val="left"/>
      <w:lvlText w:val="(%1)"/>
      <w:numFmt w:val="lowerLetter"/>
      <w:start w:val="8"/>
    </w:lvl>
  </w:abstractNum>
  <w:abstractNum w:abstractNumId="79">
    <w:nsid w:val="3F48B982"/>
    <w:multiLevelType w:val="hybridMultilevel"/>
    <w:lvl w:ilvl="0">
      <w:lvlJc w:val="left"/>
      <w:lvlText w:val="-"/>
      <w:numFmt w:val="bullet"/>
      <w:start w:val="1"/>
    </w:lvl>
    <w:lvl w:ilvl="1">
      <w:lvlJc w:val="left"/>
      <w:lvlText w:val="(%2)"/>
      <w:numFmt w:val="lowerLetter"/>
      <w:start w:val="1"/>
    </w:lvl>
  </w:abstractNum>
  <w:abstractNum w:abstractNumId="80">
    <w:nsid w:val="46BA8FCA"/>
    <w:multiLevelType w:val="hybridMultilevel"/>
    <w:lvl w:ilvl="0">
      <w:lvlJc w:val="left"/>
      <w:lvlText w:val="%1"/>
      <w:numFmt w:val="lowerRoman"/>
      <w:start w:val="1"/>
    </w:lvl>
    <w:lvl w:ilvl="1">
      <w:lvlJc w:val="left"/>
      <w:lvlText w:val="-"/>
      <w:numFmt w:val="bullet"/>
      <w:start w:val="1"/>
    </w:lvl>
    <w:lvl w:ilvl="2">
      <w:lvlJc w:val="left"/>
      <w:lvlText w:val="(%3)"/>
      <w:numFmt w:val="lowerLetter"/>
      <w:start w:val="1"/>
    </w:lvl>
    <w:lvl w:ilvl="3">
      <w:lvlJc w:val="left"/>
      <w:lvlText w:val="%4"/>
      <w:numFmt w:val="lowerRoman"/>
      <w:start w:val="1"/>
    </w:lvl>
  </w:abstractNum>
  <w:abstractNum w:abstractNumId="81">
    <w:nsid w:val="7835626C"/>
    <w:multiLevelType w:val="hybridMultilevel"/>
    <w:lvl w:ilvl="0">
      <w:lvlJc w:val="left"/>
      <w:lvlText w:val="(%1)"/>
      <w:numFmt w:val="lowerRoman"/>
      <w:start w:val="10"/>
    </w:lvl>
    <w:lvl w:ilvl="1">
      <w:lvlJc w:val="left"/>
      <w:lvlText w:val="-"/>
      <w:numFmt w:val="bullet"/>
      <w:start w:val="1"/>
    </w:lvl>
    <w:lvl w:ilvl="2">
      <w:lvlJc w:val="left"/>
      <w:lvlText w:val="%3"/>
      <w:numFmt w:val="lowerLetter"/>
      <w:start w:val="1"/>
    </w:lvl>
    <w:lvl w:ilvl="3">
      <w:lvlJc w:val="left"/>
      <w:lvlText w:val="(%4)"/>
      <w:numFmt w:val="lowerRoman"/>
      <w:start w:val="1"/>
    </w:lvl>
  </w:abstractNum>
  <w:abstractNum w:abstractNumId="82">
    <w:nsid w:val="665ACA49"/>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1"/>
    </w:lvl>
  </w:abstractNum>
  <w:abstractNum w:abstractNumId="83">
    <w:nsid w:val="6835B2AE"/>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abstractNum>
  <w:abstractNum w:abstractNumId="84">
    <w:nsid w:val="4C187C90"/>
    <w:multiLevelType w:val="hybridMultilevel"/>
    <w:lvl w:ilvl="0">
      <w:lvlJc w:val="left"/>
      <w:lvlText w:val="."/>
      <w:numFmt w:val="bullet"/>
      <w:start w:val="1"/>
    </w:lvl>
  </w:abstractNum>
  <w:abstractNum w:abstractNumId="85">
    <w:nsid w:val="541F28CD"/>
    <w:multiLevelType w:val="hybridMultilevel"/>
    <w:lvl w:ilvl="0">
      <w:lvlJc w:val="left"/>
      <w:lvlText w:val="-"/>
      <w:numFmt w:val="bullet"/>
      <w:start w:val="1"/>
    </w:lvl>
    <w:lvl w:ilvl="1">
      <w:lvlJc w:val="left"/>
      <w:lvlText w:val="(%2)"/>
      <w:numFmt w:val="lowerLetter"/>
      <w:start w:val="1"/>
    </w:lvl>
  </w:abstractNum>
  <w:abstractNum w:abstractNumId="86">
    <w:nsid w:val="7F65FD16"/>
    <w:multiLevelType w:val="hybridMultilevel"/>
    <w:lvl w:ilvl="0">
      <w:lvlJc w:val="left"/>
      <w:lvlText w:val="(%1)"/>
      <w:numFmt w:val="lowerLetter"/>
      <w:start w:val="1"/>
    </w:lvl>
  </w:abstractNum>
  <w:abstractNum w:abstractNumId="87">
    <w:nsid w:val="77C9FD68"/>
    <w:multiLevelType w:val="hybridMultilevel"/>
    <w:lvl w:ilvl="0">
      <w:lvlJc w:val="left"/>
      <w:lvlText w:val="(%1)"/>
      <w:numFmt w:val="lowerLetter"/>
      <w:start w:val="1"/>
    </w:lvl>
  </w:abstractNum>
  <w:abstractNum w:abstractNumId="88">
    <w:nsid w:val="298A92BA"/>
    <w:multiLevelType w:val="hybridMultilevel"/>
    <w:lvl w:ilvl="0">
      <w:lvlJc w:val="left"/>
      <w:lvlText w:val="-"/>
      <w:numFmt w:val="bullet"/>
      <w:start w:val="1"/>
    </w:lvl>
    <w:lvl w:ilvl="1">
      <w:lvlJc w:val="left"/>
      <w:lvlText w:val="(%2)"/>
      <w:numFmt w:val="lowerLetter"/>
      <w:start w:val="1"/>
    </w:lvl>
  </w:abstractNum>
  <w:abstractNum w:abstractNumId="89">
    <w:nsid w:val="6FE95EAC"/>
    <w:multiLevelType w:val="hybridMultilevel"/>
    <w:lvl w:ilvl="0">
      <w:lvlJc w:val="left"/>
      <w:lvlText w:val="(%1)"/>
      <w:numFmt w:val="lowerLetter"/>
      <w:start w:val="2"/>
    </w:lvl>
  </w:abstractNum>
  <w:abstractNum w:abstractNumId="90">
    <w:nsid w:val="4B697C7A"/>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91">
    <w:nsid w:val="51A27AA6"/>
    <w:multiLevelType w:val="hybridMultilevel"/>
    <w:lvl w:ilvl="0">
      <w:lvlJc w:val="left"/>
      <w:lvlText w:val="(%1)"/>
      <w:numFmt w:val="lowerRoman"/>
      <w:start w:val="3"/>
    </w:lvl>
  </w:abstractNum>
  <w:abstractNum w:abstractNumId="92">
    <w:nsid w:val="613183F2"/>
    <w:multiLevelType w:val="hybridMultilevel"/>
    <w:lvl w:ilvl="0">
      <w:lvlJc w:val="left"/>
      <w:lvlText w:val="(%1)"/>
      <w:numFmt w:val="lowerRoman"/>
      <w:start w:val="7"/>
    </w:lvl>
  </w:abstractNum>
  <w:abstractNum w:abstractNumId="93">
    <w:nsid w:val="634102B4"/>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4"/>
    </w:lvl>
  </w:abstractNum>
  <w:abstractNum w:abstractNumId="94">
    <w:nsid w:val="65BF9DA8"/>
    <w:multiLevelType w:val="hybridMultilevel"/>
    <w:lvl w:ilvl="0">
      <w:lvlJc w:val="left"/>
      <w:lvlText w:val="-"/>
      <w:numFmt w:val="bullet"/>
      <w:start w:val="1"/>
    </w:lvl>
    <w:lvl w:ilvl="1">
      <w:lvlJc w:val="left"/>
      <w:lvlText w:val="(%2)"/>
      <w:numFmt w:val="lowerLetter"/>
      <w:start w:val="3"/>
    </w:lvl>
    <w:lvl w:ilvl="2">
      <w:lvlJc w:val="left"/>
      <w:lvlText w:val="%3"/>
      <w:numFmt w:val="lowerRoman"/>
      <w:start w:val="1"/>
    </w:lvl>
  </w:abstractNum>
  <w:abstractNum w:abstractNumId="95">
    <w:nsid w:val="21A2ECCA"/>
    <w:multiLevelType w:val="hybridMultilevel"/>
    <w:lvl w:ilvl="0">
      <w:lvlJc w:val="left"/>
      <w:lvlText w:val="-"/>
      <w:numFmt w:val="bullet"/>
      <w:start w:val="1"/>
    </w:lvl>
    <w:lvl w:ilvl="1">
      <w:lvlJc w:val="left"/>
      <w:lvlText w:val="(%2)"/>
      <w:numFmt w:val="lowerLetter"/>
      <w:start w:val="1"/>
    </w:lvl>
  </w:abstractNum>
  <w:abstractNum w:abstractNumId="96">
    <w:nsid w:val="4D5C4899"/>
    <w:multiLevelType w:val="hybridMultilevel"/>
    <w:lvl w:ilvl="0">
      <w:lvlJc w:val="left"/>
      <w:lvlText w:val="%1"/>
      <w:numFmt w:val="lowerLetter"/>
      <w:start w:val="1"/>
    </w:lvl>
    <w:lvl w:ilvl="1">
      <w:lvlJc w:val="left"/>
      <w:lvlText w:val="(%2)"/>
      <w:numFmt w:val="lowerLetter"/>
      <w:start w:val="3"/>
    </w:lvl>
  </w:abstractNum>
  <w:abstractNum w:abstractNumId="97">
    <w:nsid w:val="3C3B72B2"/>
    <w:multiLevelType w:val="hybridMultilevel"/>
    <w:lvl w:ilvl="0">
      <w:lvlJc w:val="left"/>
      <w:lvlText w:val="(%1)"/>
      <w:numFmt w:val="lowerLetter"/>
      <w:start w:val="61"/>
    </w:lvl>
    <w:lvl w:ilvl="1">
      <w:lvlJc w:val="left"/>
      <w:lvlText w:val="%2"/>
      <w:numFmt w:val="lowerLetter"/>
      <w:start w:val="1"/>
    </w:lvl>
  </w:abstractNum>
  <w:abstractNum w:abstractNumId="98">
    <w:nsid w:val="155EC4C2"/>
    <w:multiLevelType w:val="hybridMultilevel"/>
    <w:lvl w:ilvl="0">
      <w:lvlJc w:val="left"/>
      <w:lvlText w:val="-"/>
      <w:numFmt w:val="bullet"/>
      <w:start w:val="1"/>
    </w:lvl>
    <w:lvl w:ilvl="1">
      <w:lvlJc w:val="left"/>
      <w:lvlText w:val="(%2)"/>
      <w:numFmt w:val="lowerLetter"/>
      <w:start w:val="4"/>
    </w:lvl>
  </w:abstractNum>
  <w:abstractNum w:abstractNumId="99">
    <w:nsid w:val="65D2A137"/>
    <w:multiLevelType w:val="hybridMultilevel"/>
    <w:lvl w:ilvl="0">
      <w:lvlJc w:val="left"/>
      <w:lvlText w:val="-"/>
      <w:numFmt w:val="bullet"/>
      <w:start w:val="1"/>
    </w:lvl>
    <w:lvl w:ilvl="1">
      <w:lvlJc w:val="left"/>
      <w:lvlText w:val="(%2)"/>
      <w:numFmt w:val="lowerLetter"/>
      <w:start w:val="1"/>
    </w:lvl>
  </w:abstractNum>
  <w:abstractNum w:abstractNumId="100">
    <w:nsid w:val="6EBB1F2A"/>
    <w:multiLevelType w:val="hybridMultilevel"/>
    <w:lvl w:ilvl="0">
      <w:lvlJc w:val="left"/>
      <w:lvlText w:val="-"/>
      <w:numFmt w:val="bullet"/>
      <w:start w:val="1"/>
    </w:lvl>
    <w:lvl w:ilvl="1">
      <w:lvlJc w:val="left"/>
      <w:lvlText w:val="(%2)"/>
      <w:numFmt w:val="lowerLetter"/>
      <w:start w:val="1"/>
    </w:lvl>
  </w:abstractNum>
  <w:abstractNum w:abstractNumId="101">
    <w:nsid w:val="6FBF29CB"/>
    <w:multiLevelType w:val="hybridMultilevel"/>
    <w:lvl w:ilvl="0">
      <w:lvlJc w:val="left"/>
      <w:lvlText w:val="-"/>
      <w:numFmt w:val="bullet"/>
      <w:start w:val="1"/>
    </w:lvl>
    <w:lvl w:ilvl="1">
      <w:lvlJc w:val="left"/>
      <w:lvlText w:val="(%2)"/>
      <w:numFmt w:val="lowerLetter"/>
      <w:start w:val="3"/>
    </w:lvl>
  </w:abstractNum>
  <w:abstractNum w:abstractNumId="102">
    <w:nsid w:val="550B8808"/>
    <w:multiLevelType w:val="hybridMultilevel"/>
    <w:lvl w:ilvl="0">
      <w:lvlJc w:val="left"/>
      <w:lvlText w:val="(%1)"/>
      <w:numFmt w:val="lowerLetter"/>
      <w:start w:val="5"/>
    </w:lvl>
  </w:abstractNum>
  <w:abstractNum w:abstractNumId="103">
    <w:nsid w:val="34CC3ACF"/>
    <w:multiLevelType w:val="hybridMultilevel"/>
    <w:lvl w:ilvl="0">
      <w:lvlJc w:val="left"/>
      <w:lvlText w:val="%1"/>
      <w:numFmt w:val="upperLetter"/>
      <w:start w:val="1"/>
    </w:lvl>
    <w:lvl w:ilvl="1">
      <w:lvlJc w:val="left"/>
      <w:lvlText w:val="(%2)"/>
      <w:numFmt w:val="lowerLetter"/>
      <w:start w:val="1"/>
    </w:lvl>
  </w:abstractNum>
  <w:abstractNum w:abstractNumId="104">
    <w:nsid w:val="4E556261"/>
    <w:multiLevelType w:val="hybridMultilevel"/>
    <w:lvl w:ilvl="0">
      <w:lvlJc w:val="left"/>
      <w:lvlText w:val="(%1)"/>
      <w:numFmt w:val="upperLetter"/>
      <w:start w:val="2"/>
    </w:lvl>
    <w:lvl w:ilvl="1">
      <w:lvlJc w:val="left"/>
      <w:lvlText w:val="%2"/>
      <w:numFmt w:val="lowerLetter"/>
      <w:start w:val="1"/>
    </w:lvl>
  </w:abstractNum>
  <w:abstractNum w:abstractNumId="105">
    <w:nsid w:val="4C672FC9"/>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9"/>
    </w:lvl>
  </w:abstractNum>
  <w:abstractNum w:abstractNumId="106">
    <w:nsid w:val="52A311C3"/>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35"/>
    </w:lvl>
  </w:abstractNum>
  <w:abstractNum w:abstractNumId="107">
    <w:nsid w:val="44EF6B80"/>
    <w:multiLevelType w:val="hybridMultilevel"/>
    <w:lvl w:ilvl="0">
      <w:lvlJc w:val="left"/>
      <w:lvlText w:val="(%1)"/>
      <w:numFmt w:val="lowerRoman"/>
      <w:start w:val="3"/>
    </w:lvl>
  </w:abstractNum>
  <w:abstractNum w:abstractNumId="108">
    <w:nsid w:val="12FCDE5E"/>
    <w:multiLevelType w:val="hybridMultilevel"/>
    <w:lvl w:ilvl="0">
      <w:lvlJc w:val="left"/>
      <w:lvlText w:val="%1"/>
      <w:numFmt w:val="lowerLetter"/>
      <w:start w:val="1"/>
    </w:lvl>
    <w:lvl w:ilvl="1">
      <w:lvlJc w:val="left"/>
      <w:lvlText w:val="(%2)"/>
      <w:numFmt w:val="lowerRoman"/>
      <w:start w:val="6"/>
    </w:lvl>
  </w:abstractNum>
  <w:abstractNum w:abstractNumId="109">
    <w:nsid w:val="4A1D606E"/>
    <w:multiLevelType w:val="hybridMultilevel"/>
    <w:lvl w:ilvl="0">
      <w:lvlJc w:val="left"/>
      <w:lvlText w:val="(%1)"/>
      <w:numFmt w:val="lowerLetter"/>
      <w:start w:val="4"/>
    </w:lvl>
    <w:lvl w:ilvl="1">
      <w:lvlJc w:val="left"/>
      <w:lvlText w:val="(%2)"/>
      <w:numFmt w:val="lowerRoman"/>
      <w:start w:val="1"/>
    </w:lvl>
  </w:abstractNum>
  <w:abstractNum w:abstractNumId="110">
    <w:nsid w:val="4382503"/>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35"/>
    </w:lvl>
  </w:abstractNum>
  <w:abstractNum w:abstractNumId="111">
    <w:nsid w:val="59B76E28"/>
    <w:multiLevelType w:val="hybridMultilevel"/>
    <w:lvl w:ilvl="0">
      <w:lvlJc w:val="left"/>
      <w:lvlText w:val="-"/>
      <w:numFmt w:val="bullet"/>
      <w:start w:val="1"/>
    </w:lvl>
    <w:lvl w:ilvl="1">
      <w:lvlJc w:val="left"/>
      <w:lvlText w:val="(%2)"/>
      <w:numFmt w:val="lowerLetter"/>
      <w:start w:val="5"/>
    </w:lvl>
    <w:lvl w:ilvl="2">
      <w:lvlJc w:val="left"/>
      <w:lvlText w:val="%3"/>
      <w:numFmt w:val="lowerLetter"/>
      <w:start w:val="1"/>
    </w:lvl>
  </w:abstractNum>
  <w:abstractNum w:abstractNumId="112">
    <w:nsid w:val="4252C2DA"/>
    <w:multiLevelType w:val="hybridMultilevel"/>
    <w:lvl w:ilvl="0">
      <w:lvlJc w:val="left"/>
      <w:lvlText w:val="-"/>
      <w:numFmt w:val="bullet"/>
      <w:start w:val="1"/>
    </w:lvl>
    <w:lvl w:ilvl="1">
      <w:lvlJc w:val="left"/>
      <w:lvlText w:val="(%2)"/>
      <w:numFmt w:val="lowerLetter"/>
      <w:start w:val="9"/>
    </w:lvl>
  </w:abstractNum>
  <w:abstractNum w:abstractNumId="113">
    <w:nsid w:val="6A92EF4C"/>
    <w:multiLevelType w:val="hybridMultilevel"/>
    <w:lvl w:ilvl="0">
      <w:lvlJc w:val="left"/>
      <w:lvlText w:val="%1"/>
      <w:numFmt w:val="lowerLetter"/>
      <w:start w:val="1"/>
    </w:lvl>
    <w:lvl w:ilvl="1">
      <w:lvlJc w:val="left"/>
      <w:lvlText w:val="-"/>
      <w:numFmt w:val="bullet"/>
      <w:start w:val="1"/>
    </w:lvl>
    <w:lvl w:ilvl="2">
      <w:lvlJc w:val="left"/>
      <w:lvlText w:val="(%3)"/>
      <w:numFmt w:val="lowerLetter"/>
      <w:start w:val="14"/>
    </w:lvl>
  </w:abstractNum>
  <w:abstractNum w:abstractNumId="114">
    <w:nsid w:val="41ED20D7"/>
    <w:multiLevelType w:val="hybridMultilevel"/>
    <w:lvl w:ilvl="0">
      <w:lvlJc w:val="left"/>
      <w:lvlText w:val="(%1)"/>
      <w:numFmt w:val="lowerLetter"/>
      <w:start w:val="35"/>
    </w:lvl>
    <w:lvl w:ilvl="1">
      <w:lvlJc w:val="left"/>
      <w:lvlText w:val="-"/>
      <w:numFmt w:val="bullet"/>
      <w:start w:val="1"/>
    </w:lvl>
    <w:lvl w:ilvl="2">
      <w:lvlJc w:val="left"/>
      <w:lvlText w:val="%3"/>
      <w:numFmt w:val="lowerLetter"/>
      <w:start w:val="1"/>
    </w:lvl>
  </w:abstractNum>
  <w:abstractNum w:abstractNumId="115">
    <w:nsid w:val="E6B3F6A"/>
    <w:multiLevelType w:val="hybridMultilevel"/>
    <w:lvl w:ilvl="0">
      <w:lvlJc w:val="left"/>
      <w:lvlText w:val="%1"/>
      <w:numFmt w:val="upperLetter"/>
      <w:start w:val="1"/>
    </w:lvl>
    <w:lvl w:ilvl="1">
      <w:lvlJc w:val="left"/>
      <w:lvlText w:val="(%2)"/>
      <w:numFmt w:val="lowerLetter"/>
      <w:start w:val="1"/>
    </w:lvl>
  </w:abstractNum>
  <w:abstractNum w:abstractNumId="116">
    <w:nsid w:val="3EB21819"/>
    <w:multiLevelType w:val="hybridMultilevel"/>
    <w:lvl w:ilvl="0">
      <w:lvlJc w:val="left"/>
      <w:lvlText w:val="(%1)"/>
      <w:numFmt w:val="upperLetter"/>
      <w:start w:val="2"/>
    </w:lvl>
    <w:lvl w:ilvl="1">
      <w:lvlJc w:val="left"/>
      <w:lvlText w:val="%2"/>
      <w:numFmt w:val="lowerLetter"/>
      <w:start w:val="1"/>
    </w:lvl>
  </w:abstractNum>
  <w:abstractNum w:abstractNumId="117">
    <w:nsid w:val="41531DED"/>
    <w:multiLevelType w:val="hybridMultilevel"/>
    <w:lvl w:ilvl="0">
      <w:lvlJc w:val="left"/>
      <w:lvlText w:val="-"/>
      <w:numFmt w:val="bullet"/>
      <w:start w:val="1"/>
    </w:lvl>
    <w:lvl w:ilvl="1">
      <w:lvlJc w:val="left"/>
      <w:lvlText w:val="(%2)"/>
      <w:numFmt w:val="lowerLetter"/>
      <w:start w:val="1"/>
    </w:lvl>
  </w:abstractNum>
  <w:abstractNum w:abstractNumId="118">
    <w:nsid w:val="6353CD2"/>
    <w:multiLevelType w:val="hybridMultilevel"/>
    <w:lvl w:ilvl="0">
      <w:lvlJc w:val="left"/>
      <w:lvlText w:val="-"/>
      <w:numFmt w:val="bullet"/>
      <w:start w:val="1"/>
    </w:lvl>
    <w:lvl w:ilvl="1">
      <w:lvlJc w:val="left"/>
      <w:lvlText w:val="(%2)"/>
      <w:numFmt w:val="lowerLetter"/>
      <w:start w:val="1"/>
    </w:lvl>
  </w:abstractNum>
  <w:abstractNum w:abstractNumId="119">
    <w:nsid w:val="683CAAD3"/>
    <w:multiLevelType w:val="hybridMultilevel"/>
    <w:lvl w:ilvl="0">
      <w:lvlJc w:val="left"/>
      <w:lvlText w:val="-"/>
      <w:numFmt w:val="bullet"/>
      <w:start w:val="1"/>
    </w:lvl>
    <w:lvl w:ilvl="1">
      <w:lvlJc w:val="left"/>
      <w:lvlText w:val="(%2)"/>
      <w:numFmt w:val="lowerLetter"/>
      <w:start w:val="1"/>
    </w:lvl>
  </w:abstractNum>
  <w:abstractNum w:abstractNumId="120">
    <w:nsid w:val="313C7C99"/>
    <w:multiLevelType w:val="hybridMultilevel"/>
    <w:lvl w:ilvl="0">
      <w:lvlJc w:val="left"/>
      <w:lvlText w:val="(%1)"/>
      <w:numFmt w:val="lowerLetter"/>
      <w:start w:val="1"/>
    </w:lvl>
  </w:abstractNum>
  <w:abstractNum w:abstractNumId="121">
    <w:nsid w:val="519EB94C"/>
    <w:multiLevelType w:val="hybridMultilevel"/>
    <w:lvl w:ilvl="0">
      <w:lvlJc w:val="left"/>
      <w:lvlText w:val="%1"/>
      <w:numFmt w:val="upperLetter"/>
      <w:start w:val="1"/>
    </w:lvl>
    <w:lvl w:ilvl="1">
      <w:lvlJc w:val="left"/>
      <w:lvlText w:val="(%2)"/>
      <w:numFmt w:val="lowerLetter"/>
      <w:start w:val="3"/>
    </w:lvl>
  </w:abstractNum>
  <w:abstractNum w:abstractNumId="122">
    <w:nsid w:val="39DF2579"/>
    <w:multiLevelType w:val="hybridMultilevel"/>
    <w:lvl w:ilvl="0">
      <w:lvlJc w:val="left"/>
      <w:lvlText w:val="(%1)"/>
      <w:numFmt w:val="upperLetter"/>
      <w:start w:val="1"/>
    </w:lvl>
    <w:lvl w:ilvl="1">
      <w:lvlJc w:val="left"/>
      <w:lvlText w:val="%2"/>
      <w:numFmt w:val="lowerLetter"/>
      <w:start w:val="1"/>
    </w:lvl>
  </w:abstractNum>
  <w:abstractNum w:abstractNumId="123">
    <w:nsid w:val="126E008B"/>
    <w:multiLevelType w:val="hybridMultilevel"/>
    <w:lvl w:ilvl="0">
      <w:lvlJc w:val="left"/>
      <w:lvlText w:val="%1"/>
      <w:numFmt w:val="lowerLetter"/>
      <w:start w:val="1"/>
    </w:lvl>
    <w:lvl w:ilvl="1">
      <w:lvlJc w:val="left"/>
      <w:lvlText w:val="-"/>
      <w:numFmt w:val="bullet"/>
      <w:start w:val="1"/>
    </w:lvl>
    <w:lvl w:ilvl="2">
      <w:lvlJc w:val="left"/>
      <w:lvlText w:val="(%3)"/>
      <w:numFmt w:val="lowerLetter"/>
      <w:start w:val="1"/>
    </w:lvl>
  </w:abstractNum>
  <w:abstractNum w:abstractNumId="124">
    <w:nsid w:val="34DFBC00"/>
    <w:multiLevelType w:val="hybridMultilevel"/>
    <w:lvl w:ilvl="0">
      <w:lvlJc w:val="left"/>
      <w:lvlText w:val="(%1)"/>
      <w:numFmt w:val="lowerLetter"/>
      <w:start w:val="24"/>
    </w:lvl>
    <w:lvl w:ilvl="1">
      <w:lvlJc w:val="left"/>
      <w:lvlText w:val="-"/>
      <w:numFmt w:val="bullet"/>
      <w:start w:val="1"/>
    </w:lvl>
    <w:lvl w:ilvl="2">
      <w:lvlJc w:val="left"/>
      <w:lvlText w:val="(%3)"/>
      <w:numFmt w:val="lowerLetter"/>
      <w:start w:val="2"/>
    </w:lvl>
  </w:abstractNum>
  <w:abstractNum w:abstractNumId="125">
    <w:nsid w:val="1F9EC322"/>
    <w:multiLevelType w:val="hybridMultilevel"/>
    <w:lvl w:ilvl="0">
      <w:lvlJc w:val="left"/>
      <w:lvlText w:val="-"/>
      <w:numFmt w:val="bullet"/>
      <w:start w:val="1"/>
    </w:lvl>
    <w:lvl w:ilvl="1">
      <w:lvlJc w:val="left"/>
      <w:lvlText w:val="(%2)"/>
      <w:numFmt w:val="lowerLetter"/>
      <w:start w:val="3"/>
    </w:lvl>
    <w:lvl w:ilvl="2">
      <w:lvlJc w:val="left"/>
      <w:lvlText w:val="(%3)"/>
      <w:numFmt w:val="lowerRoman"/>
      <w:start w:val="1"/>
    </w:lvl>
  </w:abstractNum>
  <w:abstractNum w:abstractNumId="126">
    <w:nsid w:val="3410ED56"/>
    <w:multiLevelType w:val="hybridMultilevel"/>
    <w:lvl w:ilvl="0">
      <w:lvlJc w:val="left"/>
      <w:lvlText w:val="%1"/>
      <w:numFmt w:val="upperLetter"/>
      <w:start w:val="1"/>
    </w:lvl>
    <w:lvl w:ilvl="1">
      <w:lvlJc w:val="left"/>
      <w:lvlText w:val="(%2)"/>
      <w:numFmt w:val="lowerRoman"/>
      <w:start w:val="4"/>
    </w:lvl>
  </w:abstractNum>
  <w:abstractNum w:abstractNumId="127">
    <w:nsid w:val="23C049A"/>
    <w:multiLevelType w:val="hybridMultilevel"/>
    <w:lvl w:ilvl="0">
      <w:lvlJc w:val="left"/>
      <w:lvlText w:val="(%1)"/>
      <w:numFmt w:val="upperLetter"/>
      <w:start w:val="2"/>
    </w:lvl>
    <w:lvl w:ilvl="1">
      <w:lvlJc w:val="left"/>
      <w:lvlText w:val="%2"/>
      <w:numFmt w:val="lowerRoman"/>
      <w:start w:val="1"/>
    </w:lvl>
  </w:abstractNum>
  <w:abstractNum w:abstractNumId="128">
    <w:nsid w:val="5BDA35D4"/>
    <w:multiLevelType w:val="hybridMultilevel"/>
    <w:lvl w:ilvl="0">
      <w:lvlJc w:val="left"/>
      <w:lvlText w:val="-"/>
      <w:numFmt w:val="bullet"/>
      <w:start w:val="1"/>
    </w:lvl>
    <w:lvl w:ilvl="1">
      <w:lvlJc w:val="left"/>
      <w:lvlText w:val="(%2)"/>
      <w:numFmt w:val="lowerLetter"/>
      <w:start w:val="6"/>
    </w:lvl>
  </w:abstractNum>
  <w:abstractNum w:abstractNumId="129">
    <w:nsid w:val="496FB218"/>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130">
    <w:nsid w:val="680EA5D1"/>
    <w:multiLevelType w:val="hybridMultilevel"/>
    <w:lvl w:ilvl="0">
      <w:lvlJc w:val="left"/>
      <w:lvlText w:val="-"/>
      <w:numFmt w:val="bullet"/>
      <w:start w:val="1"/>
    </w:lvl>
    <w:lvl w:ilvl="1">
      <w:lvlJc w:val="left"/>
      <w:lvlText w:val="%2"/>
      <w:numFmt w:val="lowerLetter"/>
      <w:start w:val="1"/>
    </w:lvl>
    <w:lvl w:ilvl="2">
      <w:lvlJc w:val="left"/>
      <w:lvlText w:val="(%3)"/>
      <w:numFmt w:val="lowerRoman"/>
      <w:start w:val="3"/>
    </w:lvl>
  </w:abstractNum>
  <w:abstractNum w:abstractNumId="131">
    <w:nsid w:val="4A9554FE"/>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abstractNum>
  <w:abstractNum w:abstractNumId="132">
    <w:nsid w:val="392EDBE4"/>
    <w:multiLevelType w:val="hybridMultilevel"/>
    <w:lvl w:ilvl="0">
      <w:lvlJc w:val="left"/>
      <w:lvlText w:val="-"/>
      <w:numFmt w:val="bullet"/>
      <w:start w:val="1"/>
    </w:lvl>
    <w:lvl w:ilvl="1">
      <w:lvlJc w:val="left"/>
      <w:lvlText w:val="(%2)"/>
      <w:numFmt w:val="lowerLetter"/>
      <w:start w:val="4"/>
    </w:lvl>
  </w:abstractNum>
  <w:abstractNum w:abstractNumId="133">
    <w:nsid w:val="3D1A2DD9"/>
    <w:multiLevelType w:val="hybridMultilevel"/>
    <w:lvl w:ilvl="0">
      <w:lvlJc w:val="left"/>
      <w:lvlText w:val="-"/>
      <w:numFmt w:val="bullet"/>
      <w:start w:val="1"/>
    </w:lvl>
    <w:lvl w:ilvl="1">
      <w:lvlJc w:val="left"/>
      <w:lvlText w:val="(%2)"/>
      <w:numFmt w:val="lowerLetter"/>
      <w:start w:val="1"/>
    </w:lvl>
  </w:abstractNum>
  <w:abstractNum w:abstractNumId="134">
    <w:nsid w:val="7F618FCD"/>
    <w:multiLevelType w:val="hybridMultilevel"/>
    <w:lvl w:ilvl="0">
      <w:lvlJc w:val="left"/>
      <w:lvlText w:val="%1"/>
      <w:numFmt w:val="decimal"/>
      <w:start w:val="1"/>
    </w:lvl>
    <w:lvl w:ilvl="1">
      <w:lvlJc w:val="left"/>
      <w:lvlText w:val="(%2)"/>
      <w:numFmt w:val="lowerLetter"/>
      <w:start w:val="1"/>
    </w:lvl>
  </w:abstractNum>
  <w:abstractNum w:abstractNumId="135">
    <w:nsid w:val="7843E45"/>
    <w:multiLevelType w:val="hybridMultilevel"/>
    <w:lvl w:ilvl="0">
      <w:lvlJc w:val="left"/>
      <w:lvlText w:val="(%1)"/>
      <w:numFmt w:val="decimal"/>
      <w:start w:val="14"/>
    </w:lvl>
    <w:lvl w:ilvl="1">
      <w:lvlJc w:val="left"/>
      <w:lvlText w:val="%2"/>
      <w:numFmt w:val="lowerLetter"/>
      <w:start w:val="1"/>
    </w:lvl>
  </w:abstractNum>
  <w:abstractNum w:abstractNumId="136">
    <w:nsid w:val="9815DA3"/>
    <w:multiLevelType w:val="hybridMultilevel"/>
    <w:lvl w:ilvl="0">
      <w:lvlJc w:val="left"/>
      <w:lvlText w:val="%1"/>
      <w:numFmt w:val="lowerLetter"/>
      <w:start w:val="1"/>
    </w:lvl>
    <w:lvl w:ilvl="1">
      <w:lvlJc w:val="left"/>
      <w:lvlText w:val="-"/>
      <w:numFmt w:val="bullet"/>
      <w:start w:val="1"/>
    </w:lvl>
    <w:lvl w:ilvl="2">
      <w:lvlJc w:val="left"/>
      <w:lvlText w:val="(%3)"/>
      <w:numFmt w:val="lowerLetter"/>
      <w:start w:val="4"/>
    </w:lvl>
  </w:abstractNum>
  <w:abstractNum w:abstractNumId="137">
    <w:nsid w:val="5204A191"/>
    <w:multiLevelType w:val="hybridMultilevel"/>
    <w:lvl w:ilvl="0">
      <w:lvlJc w:val="left"/>
      <w:lvlText w:val="(%1)"/>
      <w:numFmt w:val="lowerLetter"/>
      <w:start w:val="35"/>
    </w:lvl>
    <w:lvl w:ilvl="1">
      <w:lvlJc w:val="left"/>
      <w:lvlText w:val="-"/>
      <w:numFmt w:val="bullet"/>
      <w:start w:val="1"/>
    </w:lvl>
    <w:lvl w:ilvl="2">
      <w:lvlJc w:val="left"/>
      <w:lvlText w:val="(%3)"/>
      <w:numFmt w:val="lowerLetter"/>
      <w:start w:val="5"/>
    </w:lvl>
  </w:abstractNum>
  <w:abstractNum w:abstractNumId="138">
    <w:nsid w:val="4C73A9C6"/>
    <w:multiLevelType w:val="hybridMultilevel"/>
    <w:lvl w:ilvl="0">
      <w:lvlJc w:val="left"/>
      <w:lvlText w:val="(%1)"/>
      <w:numFmt w:val="lowerLetter"/>
      <w:start w:val="6"/>
    </w:lvl>
  </w:abstractNum>
  <w:abstractNum w:abstractNumId="139">
    <w:nsid w:val="1C7E3C01"/>
    <w:multiLevelType w:val="hybridMultilevel"/>
    <w:lvl w:ilvl="0">
      <w:lvlJc w:val="left"/>
      <w:lvlText w:val="-"/>
      <w:numFmt w:val="bullet"/>
      <w:start w:val="1"/>
    </w:lvl>
    <w:lvl w:ilvl="1">
      <w:lvlJc w:val="left"/>
      <w:lvlText w:val="(%2)"/>
      <w:numFmt w:val="lowerLetter"/>
      <w:start w:val="1"/>
    </w:lvl>
  </w:abstractNum>
  <w:abstractNum w:abstractNumId="140">
    <w:nsid w:val="1C2201FF"/>
    <w:multiLevelType w:val="hybridMultilevel"/>
    <w:lvl w:ilvl="0">
      <w:lvlJc w:val="left"/>
      <w:lvlText w:val="(%1)"/>
      <w:numFmt w:val="lowerLetter"/>
      <w:start w:val="1"/>
    </w:lvl>
  </w:abstractNum>
  <w:abstractNum w:abstractNumId="141">
    <w:nsid w:val="50ABCEC9"/>
    <w:multiLevelType w:val="hybridMultilevel"/>
    <w:lvl w:ilvl="0">
      <w:lvlJc w:val="left"/>
      <w:lvlText w:val="-"/>
      <w:numFmt w:val="bullet"/>
      <w:start w:val="1"/>
    </w:lvl>
    <w:lvl w:ilvl="1">
      <w:lvlJc w:val="left"/>
      <w:lvlText w:val="(%2)"/>
      <w:numFmt w:val="lowerLetter"/>
      <w:start w:val="1"/>
    </w:lvl>
  </w:abstractNum>
  <w:abstractNum w:abstractNumId="142">
    <w:nsid w:val="7635AA2A"/>
    <w:multiLevelType w:val="hybridMultilevel"/>
    <w:lvl w:ilvl="0">
      <w:lvlJc w:val="left"/>
      <w:lvlText w:val="(%1)"/>
      <w:numFmt w:val="lowerLetter"/>
      <w:start w:val="3"/>
    </w:lvl>
  </w:abstractNum>
  <w:abstractNum w:abstractNumId="143">
    <w:nsid w:val="5E74C4D9"/>
    <w:multiLevelType w:val="hybridMultilevel"/>
    <w:lvl w:ilvl="0">
      <w:lvlJc w:val="left"/>
      <w:lvlText w:val="-"/>
      <w:numFmt w:val="bullet"/>
      <w:start w:val="1"/>
    </w:lvl>
    <w:lvl w:ilvl="1">
      <w:lvlJc w:val="left"/>
      <w:lvlText w:val="(%2)"/>
      <w:numFmt w:val="lowerLetter"/>
      <w:start w:val="1"/>
    </w:lvl>
  </w:abstractNum>
  <w:abstractNum w:abstractNumId="144">
    <w:nsid w:val="3B3EBE15"/>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145">
    <w:nsid w:val="3822CB01"/>
    <w:multiLevelType w:val="hybridMultilevel"/>
    <w:lvl w:ilvl="0">
      <w:lvlJc w:val="left"/>
      <w:lvlText w:val="(%1)"/>
      <w:numFmt w:val="lowerLetter"/>
      <w:start w:val="5"/>
    </w:lvl>
  </w:abstractNum>
  <w:abstractNum w:abstractNumId="146">
    <w:nsid w:val="6CE00443"/>
    <w:multiLevelType w:val="hybridMultilevel"/>
    <w:lvl w:ilvl="0">
      <w:lvlJc w:val="left"/>
      <w:lvlText w:val="-"/>
      <w:numFmt w:val="bullet"/>
      <w:start w:val="1"/>
    </w:lvl>
    <w:lvl w:ilvl="1">
      <w:lvlJc w:val="left"/>
      <w:lvlText w:val="(%2)"/>
      <w:numFmt w:val="lowerLetter"/>
      <w:start w:val="1"/>
    </w:lvl>
  </w:abstractNum>
  <w:abstractNum w:abstractNumId="147">
    <w:nsid w:val="79F0D62F"/>
    <w:multiLevelType w:val="hybridMultilevel"/>
    <w:lvl w:ilvl="0">
      <w:lvlJc w:val="left"/>
      <w:lvlText w:val="-"/>
      <w:numFmt w:val="bullet"/>
      <w:start w:val="1"/>
    </w:lvl>
    <w:lvl w:ilvl="1">
      <w:lvlJc w:val="left"/>
      <w:lvlText w:val="(%2)"/>
      <w:numFmt w:val="lowerLetter"/>
      <w:start w:val="3"/>
    </w:lvl>
  </w:abstractNum>
  <w:abstractNum w:abstractNumId="148">
    <w:nsid w:val="7975E8EE"/>
    <w:multiLevelType w:val="hybridMultilevel"/>
    <w:lvl w:ilvl="0">
      <w:lvlJc w:val="left"/>
      <w:lvlText w:val="(%1)"/>
      <w:numFmt w:val="lowerLetter"/>
      <w:start w:val="1"/>
    </w:lvl>
  </w:abstractNum>
  <w:abstractNum w:abstractNumId="149">
    <w:nsid w:val="73154115"/>
    <w:multiLevelType w:val="hybridMultilevel"/>
    <w:lvl w:ilvl="0">
      <w:lvlJc w:val="left"/>
      <w:lvlText w:val="-"/>
      <w:numFmt w:val="bullet"/>
      <w:start w:val="1"/>
    </w:lvl>
    <w:lvl w:ilvl="1">
      <w:lvlJc w:val="left"/>
      <w:lvlText w:val="(%2)"/>
      <w:numFmt w:val="lowerLetter"/>
      <w:start w:val="1"/>
    </w:lvl>
  </w:abstractNum>
  <w:abstractNum w:abstractNumId="150">
    <w:nsid w:val="622D8102"/>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151">
    <w:nsid w:val="2AB26587"/>
    <w:multiLevelType w:val="hybridMultilevel"/>
    <w:lvl w:ilvl="0">
      <w:lvlJc w:val="left"/>
      <w:lvlText w:val="-"/>
      <w:numFmt w:val="bullet"/>
      <w:start w:val="1"/>
    </w:lvl>
    <w:lvl w:ilvl="1">
      <w:lvlJc w:val="left"/>
      <w:lvlText w:val="%2"/>
      <w:numFmt w:val="upperLetter"/>
      <w:start w:val="1"/>
    </w:lvl>
    <w:lvl w:ilvl="2">
      <w:lvlJc w:val="left"/>
      <w:lvlText w:val="%3"/>
      <w:numFmt w:val="lowerLetter"/>
      <w:start w:val="1"/>
    </w:lvl>
    <w:lvl w:ilvl="3">
      <w:lvlJc w:val="left"/>
      <w:lvlText w:val="(%4)"/>
      <w:numFmt w:val="lowerRoman"/>
      <w:start w:val="3"/>
    </w:lvl>
  </w:abstractNum>
  <w:abstractNum w:abstractNumId="152">
    <w:nsid w:val="44B3FA61"/>
    <w:multiLevelType w:val="hybridMultilevel"/>
    <w:lvl w:ilvl="0">
      <w:lvlJc w:val="left"/>
      <w:lvlText w:val="-"/>
      <w:numFmt w:val="bullet"/>
      <w:start w:val="1"/>
    </w:lvl>
    <w:lvl w:ilvl="1">
      <w:lvlJc w:val="left"/>
      <w:lvlText w:val="(%2)"/>
      <w:numFmt w:val="upperLetter"/>
      <w:start w:val="2"/>
    </w:lvl>
    <w:lvl w:ilvl="2">
      <w:lvlJc w:val="left"/>
      <w:lvlText w:val="(%3)"/>
      <w:numFmt w:val="lowerLetter"/>
      <w:start w:val="1"/>
    </w:lvl>
    <w:lvl w:ilvl="3">
      <w:lvlJc w:val="left"/>
      <w:lvlText w:val="(%4)"/>
      <w:numFmt w:val="lowerRoman"/>
      <w:start w:val="4"/>
    </w:lvl>
  </w:abstractNum>
  <w:abstractNum w:abstractNumId="153">
    <w:nsid w:val="1C0CA67C"/>
    <w:multiLevelType w:val="hybridMultilevel"/>
    <w:lvl w:ilvl="0">
      <w:lvlJc w:val="left"/>
      <w:lvlText w:val="-"/>
      <w:numFmt w:val="bullet"/>
      <w:start w:val="1"/>
    </w:lvl>
    <w:lvl w:ilvl="1">
      <w:lvlJc w:val="left"/>
      <w:lvlText w:val="%2"/>
      <w:numFmt w:val="upperLetter"/>
      <w:start w:val="1"/>
    </w:lvl>
    <w:lvl w:ilvl="2">
      <w:lvlJc w:val="left"/>
      <w:lvlText w:val="(%3)"/>
      <w:numFmt w:val="lowerLetter"/>
      <w:start w:val="1"/>
    </w:lvl>
  </w:abstractNum>
  <w:abstractNum w:abstractNumId="154">
    <w:nsid w:val="3D206613"/>
    <w:multiLevelType w:val="hybridMultilevel"/>
    <w:lvl w:ilvl="0">
      <w:lvlJc w:val="left"/>
      <w:lvlText w:val="-"/>
      <w:numFmt w:val="bullet"/>
      <w:start w:val="1"/>
    </w:lvl>
    <w:lvl w:ilvl="1">
      <w:lvlJc w:val="left"/>
      <w:lvlText w:val="(%2)"/>
      <w:numFmt w:val="upperLetter"/>
      <w:start w:val="1"/>
    </w:lvl>
    <w:lvl w:ilvl="2">
      <w:lvlJc w:val="left"/>
      <w:lvlText w:val="%3"/>
      <w:numFmt w:val="lowerLetter"/>
      <w:start w:val="1"/>
    </w:lvl>
  </w:abstractNum>
  <w:abstractNum w:abstractNumId="155">
    <w:nsid w:val="7993B662"/>
    <w:multiLevelType w:val="hybridMultilevel"/>
    <w:lvl w:ilvl="0">
      <w:lvlJc w:val="left"/>
      <w:lvlText w:val="(%1)"/>
      <w:numFmt w:val="upperLetter"/>
      <w:start w:val="2"/>
    </w:lvl>
  </w:abstractNum>
  <w:abstractNum w:abstractNumId="156">
    <w:nsid w:val="3BAB699E"/>
    <w:multiLevelType w:val="hybridMultilevel"/>
    <w:lvl w:ilvl="0">
      <w:lvlJc w:val="left"/>
      <w:lvlText w:val="-"/>
      <w:numFmt w:val="bullet"/>
      <w:start w:val="1"/>
    </w:lvl>
    <w:lvl w:ilvl="1">
      <w:lvlJc w:val="left"/>
      <w:lvlText w:val="(%2)"/>
      <w:numFmt w:val="lowerLetter"/>
      <w:start w:val="1"/>
    </w:lvl>
  </w:abstractNum>
  <w:abstractNum w:abstractNumId="157">
    <w:nsid w:val="71315369"/>
    <w:multiLevelType w:val="hybridMultilevel"/>
    <w:lvl w:ilvl="0">
      <w:lvlJc w:val="left"/>
      <w:lvlText w:val="(%1)"/>
      <w:numFmt w:val="lowerLetter"/>
      <w:start w:val="2"/>
    </w:lvl>
  </w:abstractNum>
  <w:abstractNum w:abstractNumId="158">
    <w:nsid w:val="7BCFBAFC"/>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9"/>
    </w:lvl>
  </w:abstractNum>
  <w:abstractNum w:abstractNumId="159">
    <w:nsid w:val="17859F72"/>
    <w:multiLevelType w:val="hybridMultilevel"/>
    <w:lvl w:ilvl="0">
      <w:lvlJc w:val="left"/>
      <w:lvlText w:val="(%1)"/>
      <w:numFmt w:val="lowerRoman"/>
      <w:start w:val="2"/>
    </w:lvl>
  </w:abstractNum>
  <w:abstractNum w:abstractNumId="160">
    <w:nsid w:val="3AA10581"/>
    <w:multiLevelType w:val="hybridMultilevel"/>
    <w:lvl w:ilvl="0">
      <w:lvlJc w:val="left"/>
      <w:lvlText w:val="-"/>
      <w:numFmt w:val="bullet"/>
      <w:start w:val="1"/>
    </w:lvl>
    <w:lvl w:ilvl="1">
      <w:lvlJc w:val="left"/>
      <w:lvlText w:val="(%2)"/>
      <w:numFmt w:val="lowerLetter"/>
      <w:start w:val="3"/>
    </w:lvl>
  </w:abstractNum>
  <w:abstractNum w:abstractNumId="161">
    <w:nsid w:val="63DE60CD"/>
    <w:multiLevelType w:val="hybridMultilevel"/>
    <w:lvl w:ilvl="0">
      <w:lvlJc w:val="left"/>
      <w:lvlText w:val="(%1)"/>
      <w:numFmt w:val="lowerRoman"/>
      <w:start w:val="3"/>
    </w:lvl>
  </w:abstractNum>
  <w:abstractNum w:abstractNumId="162">
    <w:nsid w:val="621AF471"/>
    <w:multiLevelType w:val="hybridMultilevel"/>
    <w:lvl w:ilvl="0">
      <w:lvlJc w:val="left"/>
      <w:lvlText w:val="%1"/>
      <w:numFmt w:val="lowerLetter"/>
      <w:start w:val="1"/>
    </w:lvl>
    <w:lvl w:ilvl="1">
      <w:lvlJc w:val="left"/>
      <w:lvlText w:val="-"/>
      <w:numFmt w:val="bullet"/>
      <w:start w:val="1"/>
    </w:lvl>
    <w:lvl w:ilvl="2">
      <w:lvlJc w:val="left"/>
      <w:lvlText w:val="(%3)"/>
      <w:numFmt w:val="lowerLetter"/>
      <w:start w:val="1"/>
    </w:lvl>
  </w:abstractNum>
  <w:abstractNum w:abstractNumId="163">
    <w:nsid w:val="73CFE165"/>
    <w:multiLevelType w:val="hybridMultilevel"/>
    <w:lvl w:ilvl="0">
      <w:lvlJc w:val="left"/>
      <w:lvlText w:val="(%1)"/>
      <w:numFmt w:val="lowerLetter"/>
      <w:start w:val="9"/>
    </w:lvl>
    <w:lvl w:ilvl="1">
      <w:lvlJc w:val="left"/>
      <w:lvlText w:val="-"/>
      <w:numFmt w:val="bullet"/>
      <w:start w:val="1"/>
    </w:lvl>
    <w:lvl w:ilvl="2">
      <w:lvlJc w:val="left"/>
      <w:lvlText w:val="%3"/>
      <w:numFmt w:val="lowerLetter"/>
      <w:start w:val="1"/>
    </w:lvl>
  </w:abstractNum>
  <w:abstractNum w:abstractNumId="164">
    <w:nsid w:val="20F88EA6"/>
    <w:multiLevelType w:val="hybridMultilevel"/>
    <w:lvl w:ilvl="0">
      <w:lvlJc w:val="left"/>
      <w:lvlText w:val="(%1)"/>
      <w:numFmt w:val="lowerLetter"/>
      <w:start w:val="3"/>
    </w:lvl>
  </w:abstractNum>
  <w:abstractNum w:abstractNumId="165">
    <w:nsid w:val="617C843E"/>
    <w:multiLevelType w:val="hybridMultilevel"/>
    <w:lvl w:ilvl="0">
      <w:lvlJc w:val="left"/>
      <w:lvlText w:val="-"/>
      <w:numFmt w:val="bullet"/>
      <w:start w:val="1"/>
    </w:lvl>
    <w:lvl w:ilvl="1">
      <w:lvlJc w:val="left"/>
      <w:lvlText w:val="(%2)"/>
      <w:numFmt w:val="lowerLetter"/>
      <w:start w:val="1"/>
    </w:lvl>
  </w:abstractNum>
  <w:abstractNum w:abstractNumId="166">
    <w:nsid w:val="7B541FAB"/>
    <w:multiLevelType w:val="hybridMultilevel"/>
    <w:lvl w:ilvl="0">
      <w:lvlJc w:val="left"/>
      <w:lvlText w:val="(%1)"/>
      <w:numFmt w:val="lowerLetter"/>
      <w:start w:val="2"/>
    </w:lvl>
  </w:abstractNum>
  <w:abstractNum w:abstractNumId="167">
    <w:nsid w:val="2A79EC49"/>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abstractNum>
  <w:abstractNum w:abstractNumId="168">
    <w:nsid w:val="338125CF"/>
    <w:multiLevelType w:val="hybridMultilevel"/>
    <w:lvl w:ilvl="0">
      <w:lvlJc w:val="left"/>
      <w:lvlText w:val="%1"/>
      <w:numFmt w:val="decimal"/>
      <w:start w:val="1"/>
    </w:lvl>
    <w:lvl w:ilvl="1">
      <w:lvlJc w:val="left"/>
      <w:lvlText w:val="(%2)"/>
      <w:numFmt w:val="lowerLetter"/>
      <w:start w:val="3"/>
    </w:lvl>
  </w:abstractNum>
  <w:abstractNum w:abstractNumId="169">
    <w:nsid w:val="47C7C971"/>
    <w:multiLevelType w:val="hybridMultilevel"/>
    <w:lvl w:ilvl="0">
      <w:lvlJc w:val="left"/>
      <w:lvlText w:val="(%1)"/>
      <w:numFmt w:val="decimal"/>
      <w:start w:val="14"/>
    </w:lvl>
    <w:lvl w:ilvl="1">
      <w:lvlJc w:val="left"/>
      <w:lvlText w:val="%2"/>
      <w:numFmt w:val="lowerLetter"/>
      <w:start w:val="1"/>
    </w:lvl>
  </w:abstractNum>
  <w:abstractNum w:abstractNumId="170">
    <w:nsid w:val="46F8284B"/>
    <w:multiLevelType w:val="hybridMultilevel"/>
    <w:lvl w:ilvl="0">
      <w:lvlJc w:val="left"/>
      <w:lvlText w:val="(%1)"/>
      <w:numFmt w:val="lowerRoman"/>
      <w:start w:val="2"/>
    </w:lvl>
    <w:lvl w:ilvl="1">
      <w:lvlJc w:val="left"/>
      <w:lvlText w:val="%2"/>
      <w:numFmt w:val="lowerLetter"/>
      <w:start w:val="1"/>
    </w:lvl>
  </w:abstractNum>
  <w:abstractNum w:abstractNumId="171">
    <w:nsid w:val="4FA327CE"/>
    <w:multiLevelType w:val="hybridMultilevel"/>
    <w:lvl w:ilvl="0">
      <w:lvlJc w:val="left"/>
      <w:lvlText w:val="(%1)"/>
      <w:numFmt w:val="lowerRoman"/>
      <w:start w:val="4"/>
    </w:lvl>
    <w:lvl w:ilvl="1">
      <w:lvlJc w:val="left"/>
      <w:lvlText w:val="(%2)"/>
      <w:numFmt w:val="lowerLetter"/>
      <w:start w:val="6"/>
    </w:lvl>
  </w:abstractNum>
  <w:abstractNum w:abstractNumId="172">
    <w:nsid w:val="1873983A"/>
    <w:multiLevelType w:val="hybridMultilevel"/>
    <w:lvl w:ilvl="0">
      <w:lvlJc w:val="left"/>
      <w:lvlText w:val="%1."/>
      <w:numFmt w:val="decimal"/>
      <w:start w:val="2"/>
    </w:lvl>
  </w:abstractNum>
  <w:abstractNum w:abstractNumId="173">
    <w:nsid w:val="3D2DD275"/>
    <w:multiLevelType w:val="hybridMultilevel"/>
    <w:lvl w:ilvl="0">
      <w:lvlJc w:val="left"/>
      <w:lvlText w:val="(%1)"/>
      <w:numFmt w:val="lowerLetter"/>
      <w:start w:val="1"/>
    </w:lvl>
  </w:abstractNum>
  <w:abstractNum w:abstractNumId="174">
    <w:nsid w:val="2E17ECA7"/>
    <w:multiLevelType w:val="hybridMultilevel"/>
    <w:lvl w:ilvl="0">
      <w:lvlJc w:val="left"/>
      <w:lvlText w:val="(%1)"/>
      <w:numFmt w:val="lowerLetter"/>
      <w:start w:val="2"/>
    </w:lvl>
  </w:abstractNum>
  <w:abstractNum w:abstractNumId="175">
    <w:nsid w:val="53B2564F"/>
    <w:multiLevelType w:val="hybridMultilevel"/>
    <w:lvl w:ilvl="0">
      <w:lvlJc w:val="left"/>
      <w:lvlText w:val="(%1)"/>
      <w:numFmt w:val="lowerLetter"/>
      <w:start w:val="4"/>
    </w:lvl>
  </w:abstractNum>
  <w:abstractNum w:abstractNumId="176">
    <w:nsid w:val="75509D76"/>
    <w:multiLevelType w:val="hybridMultilevel"/>
    <w:lvl w:ilvl="0">
      <w:lvlJc w:val="left"/>
      <w:lvlText w:val="(%1)"/>
      <w:numFmt w:val="lowerLetter"/>
      <w:start w:val="3"/>
    </w:lvl>
  </w:abstractNum>
  <w:abstractNum w:abstractNumId="177">
    <w:nsid w:val="1AF7F0EA"/>
    <w:multiLevelType w:val="hybridMultilevel"/>
    <w:lvl w:ilvl="0">
      <w:lvlJc w:val="left"/>
      <w:lvlText w:val="(%1)"/>
      <w:numFmt w:val="lowerLetter"/>
      <w:start w:val="25"/>
    </w:lvl>
  </w:abstractNum>
  <w:abstractNum w:abstractNumId="178">
    <w:nsid w:val="4DA32C7E"/>
    <w:multiLevelType w:val="hybridMultilevel"/>
    <w:lvl w:ilvl="0">
      <w:lvlJc w:val="left"/>
      <w:lvlText w:val="(%1)"/>
      <w:numFmt w:val="lowerLetter"/>
      <w:start w:val="1"/>
    </w:lvl>
  </w:abstractNum>
  <w:abstractNum w:abstractNumId="179">
    <w:nsid w:val="6EC68664"/>
    <w:multiLevelType w:val="hybridMultilevel"/>
    <w:lvl w:ilvl="0">
      <w:lvlJc w:val="left"/>
      <w:lvlText w:val="(%1)"/>
      <w:numFmt w:val="decimal"/>
      <w:start w:val="1"/>
    </w:lvl>
  </w:abstractNum>
  <w:abstractNum w:abstractNumId="180">
    <w:nsid w:val="E0D31FF"/>
    <w:multiLevelType w:val="hybridMultilevel"/>
    <w:lvl w:ilvl="0">
      <w:lvlJc w:val="left"/>
      <w:lvlText w:val="(%1)"/>
      <w:numFmt w:val="decimal"/>
      <w:start w:val="2"/>
    </w:lvl>
  </w:abstractNum>
  <w:abstractNum w:abstractNumId="181">
    <w:nsid w:val="2FD0AD81"/>
    <w:multiLevelType w:val="hybridMultilevel"/>
    <w:lvl w:ilvl="0">
      <w:lvlJc w:val="left"/>
      <w:lvlText w:val="(%1)"/>
      <w:numFmt w:val="decimal"/>
      <w:start w:val="1"/>
    </w:lvl>
  </w:abstractNum>
  <w:abstractNum w:abstractNumId="182">
    <w:nsid w:val="1978EBEB"/>
    <w:multiLevelType w:val="hybridMultilevel"/>
    <w:lvl w:ilvl="0">
      <w:lvlJc w:val="left"/>
      <w:lvlText w:val="(%1)"/>
      <w:numFmt w:val="decimal"/>
      <w:start w:val="1"/>
    </w:lvl>
  </w:abstractNum>
  <w:abstractNum w:abstractNumId="183">
    <w:nsid w:val="52C12C61"/>
    <w:multiLevelType w:val="hybridMultilevel"/>
    <w:lvl w:ilvl="0">
      <w:lvlJc w:val="left"/>
      <w:lvlText w:val="(%1)"/>
      <w:numFmt w:val="decimal"/>
      <w:start w:val="2"/>
    </w:lvl>
  </w:abstractNum>
  <w:abstractNum w:abstractNumId="184">
    <w:nsid w:val="4BDD53FD"/>
    <w:multiLevelType w:val="hybridMultilevel"/>
    <w:lvl w:ilvl="0">
      <w:lvlJc w:val="left"/>
      <w:lvlText w:val="(%1)"/>
      <w:numFmt w:val="lowerLetter"/>
      <w:start w:val="1"/>
    </w:lvl>
  </w:abstractNum>
  <w:abstractNum w:abstractNumId="185">
    <w:nsid w:val="569951FE"/>
    <w:multiLevelType w:val="hybridMultilevel"/>
    <w:lvl w:ilvl="0">
      <w:lvlJc w:val="left"/>
      <w:lvlText w:val="(%1)"/>
      <w:numFmt w:val="lowerLetter"/>
      <w:start w:val="3"/>
    </w:lvl>
  </w:abstractNum>
  <w:abstractNum w:abstractNumId="186">
    <w:nsid w:val="4C54E2C3"/>
    <w:multiLevelType w:val="hybridMultilevel"/>
    <w:lvl w:ilvl="0">
      <w:lvlJc w:val="left"/>
      <w:lvlText w:val="(%1)"/>
      <w:numFmt w:val="decimal"/>
      <w:start w:val="1"/>
    </w:lvl>
  </w:abstractNum>
  <w:abstractNum w:abstractNumId="187">
    <w:nsid w:val="788BD9B"/>
    <w:multiLevelType w:val="hybridMultilevel"/>
    <w:lvl w:ilvl="0">
      <w:lvlJc w:val="left"/>
      <w:lvlText w:val="(%1)"/>
      <w:numFmt w:val="upperLetter"/>
      <w:start w:val="1"/>
    </w:lvl>
  </w:abstractNum>
  <w:abstractNum w:abstractNumId="188">
    <w:nsid w:val="47CAA567"/>
    <w:multiLevelType w:val="hybridMultilevel"/>
    <w:lvl w:ilvl="0">
      <w:lvlJc w:val="left"/>
      <w:lvlText w:val="(%1)"/>
      <w:numFmt w:val="upperLetter"/>
      <w:start w:val="3"/>
    </w:lvl>
  </w:abstractNum>
  <w:abstractNum w:abstractNumId="189">
    <w:nsid w:val="48249DBF"/>
    <w:multiLevelType w:val="hybridMultilevel"/>
    <w:lvl w:ilvl="0">
      <w:lvlJc w:val="left"/>
      <w:lvlText w:val="(%1)"/>
      <w:numFmt w:val="decimal"/>
      <w:start w:val="1"/>
    </w:lvl>
  </w:abstractNum>
  <w:abstractNum w:abstractNumId="190">
    <w:nsid w:val="1F0E5D0D"/>
    <w:multiLevelType w:val="hybridMultilevel"/>
    <w:lvl w:ilvl="0">
      <w:lvlJc w:val="left"/>
      <w:lvlText w:val="(%1)"/>
      <w:numFmt w:val="decimal"/>
      <w:start w:val="8"/>
    </w:lvl>
  </w:abstractNum>
  <w:abstractNum w:abstractNumId="191">
    <w:nsid w:val="26BAAE9"/>
    <w:multiLevelType w:val="hybridMultilevel"/>
    <w:lvl w:ilvl="0">
      <w:lvlJc w:val="left"/>
      <w:lvlText w:val="%1"/>
      <w:numFmt w:val="lowerLetter"/>
      <w:start w:val="1"/>
    </w:lvl>
    <w:lvl w:ilvl="1">
      <w:lvlJc w:val="left"/>
      <w:lvlText w:val="(%2)"/>
      <w:numFmt w:val="decimal"/>
      <w:start w:val="1"/>
    </w:lvl>
  </w:abstractNum>
  <w:abstractNum w:abstractNumId="192">
    <w:nsid w:val="2C02FE8C"/>
    <w:multiLevelType w:val="hybridMultilevel"/>
    <w:lvl w:ilvl="0">
      <w:lvlJc w:val="left"/>
      <w:lvlText w:val="(%1)"/>
      <w:numFmt w:val="lowerLetter"/>
      <w:start w:val="2"/>
    </w:lvl>
    <w:lvl w:ilvl="1">
      <w:lvlJc w:val="left"/>
      <w:lvlText w:val="%2"/>
      <w:numFmt w:val="decimal"/>
      <w:start w:val="1"/>
    </w:lvl>
  </w:abstractNum>
  <w:abstractNum w:abstractNumId="193">
    <w:nsid w:val="129517E"/>
    <w:multiLevelType w:val="hybridMultilevel"/>
    <w:lvl w:ilvl="0">
      <w:lvlJc w:val="left"/>
      <w:lvlText w:val="%1"/>
      <w:numFmt w:val="lowerLetter"/>
      <w:start w:val="1"/>
    </w:lvl>
    <w:lvl w:ilvl="1">
      <w:lvlJc w:val="left"/>
      <w:lvlText w:val="(%2)"/>
      <w:numFmt w:val="decimal"/>
      <w:start w:val="1"/>
    </w:lvl>
  </w:abstractNum>
  <w:abstractNum w:abstractNumId="194">
    <w:nsid w:val="763B8C4E"/>
    <w:multiLevelType w:val="hybridMultilevel"/>
    <w:lvl w:ilvl="0">
      <w:lvlJc w:val="left"/>
      <w:lvlText w:val="(%1)"/>
      <w:numFmt w:val="lowerLetter"/>
      <w:start w:val="4"/>
    </w:lvl>
    <w:lvl w:ilvl="1">
      <w:lvlJc w:val="left"/>
      <w:lvlText w:val="%2"/>
      <w:numFmt w:val="decimal"/>
      <w:start w:val="1"/>
    </w:lvl>
  </w:abstractNum>
  <w:abstractNum w:abstractNumId="195">
    <w:nsid w:val="4CFB8D32"/>
    <w:multiLevelType w:val="hybridMultilevel"/>
    <w:lvl w:ilvl="0">
      <w:lvlJc w:val="left"/>
      <w:lvlText w:val="(%1)"/>
      <w:numFmt w:val="lowerLetter"/>
      <w:start w:val="1"/>
    </w:lvl>
  </w:abstractNum>
  <w:abstractNum w:abstractNumId="196">
    <w:nsid w:val="62A5D5BD"/>
    <w:multiLevelType w:val="hybridMultilevel"/>
    <w:lvl w:ilvl="0">
      <w:lvlJc w:val="left"/>
      <w:lvlText w:val="(%1)"/>
      <w:numFmt w:val="lowerLetter"/>
      <w:start w:val="3"/>
    </w:lvl>
  </w:abstractNum>
  <w:abstractNum w:abstractNumId="197">
    <w:nsid w:val="718FABF9"/>
    <w:multiLevelType w:val="hybridMultilevel"/>
    <w:lvl w:ilvl="0">
      <w:lvlJc w:val="left"/>
      <w:lvlText w:val="(%1)"/>
      <w:numFmt w:val="lowerRoman"/>
      <w:start w:val="1"/>
    </w:lvl>
  </w:abstractNum>
  <w:abstractNum w:abstractNumId="198">
    <w:nsid w:val="7775797C"/>
    <w:multiLevelType w:val="hybridMultilevel"/>
    <w:lvl w:ilvl="0">
      <w:lvlJc w:val="left"/>
      <w:lvlText w:val="(%1)"/>
      <w:numFmt w:val="lowerLetter"/>
      <w:start w:val="1"/>
    </w:lvl>
  </w:abstractNum>
  <w:abstractNum w:abstractNumId="199">
    <w:nsid w:val="1626FB8C"/>
    <w:multiLevelType w:val="hybridMultilevel"/>
    <w:lvl w:ilvl="0">
      <w:lvlJc w:val="left"/>
      <w:lvlText w:val="(%1)"/>
      <w:numFmt w:val="lowerLetter"/>
      <w:start w:val="1"/>
    </w:lvl>
  </w:abstractNum>
  <w:abstractNum w:abstractNumId="200">
    <w:nsid w:val="3957756A"/>
    <w:multiLevelType w:val="hybridMultilevel"/>
    <w:lvl w:ilvl="0">
      <w:lvlJc w:val="left"/>
      <w:lvlText w:val="(%1)"/>
      <w:numFmt w:val="lowerLetter"/>
      <w:start w:val="4"/>
    </w:lvl>
  </w:abstractNum>
  <w:abstractNum w:abstractNumId="201">
    <w:nsid w:val="3E6DA1C7"/>
    <w:multiLevelType w:val="hybridMultilevel"/>
    <w:lvl w:ilvl="0">
      <w:lvlJc w:val="left"/>
      <w:lvlText w:val="(%1)"/>
      <w:numFmt w:val="lowerRoman"/>
      <w:start w:val="1"/>
    </w:lvl>
  </w:abstractNum>
  <w:abstractNum w:abstractNumId="202">
    <w:nsid w:val="65CA235B"/>
    <w:multiLevelType w:val="hybridMultilevel"/>
    <w:lvl w:ilvl="0">
      <w:lvlJc w:val="left"/>
      <w:lvlText w:val="(%1)"/>
      <w:numFmt w:val="lowerRoman"/>
      <w:start w:val="8"/>
    </w:lvl>
  </w:abstractNum>
  <w:abstractNum w:abstractNumId="203">
    <w:nsid w:val="51CB0DA4"/>
    <w:multiLevelType w:val="hybridMultilevel"/>
    <w:lvl w:ilvl="0">
      <w:lvlJc w:val="left"/>
      <w:lvlText w:val="(%1)"/>
      <w:numFmt w:val="lowerRoman"/>
      <w:start w:val="16"/>
    </w:lvl>
  </w:abstractNum>
  <w:abstractNum w:abstractNumId="204">
    <w:nsid w:val="7B9B743C"/>
    <w:multiLevelType w:val="hybridMultilevel"/>
    <w:lvl w:ilvl="0">
      <w:lvlJc w:val="left"/>
      <w:lvlText w:val="(%1)"/>
      <w:numFmt w:val="lowerLetter"/>
      <w:start w:val="1"/>
    </w:lvl>
  </w:abstractNum>
  <w:abstractNum w:abstractNumId="205">
    <w:nsid w:val="13E21002"/>
    <w:multiLevelType w:val="hybridMultilevel"/>
    <w:lvl w:ilvl="0">
      <w:lvlJc w:val="left"/>
      <w:lvlText w:val="(%1)"/>
      <w:numFmt w:val="lowerLetter"/>
      <w:start w:val="5"/>
    </w:lvl>
  </w:abstractNum>
  <w:abstractNum w:abstractNumId="206">
    <w:nsid w:val="257D63F4"/>
    <w:multiLevelType w:val="hybridMultilevel"/>
    <w:lvl w:ilvl="0">
      <w:lvlJc w:val="left"/>
      <w:lvlText w:val="(%1)"/>
      <w:numFmt w:val="lowerLetter"/>
      <w:start w:val="1"/>
    </w:lvl>
  </w:abstractNum>
  <w:abstractNum w:abstractNumId="207">
    <w:nsid w:val="70EC11B2"/>
    <w:multiLevelType w:val="hybridMultilevel"/>
    <w:lvl w:ilvl="0">
      <w:lvlJc w:val="left"/>
      <w:lvlText w:val="(%1)"/>
      <w:numFmt w:val="lowerLetter"/>
      <w:start w:val="9"/>
    </w:lvl>
  </w:abstractNum>
  <w:abstractNum w:abstractNumId="208">
    <w:nsid w:val="2EDA00ED"/>
    <w:multiLevelType w:val="hybridMultilevel"/>
    <w:lvl w:ilvl="0">
      <w:lvlJc w:val="left"/>
      <w:lvlText w:val="(%1)"/>
      <w:numFmt w:val="lowerLetter"/>
      <w:start w:val="1"/>
    </w:lvl>
  </w:abstractNum>
  <w:abstractNum w:abstractNumId="209">
    <w:nsid w:val="73209072"/>
    <w:multiLevelType w:val="hybridMultilevel"/>
    <w:lvl w:ilvl="0">
      <w:lvlJc w:val="left"/>
      <w:lvlText w:val="(%1)"/>
      <w:numFmt w:val="lowerLetter"/>
      <w:start w:val="3"/>
    </w:lvl>
  </w:abstractNum>
  <w:abstractNum w:abstractNumId="210">
    <w:nsid w:val="5FB29816"/>
    <w:multiLevelType w:val="hybridMultilevel"/>
    <w:lvl w:ilvl="0">
      <w:lvlJc w:val="left"/>
      <w:lvlText w:val="(%1)"/>
      <w:numFmt w:val="lowerLetter"/>
      <w:start w:val="2"/>
    </w:lvl>
  </w:abstractNum>
  <w:abstractNum w:abstractNumId="211">
    <w:nsid w:val="3CE732EC"/>
    <w:multiLevelType w:val="hybridMultilevel"/>
    <w:lvl w:ilvl="0">
      <w:lvlJc w:val="left"/>
      <w:lvlText w:val="(%1)"/>
      <w:numFmt w:val="decimal"/>
      <w:start w:val="1"/>
    </w:lvl>
  </w:abstractNum>
  <w:abstractNum w:abstractNumId="212">
    <w:nsid w:val="22F13DF3"/>
    <w:multiLevelType w:val="hybridMultilevel"/>
    <w:lvl w:ilvl="0">
      <w:lvlJc w:val="left"/>
      <w:lvlText w:val="(%1)"/>
      <w:numFmt w:val="decimal"/>
      <w:start w:val="1"/>
    </w:lvl>
  </w:abstractNum>
  <w:abstractNum w:abstractNumId="213">
    <w:nsid w:val="792B8401"/>
    <w:multiLevelType w:val="hybridMultilevel"/>
    <w:lvl w:ilvl="0">
      <w:lvlJc w:val="left"/>
      <w:lvlText w:val="(%1)"/>
      <w:numFmt w:val="decimal"/>
      <w:start w:val="6"/>
    </w:lvl>
    <w:lvl w:ilvl="1">
      <w:lvlJc w:val="left"/>
      <w:lvlText w:val="(%2)"/>
      <w:numFmt w:val="upperLetter"/>
      <w:start w:val="1"/>
    </w:lvl>
  </w:abstractNum>
  <w:abstractNum w:abstractNumId="214">
    <w:nsid w:val="FA85F4D"/>
    <w:multiLevelType w:val="hybridMultilevel"/>
    <w:lvl w:ilvl="0">
      <w:lvlJc w:val="left"/>
      <w:lvlText w:val="(%1)"/>
      <w:numFmt w:val="lowerLetter"/>
      <w:start w:val="1"/>
    </w:lvl>
  </w:abstractNum>
  <w:abstractNum w:abstractNumId="215">
    <w:nsid w:val="6ECE91F0"/>
    <w:multiLevelType w:val="hybridMultilevel"/>
    <w:lvl w:ilvl="0">
      <w:lvlJc w:val="left"/>
      <w:lvlText w:val="(%1)"/>
      <w:numFmt w:val="decimal"/>
      <w:start w:val="1"/>
    </w:lvl>
  </w:abstractNum>
  <w:abstractNum w:abstractNumId="216">
    <w:nsid w:val="4FC4D600"/>
    <w:multiLevelType w:val="hybridMultilevel"/>
    <w:lvl w:ilvl="0">
      <w:lvlJc w:val="left"/>
      <w:lvlText w:val="(%1)"/>
      <w:numFmt w:val="upperLetter"/>
      <w:start w:val="1"/>
    </w:lvl>
  </w:abstractNum>
  <w:abstractNum w:abstractNumId="217">
    <w:nsid w:val="5BFD4210"/>
    <w:multiLevelType w:val="hybridMultilevel"/>
    <w:lvl w:ilvl="0">
      <w:lvlJc w:val="left"/>
      <w:lvlText w:val="(%1)"/>
      <w:numFmt w:val="decimal"/>
      <w:start w:val="2"/>
    </w:lvl>
  </w:abstractNum>
  <w:abstractNum w:abstractNumId="218">
    <w:nsid w:val="76574F8B"/>
    <w:multiLevelType w:val="hybridMultilevel"/>
    <w:lvl w:ilvl="0">
      <w:lvlJc w:val="left"/>
      <w:lvlText w:val="(%1)"/>
      <w:numFmt w:val="decimal"/>
      <w:start w:val="1"/>
    </w:lvl>
  </w:abstractNum>
  <w:abstractNum w:abstractNumId="219">
    <w:nsid w:val="178F7B67"/>
    <w:multiLevelType w:val="hybridMultilevel"/>
    <w:lvl w:ilvl="0">
      <w:lvlJc w:val="left"/>
      <w:lvlText w:val="(%1)"/>
      <w:numFmt w:val="lowerLetter"/>
      <w:start w:val="2"/>
    </w:lvl>
  </w:abstractNum>
  <w:abstractNum w:abstractNumId="220">
    <w:nsid w:val="2421DFCF"/>
    <w:multiLevelType w:val="hybridMultilevel"/>
    <w:lvl w:ilvl="0">
      <w:lvlJc w:val="left"/>
      <w:lvlText w:val="(%1)"/>
      <w:numFmt w:val="lowerLetter"/>
      <w:start w:val="1"/>
    </w:lvl>
  </w:abstractNum>
  <w:abstractNum w:abstractNumId="221">
    <w:nsid w:val="1565AC99"/>
    <w:multiLevelType w:val="hybridMultilevel"/>
    <w:lvl w:ilvl="0">
      <w:lvlJc w:val="left"/>
      <w:lvlText w:val="(%1)"/>
      <w:numFmt w:val="lowerLetter"/>
      <w:start w:val="3"/>
    </w:lvl>
  </w:abstractNum>
  <w:abstractNum w:abstractNumId="222">
    <w:nsid w:val="19FB2650"/>
    <w:multiLevelType w:val="hybridMultilevel"/>
    <w:lvl w:ilvl="0">
      <w:lvlJc w:val="left"/>
      <w:lvlText w:val="(%1)"/>
      <w:numFmt w:val="decimal"/>
      <w:start w:val="1"/>
    </w:lvl>
  </w:abstractNum>
  <w:abstractNum w:abstractNumId="223">
    <w:nsid w:val="5024DE5B"/>
    <w:multiLevelType w:val="hybridMultilevel"/>
    <w:lvl w:ilvl="0">
      <w:lvlJc w:val="left"/>
      <w:lvlText w:val="(%1)"/>
      <w:numFmt w:val="decimal"/>
      <w:start w:val="4"/>
    </w:lvl>
  </w:abstractNum>
  <w:abstractNum w:abstractNumId="224">
    <w:nsid w:val="168EFE17"/>
    <w:multiLevelType w:val="hybridMultilevel"/>
    <w:lvl w:ilvl="0">
      <w:lvlJc w:val="left"/>
      <w:lvlText w:val="(%1)"/>
      <w:numFmt w:val="decimal"/>
      <w:start w:val="13"/>
    </w:lvl>
  </w:abstractNum>
  <w:abstractNum w:abstractNumId="225">
    <w:nsid w:val="1036B29F"/>
    <w:multiLevelType w:val="hybridMultilevel"/>
    <w:lvl w:ilvl="0">
      <w:lvlJc w:val="left"/>
      <w:lvlText w:val="(%1)"/>
      <w:numFmt w:val="lowerLetter"/>
      <w:start w:val="1"/>
    </w:lvl>
  </w:abstractNum>
  <w:abstractNum w:abstractNumId="226">
    <w:nsid w:val="1D206B8E"/>
    <w:multiLevelType w:val="hybridMultilevel"/>
    <w:lvl w:ilvl="0">
      <w:lvlJc w:val="left"/>
      <w:lvlText w:val="(%1)"/>
      <w:numFmt w:val="decimal"/>
      <w:start w:val="1"/>
    </w:lvl>
  </w:abstractNum>
  <w:abstractNum w:abstractNumId="227">
    <w:nsid w:val="7934D3D4"/>
    <w:multiLevelType w:val="hybridMultilevel"/>
    <w:lvl w:ilvl="0">
      <w:lvlJc w:val="left"/>
      <w:lvlText w:val="(%1)"/>
      <w:numFmt w:val="decimal"/>
      <w:start w:val="2"/>
    </w:lvl>
  </w:abstractNum>
  <w:abstractNum w:abstractNumId="228">
    <w:nsid w:val="1C65E98"/>
    <w:multiLevelType w:val="hybridMultilevel"/>
    <w:lvl w:ilvl="0">
      <w:lvlJc w:val="left"/>
      <w:lvlText w:val="(%1)"/>
      <w:numFmt w:val="decimal"/>
      <w:start w:val="1"/>
    </w:lvl>
    <w:lvl w:ilvl="1">
      <w:lvlJc w:val="left"/>
      <w:lvlText w:val="(%2)"/>
      <w:numFmt w:val="upperLetter"/>
      <w:start w:val="1"/>
    </w:lvl>
  </w:abstractNum>
  <w:abstractNum w:abstractNumId="229">
    <w:nsid w:val="1495E50A"/>
    <w:multiLevelType w:val="hybridMultilevel"/>
    <w:lvl w:ilvl="0">
      <w:lvlJc w:val="left"/>
      <w:lvlText w:val="(%1)"/>
      <w:numFmt w:val="decimal"/>
      <w:start w:val="1"/>
    </w:lvl>
    <w:lvl w:ilvl="1">
      <w:lvlJc w:val="left"/>
      <w:lvlText w:val="(%2)"/>
      <w:numFmt w:val="upperLetter"/>
      <w:start w:val="1"/>
    </w:lvl>
  </w:abstractNum>
  <w:abstractNum w:abstractNumId="230">
    <w:nsid w:val="F5BCF61"/>
    <w:multiLevelType w:val="hybridMultilevel"/>
    <w:lvl w:ilvl="0">
      <w:lvlJc w:val="left"/>
      <w:lvlText w:val="(%1)"/>
      <w:numFmt w:val="decimal"/>
      <w:start w:val="3"/>
    </w:lvl>
  </w:abstractNum>
  <w:abstractNum w:abstractNumId="231">
    <w:nsid w:val="3B1DD403"/>
    <w:multiLevelType w:val="hybridMultilevel"/>
    <w:lvl w:ilvl="0">
      <w:lvlJc w:val="left"/>
      <w:lvlText w:val="(%1)"/>
      <w:numFmt w:val="decimal"/>
      <w:start w:val="1"/>
    </w:lvl>
  </w:abstractNum>
  <w:abstractNum w:abstractNumId="232">
    <w:nsid w:val="530386D1"/>
    <w:multiLevelType w:val="hybridMultilevel"/>
    <w:lvl w:ilvl="0">
      <w:lvlJc w:val="left"/>
      <w:lvlText w:val="(%1)"/>
      <w:numFmt w:val="decimal"/>
      <w:start w:val="2"/>
    </w:lvl>
  </w:abstractNum>
  <w:abstractNum w:abstractNumId="233">
    <w:nsid w:val="7525F2BC"/>
    <w:multiLevelType w:val="hybridMultilevel"/>
    <w:lvl w:ilvl="0">
      <w:lvlJc w:val="left"/>
      <w:lvlText w:val="(%1)"/>
      <w:numFmt w:val="upperLetter"/>
      <w:start w:val="1"/>
    </w:lvl>
  </w:abstractNum>
  <w:abstractNum w:abstractNumId="234">
    <w:nsid w:val="CE8E1A7"/>
    <w:multiLevelType w:val="hybridMultilevel"/>
    <w:lvl w:ilvl="0">
      <w:lvlJc w:val="left"/>
      <w:lvlText w:val="%1"/>
      <w:numFmt w:val="upperLetter"/>
      <w:start w:val="1"/>
    </w:lvl>
    <w:lvl w:ilvl="1">
      <w:lvlJc w:val="left"/>
      <w:lvlText w:val="(%2)"/>
      <w:numFmt w:val="decimal"/>
      <w:start w:val="1"/>
    </w:lvl>
  </w:abstractNum>
  <w:abstractNum w:abstractNumId="235">
    <w:nsid w:val="4E9EFB0D"/>
    <w:multiLevelType w:val="hybridMultilevel"/>
    <w:lvl w:ilvl="0">
      <w:lvlJc w:val="left"/>
      <w:lvlText w:val="(%1)"/>
      <w:numFmt w:val="upperLetter"/>
      <w:start w:val="1"/>
    </w:lvl>
    <w:lvl w:ilvl="1">
      <w:lvlJc w:val="left"/>
      <w:lvlText w:val="%2"/>
      <w:numFmt w:val="decimal"/>
      <w:start w:val="1"/>
    </w:lvl>
  </w:abstractNum>
  <w:abstractNum w:abstractNumId="236">
    <w:nsid w:val="90802BE"/>
    <w:multiLevelType w:val="hybridMultilevel"/>
    <w:lvl w:ilvl="0">
      <w:lvlJc w:val="left"/>
      <w:lvlText w:val="(%1)"/>
      <w:numFmt w:val="decimal"/>
      <w:start w:val="2"/>
    </w:lvl>
  </w:abstractNum>
  <w:abstractNum w:abstractNumId="237">
    <w:nsid w:val="3266459B"/>
    <w:multiLevelType w:val="hybridMultilevel"/>
    <w:lvl w:ilvl="0">
      <w:lvlJc w:val="left"/>
      <w:lvlText w:val="(%1)"/>
      <w:numFmt w:val="lowerLetter"/>
      <w:start w:val="2"/>
    </w:lvl>
  </w:abstractNum>
  <w:abstractNum w:abstractNumId="238">
    <w:nsid w:val="3F8B0CBF"/>
    <w:multiLevelType w:val="hybridMultilevel"/>
    <w:lvl w:ilvl="0">
      <w:lvlJc w:val="left"/>
      <w:lvlText w:val="(%1)"/>
      <w:numFmt w:val="lowerLetter"/>
      <w:start w:val="1"/>
    </w:lvl>
  </w:abstractNum>
  <w:abstractNum w:abstractNumId="239">
    <w:nsid w:val="37E203AB"/>
    <w:multiLevelType w:val="hybridMultilevel"/>
    <w:lvl w:ilvl="0">
      <w:lvlJc w:val="left"/>
      <w:lvlText w:val="(%1)"/>
      <w:numFmt w:val="lowerLetter"/>
      <w:start w:val="8"/>
    </w:lvl>
  </w:abstractNum>
  <w:abstractNum w:abstractNumId="240">
    <w:nsid w:val="2586D60E"/>
    <w:multiLevelType w:val="hybridMultilevel"/>
    <w:lvl w:ilvl="0">
      <w:lvlJc w:val="left"/>
      <w:lvlText w:val="(%1)"/>
      <w:numFmt w:val="lowerLetter"/>
      <w:start w:val="1"/>
    </w:lvl>
  </w:abstractNum>
  <w:abstractNum w:abstractNumId="241">
    <w:nsid w:val="1F3DA4D5"/>
    <w:multiLevelType w:val="hybridMultilevel"/>
    <w:lvl w:ilvl="0">
      <w:lvlJc w:val="left"/>
      <w:lvlText w:val="(%1)"/>
      <w:numFmt w:val="upperLetter"/>
      <w:start w:val="1"/>
    </w:lvl>
  </w:abstractNum>
  <w:abstractNum w:abstractNumId="242">
    <w:nsid w:val="74C93698"/>
    <w:multiLevelType w:val="hybridMultilevel"/>
    <w:lvl w:ilvl="0">
      <w:lvlJc w:val="left"/>
      <w:lvlText w:val="(%1)"/>
      <w:numFmt w:val="lowerLetter"/>
      <w:start w:val="24"/>
    </w:lvl>
  </w:abstractNum>
  <w:abstractNum w:abstractNumId="243">
    <w:nsid w:val="48781401"/>
    <w:multiLevelType w:val="hybridMultilevel"/>
    <w:lvl w:ilvl="0">
      <w:lvlJc w:val="left"/>
      <w:lvlText w:val="(%1)"/>
      <w:numFmt w:val="lowerRoman"/>
      <w:start w:val="1"/>
    </w:lvl>
  </w:abstractNum>
  <w:abstractNum w:abstractNumId="244">
    <w:nsid w:val="186928D6"/>
    <w:multiLevelType w:val="hybridMultilevel"/>
    <w:lvl w:ilvl="0">
      <w:lvlJc w:val="left"/>
      <w:lvlText w:val="(%1)"/>
      <w:numFmt w:val="lowerLetter"/>
      <w:start w:val="10"/>
    </w:lvl>
  </w:abstractNum>
  <w:abstractNum w:abstractNumId="245">
    <w:nsid w:val="47195E5"/>
    <w:multiLevelType w:val="hybridMultilevel"/>
    <w:lvl w:ilvl="0">
      <w:lvlJc w:val="left"/>
      <w:lvlText w:val="(%1)"/>
      <w:numFmt w:val="lowerLetter"/>
      <w:start w:val="2"/>
    </w:lvl>
  </w:abstractNum>
  <w:abstractNum w:abstractNumId="246">
    <w:nsid w:val="3746A5F2"/>
    <w:multiLevelType w:val="hybridMultilevel"/>
    <w:lvl w:ilvl="0">
      <w:lvlJc w:val="left"/>
      <w:lvlText w:val="(%1)"/>
      <w:numFmt w:val="lowerLetter"/>
      <w:start w:val="5"/>
    </w:lvl>
  </w:abstractNum>
  <w:abstractNum w:abstractNumId="247">
    <w:nsid w:val="682DFED6"/>
    <w:multiLevelType w:val="hybridMultilevel"/>
    <w:lvl w:ilvl="0">
      <w:lvlJc w:val="left"/>
      <w:lvlText w:val="(%1)"/>
      <w:numFmt w:val="decimal"/>
      <w:start w:val="1"/>
    </w:lvl>
  </w:abstractNum>
  <w:abstractNum w:abstractNumId="248">
    <w:nsid w:val="606ED7F6"/>
    <w:multiLevelType w:val="hybridMultilevel"/>
    <w:lvl w:ilvl="0">
      <w:lvlJc w:val="left"/>
      <w:lvlText w:val="(%1)"/>
      <w:numFmt w:val="decimal"/>
      <w:start w:val="4"/>
    </w:lvl>
  </w:abstractNum>
  <w:abstractNum w:abstractNumId="249">
    <w:nsid w:val="2D9DF57D"/>
    <w:multiLevelType w:val="hybridMultilevel"/>
    <w:lvl w:ilvl="0">
      <w:lvlJc w:val="left"/>
      <w:lvlText w:val="(%1)"/>
      <w:numFmt w:val="lowerLetter"/>
      <w:start w:val="2"/>
    </w:lvl>
  </w:abstractNum>
  <w:abstractNum w:abstractNumId="250">
    <w:nsid w:val="7FBD7A3E"/>
    <w:multiLevelType w:val="hybridMultilevel"/>
    <w:lvl w:ilvl="0">
      <w:lvlJc w:val="left"/>
      <w:lvlText w:val="(%1)"/>
      <w:numFmt w:val="lowerLetter"/>
      <w:start w:val="3"/>
    </w:lvl>
  </w:abstractNum>
  <w:abstractNum w:abstractNumId="251">
    <w:nsid w:val="490B7C5"/>
    <w:multiLevelType w:val="hybridMultilevel"/>
    <w:lvl w:ilvl="0">
      <w:lvlJc w:val="left"/>
      <w:lvlText w:val="(%1)"/>
      <w:numFmt w:val="lowerLetter"/>
      <w:start w:val="4"/>
    </w:lvl>
  </w:abstractNum>
  <w:abstractNum w:abstractNumId="252">
    <w:nsid w:val="4303A216"/>
    <w:multiLevelType w:val="hybridMultilevel"/>
    <w:lvl w:ilvl="0">
      <w:lvlJc w:val="left"/>
      <w:lvlText w:val="(%1)"/>
      <w:numFmt w:val="lowerLetter"/>
      <w:start w:val="6"/>
    </w:lvl>
  </w:abstractNum>
  <w:abstractNum w:abstractNumId="253">
    <w:nsid w:val="19B8A08E"/>
    <w:multiLevelType w:val="hybridMultilevel"/>
    <w:lvl w:ilvl="0">
      <w:lvlJc w:val="left"/>
      <w:lvlText w:val="(%1)"/>
      <w:numFmt w:val="lowerLetter"/>
      <w:start w:val="7"/>
    </w:lvl>
  </w:abstractNum>
  <w:abstractNum w:abstractNumId="254">
    <w:nsid w:val="54B59621"/>
    <w:multiLevelType w:val="hybridMultilevel"/>
    <w:lvl w:ilvl="0">
      <w:lvlJc w:val="left"/>
      <w:lvlText w:val="%1"/>
      <w:numFmt w:val="lowerLetter"/>
      <w:start w:val="1"/>
    </w:lvl>
    <w:lvl w:ilvl="1">
      <w:lvlJc w:val="left"/>
      <w:lvlText w:val="(%2)"/>
      <w:numFmt w:val="lowerLetter"/>
      <w:start w:val="8"/>
    </w:lvl>
  </w:abstractNum>
  <w:abstractNum w:abstractNumId="255">
    <w:nsid w:val="5992A02E"/>
    <w:multiLevelType w:val="hybridMultilevel"/>
    <w:lvl w:ilvl="0">
      <w:lvlJc w:val="left"/>
      <w:lvlText w:val="(%1)"/>
      <w:numFmt w:val="lowerLetter"/>
      <w:start w:val="5"/>
    </w:lvl>
    <w:lvl w:ilvl="1">
      <w:lvlJc w:val="left"/>
      <w:lvlText w:val="%2"/>
      <w:numFmt w:val="lowerLetter"/>
      <w:start w:val="1"/>
    </w:lvl>
  </w:abstractNum>
  <w:abstractNum w:abstractNumId="256">
    <w:nsid w:val="29EF532D"/>
    <w:multiLevelType w:val="hybridMultilevel"/>
    <w:lvl w:ilvl="0">
      <w:lvlJc w:val="left"/>
      <w:lvlText w:val="(%1)"/>
      <w:numFmt w:val="lowerLetter"/>
      <w:start w:val="5"/>
    </w:lvl>
    <w:lvl w:ilvl="1">
      <w:lvlJc w:val="left"/>
      <w:lvlText w:val="(%2)"/>
      <w:numFmt w:val="lowerLetter"/>
      <w:start w:val="9"/>
    </w:lvl>
  </w:abstractNum>
  <w:abstractNum w:abstractNumId="257">
    <w:nsid w:val="71D601AF"/>
    <w:multiLevelType w:val="hybridMultilevel"/>
    <w:lvl w:ilvl="0">
      <w:lvlJc w:val="left"/>
      <w:lvlText w:val="(%1)"/>
      <w:numFmt w:val="lowerLetter"/>
      <w:start w:val="8"/>
    </w:lvl>
    <w:lvl w:ilvl="1">
      <w:lvlJc w:val="left"/>
      <w:lvlText w:val="(%2)"/>
      <w:numFmt w:val="lowerLetter"/>
      <w:start w:val="11"/>
    </w:lvl>
  </w:abstractNum>
  <w:abstractNum w:abstractNumId="258">
    <w:nsid w:val="52C77402"/>
    <w:multiLevelType w:val="hybridMultilevel"/>
    <w:lvl w:ilvl="0">
      <w:lvlJc w:val="left"/>
      <w:lvlText w:val="(%1)"/>
      <w:numFmt w:val="lowerRoman"/>
      <w:start w:val="4"/>
    </w:lvl>
    <w:lvl w:ilvl="1">
      <w:lvlJc w:val="left"/>
      <w:lvlText w:val="(%2)"/>
      <w:numFmt w:val="lowerLetter"/>
      <w:start w:val="12"/>
    </w:lvl>
  </w:abstractNum>
  <w:abstractNum w:abstractNumId="259">
    <w:nsid w:val="2BB5B1C6"/>
    <w:multiLevelType w:val="hybridMultilevel"/>
    <w:lvl w:ilvl="0">
      <w:lvlJc w:val="left"/>
      <w:lvlText w:val="(%1)"/>
      <w:numFmt w:val="lowerLetter"/>
      <w:start w:val="2"/>
    </w:lvl>
    <w:lvl w:ilvl="1">
      <w:lvlJc w:val="left"/>
      <w:lvlText w:val="(%2)"/>
      <w:numFmt w:val="lowerLetter"/>
      <w:start w:val="35"/>
    </w:lvl>
  </w:abstractNum>
  <w:abstractNum w:abstractNumId="260">
    <w:nsid w:val="66BE6B9"/>
    <w:multiLevelType w:val="hybridMultilevel"/>
    <w:lvl w:ilvl="0">
      <w:lvlJc w:val="left"/>
      <w:lvlText w:val="(%1)"/>
      <w:numFmt w:val="lowerLetter"/>
      <w:start w:val="4"/>
    </w:lvl>
  </w:abstractNum>
  <w:abstractNum w:abstractNumId="261">
    <w:nsid w:val="62234363"/>
    <w:multiLevelType w:val="hybridMultilevel"/>
    <w:lvl w:ilvl="0">
      <w:lvlJc w:val="left"/>
      <w:lvlText w:val="(%1)"/>
      <w:numFmt w:val="lowerLetter"/>
      <w:start w:val="2"/>
    </w:lvl>
  </w:abstractNum>
  <w:abstractNum w:abstractNumId="262">
    <w:nsid w:val="66D385C9"/>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1"/>
    </w:lvl>
  </w:abstractNum>
  <w:abstractNum w:abstractNumId="263">
    <w:nsid w:val="596F6D8A"/>
    <w:multiLevelType w:val="hybridMultilevel"/>
    <w:lvl w:ilvl="0">
      <w:lvlJc w:val="left"/>
      <w:lvlText w:val="(%1)"/>
      <w:numFmt w:val="lowerLetter"/>
      <w:start w:val="35"/>
    </w:lvl>
    <w:lvl w:ilvl="1">
      <w:lvlJc w:val="left"/>
      <w:lvlText w:val="(%2)"/>
      <w:numFmt w:val="lowerLetter"/>
      <w:start w:val="3"/>
    </w:lvl>
    <w:lvl w:ilvl="2">
      <w:lvlJc w:val="left"/>
      <w:lvlText w:val="(%3)"/>
      <w:numFmt w:val="decimal"/>
      <w:start w:val="1"/>
    </w:lvl>
  </w:abstractNum>
  <w:abstractNum w:abstractNumId="264">
    <w:nsid w:val="5749361F"/>
    <w:multiLevelType w:val="hybridMultilevel"/>
    <w:lvl w:ilvl="0">
      <w:lvlJc w:val="left"/>
      <w:lvlText w:val="(%1)"/>
      <w:numFmt w:val="lowerLetter"/>
      <w:start w:val="4"/>
    </w:lvl>
  </w:abstractNum>
  <w:abstractNum w:abstractNumId="265">
    <w:nsid w:val="73BC6770"/>
    <w:multiLevelType w:val="hybridMultilevel"/>
    <w:lvl w:ilvl="0">
      <w:lvlJc w:val="left"/>
      <w:lvlText w:val="(%1)"/>
      <w:numFmt w:val="lowerLetter"/>
      <w:start w:val="2"/>
    </w:lvl>
  </w:abstractNum>
  <w:abstractNum w:abstractNumId="266">
    <w:nsid w:val="280E6897"/>
    <w:multiLevelType w:val="hybridMultilevel"/>
    <w:lvl w:ilvl="0">
      <w:lvlJc w:val="left"/>
      <w:lvlText w:val="(%1)"/>
      <w:numFmt w:val="lowerLetter"/>
      <w:start w:val="2"/>
    </w:lvl>
  </w:abstractNum>
  <w:abstractNum w:abstractNumId="267">
    <w:nsid w:val="605138DE"/>
    <w:multiLevelType w:val="hybridMultilevel"/>
    <w:lvl w:ilvl="0">
      <w:lvlJc w:val="left"/>
      <w:lvlText w:val="(%1)"/>
      <w:numFmt w:val="lowerLetter"/>
      <w:start w:val="2"/>
    </w:lvl>
  </w:abstractNum>
  <w:abstractNum w:abstractNumId="268">
    <w:nsid w:val="2622AD0C"/>
    <w:multiLevelType w:val="hybridMultilevel"/>
    <w:lvl w:ilvl="0">
      <w:lvlJc w:val="left"/>
      <w:lvlText w:val="(%1)"/>
      <w:numFmt w:val="lowerLetter"/>
      <w:start w:val="3"/>
    </w:lvl>
  </w:abstractNum>
  <w:abstractNum w:abstractNumId="269">
    <w:nsid w:val="67997556"/>
    <w:multiLevelType w:val="hybridMultilevel"/>
    <w:lvl w:ilvl="0">
      <w:lvlJc w:val="left"/>
      <w:lvlText w:val="(%1)"/>
      <w:numFmt w:val="lowerLetter"/>
      <w:start w:val="2"/>
    </w:lvl>
  </w:abstractNum>
  <w:abstractNum w:abstractNumId="270">
    <w:nsid w:val="18333C89"/>
    <w:multiLevelType w:val="hybridMultilevel"/>
    <w:lvl w:ilvl="0">
      <w:lvlJc w:val="left"/>
      <w:lvlText w:val="(%1)"/>
      <w:numFmt w:val="lowerLetter"/>
      <w:start w:val="3"/>
    </w:lvl>
  </w:abstractNum>
  <w:abstractNum w:abstractNumId="271">
    <w:nsid w:val="4BA9831A"/>
    <w:multiLevelType w:val="hybridMultilevel"/>
    <w:lvl w:ilvl="0">
      <w:lvlJc w:val="left"/>
      <w:lvlText w:val="(%1)"/>
      <w:numFmt w:val="lowerLetter"/>
      <w:start w:val="2"/>
    </w:lvl>
  </w:abstractNum>
  <w:abstractNum w:abstractNumId="272">
    <w:nsid w:val="6D71A2B"/>
    <w:multiLevelType w:val="hybridMultilevel"/>
    <w:lvl w:ilvl="0">
      <w:lvlJc w:val="left"/>
      <w:lvlText w:val="(%1)"/>
      <w:numFmt w:val="lowerLetter"/>
      <w:start w:val="6"/>
    </w:lvl>
  </w:abstractNum>
  <w:abstractNum w:abstractNumId="273">
    <w:nsid w:val="CFC7321"/>
    <w:multiLevelType w:val="hybridMultilevel"/>
    <w:lvl w:ilvl="0">
      <w:lvlJc w:val="left"/>
      <w:lvlText w:val="%1"/>
      <w:numFmt w:val="upperLetter"/>
      <w:start w:val="1"/>
    </w:lvl>
    <w:lvl w:ilvl="1">
      <w:lvlJc w:val="left"/>
      <w:lvlText w:val="(%2)"/>
      <w:numFmt w:val="decimal"/>
      <w:start w:val="1"/>
    </w:lvl>
  </w:abstractNum>
  <w:abstractNum w:abstractNumId="274">
    <w:nsid w:val="1421971B"/>
    <w:multiLevelType w:val="hybridMultilevel"/>
    <w:lvl w:ilvl="0">
      <w:lvlJc w:val="left"/>
      <w:lvlText w:val="(%1)"/>
      <w:numFmt w:val="upperLetter"/>
      <w:start w:val="1"/>
    </w:lvl>
    <w:lvl w:ilvl="1">
      <w:lvlJc w:val="left"/>
      <w:lvlText w:val="(%2)"/>
      <w:numFmt w:val="decimal"/>
      <w:start w:val="2"/>
    </w:lvl>
  </w:abstractNum>
  <w:abstractNum w:abstractNumId="275">
    <w:nsid w:val="1F404301"/>
    <w:multiLevelType w:val="hybridMultilevel"/>
    <w:lvl w:ilvl="0">
      <w:lvlJc w:val="left"/>
      <w:lvlText w:val="(%1)"/>
      <w:numFmt w:val="lowerLetter"/>
      <w:start w:val="2"/>
    </w:lvl>
  </w:abstractNum>
  <w:abstractNum w:abstractNumId="276">
    <w:nsid w:val="116E0907"/>
    <w:multiLevelType w:val="hybridMultilevel"/>
    <w:lvl w:ilvl="0">
      <w:lvlJc w:val="left"/>
      <w:lvlText w:val="(%1)"/>
      <w:numFmt w:val="decimal"/>
      <w:start w:val="2"/>
    </w:lvl>
  </w:abstractNum>
  <w:abstractNum w:abstractNumId="277">
    <w:nsid w:val="4B683D0D"/>
    <w:multiLevelType w:val="hybridMultilevel"/>
    <w:lvl w:ilvl="0">
      <w:lvlJc w:val="left"/>
      <w:lvlText w:val="(%1)"/>
      <w:numFmt w:val="decimal"/>
      <w:start w:val="4"/>
    </w:lvl>
  </w:abstractNum>
  <w:abstractNum w:abstractNumId="278">
    <w:nsid w:val="76E41D8"/>
    <w:multiLevelType w:val="hybridMultilevel"/>
    <w:lvl w:ilvl="0">
      <w:lvlJc w:val="left"/>
      <w:lvlText w:val="(%1)"/>
      <w:numFmt w:val="lowerRoman"/>
      <w:start w:val="1"/>
    </w:lvl>
  </w:abstractNum>
  <w:abstractNum w:abstractNumId="279">
    <w:nsid w:val="71DCE0FD"/>
    <w:multiLevelType w:val="hybridMultilevel"/>
    <w:lvl w:ilvl="0">
      <w:lvlJc w:val="left"/>
      <w:lvlText w:val="(%1)"/>
      <w:numFmt w:val="lowerLetter"/>
      <w:start w:val="2"/>
    </w:lvl>
  </w:abstractNum>
  <w:abstractNum w:abstractNumId="280">
    <w:nsid w:val="7906328B"/>
    <w:multiLevelType w:val="hybridMultilevel"/>
    <w:lvl w:ilvl="0">
      <w:lvlJc w:val="left"/>
      <w:lvlText w:val="(%1)"/>
      <w:numFmt w:val="lowerLetter"/>
      <w:start w:val="3"/>
    </w:lvl>
  </w:abstractNum>
  <w:abstractNum w:abstractNumId="281">
    <w:nsid w:val="72BBC16"/>
    <w:multiLevelType w:val="hybridMultilevel"/>
    <w:lvl w:ilvl="0">
      <w:lvlJc w:val="left"/>
      <w:lvlText w:val="(%1)"/>
      <w:numFmt w:val="lowerLetter"/>
      <w:start w:val="2"/>
    </w:lvl>
  </w:abstractNum>
  <w:abstractNum w:abstractNumId="282">
    <w:nsid w:val="766D98C2"/>
    <w:multiLevelType w:val="hybridMultilevel"/>
    <w:lvl w:ilvl="0">
      <w:lvlJc w:val="left"/>
      <w:lvlText w:val="(%1)"/>
      <w:numFmt w:val="lowerLetter"/>
      <w:start w:val="5"/>
    </w:lvl>
  </w:abstractNum>
  <w:abstractNum w:abstractNumId="283">
    <w:nsid w:val="3C09D4A1"/>
    <w:multiLevelType w:val="hybridMultilevel"/>
    <w:lvl w:ilvl="0">
      <w:lvlJc w:val="left"/>
      <w:lvlText w:val="(%1)"/>
      <w:numFmt w:val="lowerLetter"/>
      <w:start w:val="7"/>
    </w:lvl>
  </w:abstractNum>
  <w:abstractNum w:abstractNumId="284">
    <w:nsid w:val="20E45CA4"/>
    <w:multiLevelType w:val="hybridMultilevel"/>
    <w:lvl w:ilvl="0">
      <w:lvlJc w:val="left"/>
      <w:lvlText w:val="(%1)"/>
      <w:numFmt w:val="lowerLetter"/>
      <w:start w:val="2"/>
    </w:lvl>
  </w:abstractNum>
  <w:abstractNum w:abstractNumId="285">
    <w:nsid w:val="4B232EE3"/>
    <w:multiLevelType w:val="hybridMultilevel"/>
    <w:lvl w:ilvl="0">
      <w:lvlJc w:val="left"/>
      <w:lvlText w:val="(%1)"/>
      <w:numFmt w:val="lowerLetter"/>
      <w:start w:val="3"/>
    </w:lvl>
  </w:abstractNum>
  <w:abstractNum w:abstractNumId="286">
    <w:nsid w:val="159C74CF"/>
    <w:multiLevelType w:val="hybridMultilevel"/>
    <w:lvl w:ilvl="0">
      <w:lvlJc w:val="left"/>
      <w:lvlText w:val="(%1)"/>
      <w:numFmt w:val="lowerLetter"/>
      <w:start w:val="5"/>
    </w:lvl>
  </w:abstractNum>
  <w:abstractNum w:abstractNumId="287">
    <w:nsid w:val="4AD3AFD2"/>
    <w:multiLevelType w:val="hybridMultilevel"/>
    <w:lvl w:ilvl="0">
      <w:lvlJc w:val="left"/>
      <w:lvlText w:val="%1"/>
      <w:numFmt w:val="upperLetter"/>
      <w:start w:val="1"/>
    </w:lvl>
    <w:lvl w:ilvl="1">
      <w:lvlJc w:val="left"/>
      <w:lvlText w:val="(%2)"/>
      <w:numFmt w:val="lowerLetter"/>
      <w:start w:val="2"/>
    </w:lvl>
  </w:abstractNum>
  <w:abstractNum w:abstractNumId="288">
    <w:nsid w:val="3CF93092"/>
    <w:multiLevelType w:val="hybridMultilevel"/>
    <w:lvl w:ilvl="0">
      <w:lvlJc w:val="left"/>
      <w:lvlText w:val="(%1)"/>
      <w:numFmt w:val="upperLetter"/>
      <w:start w:val="2"/>
    </w:lvl>
    <w:lvl w:ilvl="1">
      <w:lvlJc w:val="left"/>
      <w:lvlText w:val="%2"/>
      <w:numFmt w:val="lowerLetter"/>
      <w:start w:val="1"/>
    </w:lvl>
  </w:abstractNum>
  <w:abstractNum w:abstractNumId="289">
    <w:nsid w:val="6863E8D2"/>
    <w:multiLevelType w:val="hybridMultilevel"/>
    <w:lvl w:ilvl="0">
      <w:lvlJc w:val="left"/>
      <w:lvlText w:val="(%1)"/>
      <w:numFmt w:val="lowerLetter"/>
      <w:start w:val="1"/>
    </w:lvl>
    <w:lvl w:ilvl="1">
      <w:lvlJc w:val="left"/>
      <w:lvlText w:val="(%2)"/>
      <w:numFmt w:val="lowerRoman"/>
      <w:start w:val="1"/>
    </w:lvl>
  </w:abstractNum>
  <w:abstractNum w:abstractNumId="290">
    <w:nsid w:val="76896198"/>
    <w:multiLevelType w:val="hybridMultilevel"/>
    <w:lvl w:ilvl="0">
      <w:lvlJc w:val="left"/>
      <w:lvlText w:val="%1"/>
      <w:numFmt w:val="lowerLetter"/>
      <w:start w:val="1"/>
    </w:lvl>
    <w:lvl w:ilvl="1">
      <w:lvlJc w:val="left"/>
      <w:lvlText w:val="(%2)"/>
      <w:numFmt w:val="lowerRoman"/>
      <w:start w:val="4"/>
    </w:lvl>
  </w:abstractNum>
  <w:abstractNum w:abstractNumId="291">
    <w:nsid w:val="4365174B"/>
    <w:multiLevelType w:val="hybridMultilevel"/>
    <w:lvl w:ilvl="0">
      <w:lvlJc w:val="left"/>
      <w:lvlText w:val="(%1)"/>
      <w:numFmt w:val="lowerLetter"/>
      <w:start w:val="4"/>
    </w:lvl>
    <w:lvl w:ilvl="1">
      <w:lvlJc w:val="left"/>
      <w:lvlText w:val="%2"/>
      <w:numFmt w:val="lowerRoman"/>
      <w:start w:val="1"/>
    </w:lvl>
  </w:abstractNum>
  <w:abstractNum w:abstractNumId="292">
    <w:nsid w:val="4A872C35"/>
    <w:multiLevelType w:val="hybridMultilevel"/>
    <w:lvl w:ilvl="0">
      <w:lvlJc w:val="left"/>
      <w:lvlText w:val="(%1)"/>
      <w:numFmt w:val="lowerLetter"/>
      <w:start w:val="2"/>
    </w:lvl>
  </w:abstractNum>
  <w:abstractNum w:abstractNumId="293">
    <w:nsid w:val="5D5CE761"/>
    <w:multiLevelType w:val="hybridMultilevel"/>
    <w:lvl w:ilvl="0">
      <w:lvlJc w:val="left"/>
      <w:lvlText w:val="(%1)"/>
      <w:numFmt w:val="lowerLetter"/>
      <w:start w:val="2"/>
    </w:lvl>
  </w:abstractNum>
  <w:abstractNum w:abstractNumId="294">
    <w:nsid w:val="1CD484D5"/>
    <w:multiLevelType w:val="hybridMultilevel"/>
    <w:lvl w:ilvl="0">
      <w:lvlJc w:val="left"/>
      <w:lvlText w:val="(%1)"/>
      <w:numFmt w:val="lowerLetter"/>
      <w:start w:val="2"/>
    </w:lvl>
  </w:abstractNum>
  <w:abstractNum w:abstractNumId="295">
    <w:nsid w:val="21D06255"/>
    <w:multiLevelType w:val="hybridMultilevel"/>
    <w:lvl w:ilvl="0">
      <w:lvlJc w:val="left"/>
      <w:lvlText w:val="%1"/>
      <w:numFmt w:val="lowerLetter"/>
      <w:start w:val="1"/>
    </w:lvl>
    <w:lvl w:ilvl="1">
      <w:lvlJc w:val="left"/>
      <w:lvlText w:val="(%2)"/>
      <w:numFmt w:val="lowerLetter"/>
      <w:start w:val="2"/>
    </w:lvl>
  </w:abstractNum>
  <w:abstractNum w:abstractNumId="296">
    <w:nsid w:val="51194ED1"/>
    <w:multiLevelType w:val="hybridMultilevel"/>
    <w:lvl w:ilvl="0">
      <w:lvlJc w:val="left"/>
      <w:lvlText w:val="(%1)"/>
      <w:numFmt w:val="lowerLetter"/>
      <w:start w:val="9"/>
    </w:lvl>
    <w:lvl w:ilvl="1">
      <w:lvlJc w:val="left"/>
      <w:lvlText w:val="%2"/>
      <w:numFmt w:val="lowerLetter"/>
      <w:start w:val="1"/>
    </w:lvl>
  </w:abstractNum>
  <w:abstractNum w:abstractNumId="297">
    <w:nsid w:val="44E2ED6C"/>
    <w:multiLevelType w:val="hybridMultilevel"/>
    <w:lvl w:ilvl="0">
      <w:lvlJc w:val="left"/>
      <w:lvlText w:val="(%1)"/>
      <w:numFmt w:val="lowerLetter"/>
      <w:start w:val="2"/>
    </w:lvl>
  </w:abstractNum>
  <w:abstractNum w:abstractNumId="298">
    <w:nsid w:val="2219B33"/>
    <w:multiLevelType w:val="hybridMultilevel"/>
    <w:lvl w:ilvl="0">
      <w:lvlJc w:val="left"/>
      <w:lvlText w:val="(%1)"/>
      <w:numFmt w:val="lowerLetter"/>
      <w:start w:val="2"/>
    </w:lvl>
  </w:abstractNum>
  <w:abstractNum w:abstractNumId="299">
    <w:nsid w:val="773BFBDD"/>
    <w:multiLevelType w:val="hybridMultilevel"/>
    <w:lvl w:ilvl="0">
      <w:lvlJc w:val="left"/>
      <w:lvlText w:val="(%1)"/>
      <w:numFmt w:val="lowerLetter"/>
      <w:start w:val="2"/>
    </w:lvl>
  </w:abstractNum>
  <w:abstractNum w:abstractNumId="300">
    <w:nsid w:val="2C7C62C2"/>
    <w:multiLevelType w:val="hybridMultilevel"/>
    <w:lvl w:ilvl="0">
      <w:lvlJc w:val="left"/>
      <w:lvlText w:val="(%1)"/>
      <w:numFmt w:val="lowerLetter"/>
      <w:start w:val="2"/>
    </w:lvl>
  </w:abstractNum>
  <w:abstractNum w:abstractNumId="301">
    <w:nsid w:val="1A54D7BC"/>
    <w:multiLevelType w:val="hybridMultilevel"/>
    <w:lvl w:ilvl="0">
      <w:lvlJc w:val="left"/>
      <w:lvlText w:val="(%1)"/>
      <w:numFmt w:val="lowerLetter"/>
      <w:start w:val="1"/>
    </w:lvl>
  </w:abstractNum>
  <w:abstractNum w:abstractNumId="302">
    <w:nsid w:val="42E57EF7"/>
    <w:multiLevelType w:val="hybridMultilevel"/>
    <w:lvl w:ilvl="0">
      <w:lvlJc w:val="left"/>
      <w:lvlText w:val="(%1)"/>
      <w:numFmt w:val="lowerLetter"/>
      <w:start w:val="2"/>
    </w:lvl>
  </w:abstractNum>
  <w:abstractNum w:abstractNumId="303">
    <w:nsid w:val="33537CED"/>
    <w:multiLevelType w:val="hybridMultilevel"/>
    <w:lvl w:ilvl="0">
      <w:lvlJc w:val="left"/>
      <w:lvlText w:val="(%1)"/>
      <w:numFmt w:val="lowerLetter"/>
      <w:start w:val="8"/>
    </w:lvl>
  </w:abstractNum>
  <w:abstractNum w:abstractNumId="304">
    <w:nsid w:val="27514ADE"/>
    <w:multiLevelType w:val="hybridMultilevel"/>
    <w:lvl w:ilvl="0">
      <w:lvlJc w:val="left"/>
      <w:lvlText w:val="(%1)"/>
      <w:numFmt w:val="lowerLetter"/>
      <w:start w:val="61"/>
    </w:lvl>
    <w:lvl w:ilvl="1">
      <w:lvlJc w:val="left"/>
      <w:lvlText w:val="(%2)"/>
      <w:numFmt w:val="lowerLetter"/>
      <w:start w:val="13"/>
    </w:lvl>
  </w:abstractNum>
  <w:abstractNum w:abstractNumId="305">
    <w:nsid w:val="57071613"/>
    <w:multiLevelType w:val="hybridMultilevel"/>
    <w:lvl w:ilvl="0">
      <w:lvlJc w:val="left"/>
      <w:lvlText w:val="%1"/>
      <w:numFmt w:val="lowerLetter"/>
      <w:start w:val="1"/>
    </w:lvl>
    <w:lvl w:ilvl="1">
      <w:lvlJc w:val="left"/>
      <w:lvlText w:val="(%2)"/>
      <w:numFmt w:val="decimal"/>
      <w:start w:val="1"/>
    </w:lvl>
  </w:abstractNum>
  <w:abstractNum w:abstractNumId="306">
    <w:nsid w:val="5293BFEF"/>
    <w:multiLevelType w:val="hybridMultilevel"/>
    <w:lvl w:ilvl="0">
      <w:lvlJc w:val="left"/>
      <w:lvlText w:val="(%1)"/>
      <w:numFmt w:val="lowerLetter"/>
      <w:start w:val="2"/>
    </w:lvl>
    <w:lvl w:ilvl="1">
      <w:lvlJc w:val="left"/>
      <w:lvlText w:val="%2"/>
      <w:numFmt w:val="decimal"/>
      <w:start w:val="1"/>
    </w:lvl>
  </w:abstractNum>
  <w:abstractNum w:abstractNumId="307">
    <w:nsid w:val="38BF53E5"/>
    <w:multiLevelType w:val="hybridMultilevel"/>
    <w:lvl w:ilvl="0">
      <w:lvlJc w:val="left"/>
      <w:lvlText w:val="(%1)"/>
      <w:numFmt w:val="lowerLetter"/>
      <w:start w:val="1"/>
    </w:lvl>
  </w:abstractNum>
  <w:abstractNum w:abstractNumId="308">
    <w:nsid w:val="226F5320"/>
    <w:multiLevelType w:val="hybridMultilevel"/>
    <w:lvl w:ilvl="0">
      <w:lvlJc w:val="left"/>
      <w:lvlText w:val="(%1)"/>
      <w:numFmt w:val="lowerLetter"/>
      <w:start w:val="4"/>
    </w:lvl>
  </w:abstractNum>
  <w:abstractNum w:abstractNumId="309">
    <w:nsid w:val="5A0201C7"/>
    <w:multiLevelType w:val="hybridMultilevel"/>
    <w:lvl w:ilvl="0">
      <w:lvlJc w:val="left"/>
      <w:lvlText w:val="(%1)"/>
      <w:numFmt w:val="lowerLetter"/>
      <w:start w:val="10"/>
    </w:lvl>
  </w:abstractNum>
  <w:abstractNum w:abstractNumId="310">
    <w:nsid w:val="2A9C34E2"/>
    <w:multiLevelType w:val="hybridMultilevel"/>
    <w:lvl w:ilvl="0">
      <w:lvlJc w:val="left"/>
      <w:lvlText w:val="(%1)"/>
      <w:numFmt w:val="lowerLetter"/>
      <w:start w:val="2"/>
    </w:lvl>
  </w:abstractNum>
  <w:abstractNum w:abstractNumId="311">
    <w:nsid w:val="1B7585AB"/>
    <w:multiLevelType w:val="hybridMultilevel"/>
    <w:lvl w:ilvl="0">
      <w:lvlJc w:val="left"/>
      <w:lvlText w:val="(%1)"/>
      <w:numFmt w:val="lowerLetter"/>
      <w:start w:val="3"/>
    </w:lvl>
  </w:abstractNum>
  <w:abstractNum w:abstractNumId="312">
    <w:nsid w:val="612DBDDD"/>
    <w:multiLevelType w:val="hybridMultilevel"/>
    <w:lvl w:ilvl="0">
      <w:lvlJc w:val="left"/>
      <w:lvlText w:val="(%1)"/>
      <w:numFmt w:val="lowerLetter"/>
      <w:start w:val="2"/>
    </w:lvl>
  </w:abstractNum>
  <w:abstractNum w:abstractNumId="313">
    <w:nsid w:val="2109CDA4"/>
    <w:multiLevelType w:val="hybridMultilevel"/>
    <w:lvl w:ilvl="0">
      <w:lvlJc w:val="left"/>
      <w:lvlText w:val="(%1)"/>
      <w:numFmt w:val="lowerLetter"/>
      <w:start w:val="2"/>
    </w:lvl>
  </w:abstractNum>
  <w:abstractNum w:abstractNumId="314">
    <w:nsid w:val="577F5A4D"/>
    <w:multiLevelType w:val="hybridMultilevel"/>
    <w:lvl w:ilvl="0">
      <w:lvlJc w:val="left"/>
      <w:lvlText w:val="(%1)"/>
      <w:numFmt w:val="lowerLetter"/>
      <w:start w:val="4"/>
    </w:lvl>
  </w:abstractNum>
  <w:abstractNum w:abstractNumId="315">
    <w:nsid w:val="2121A81"/>
    <w:multiLevelType w:val="hybridMultilevel"/>
    <w:lvl w:ilvl="0">
      <w:lvlJc w:val="left"/>
      <w:lvlText w:val="(%1)"/>
      <w:numFmt w:val="lowerLetter"/>
      <w:start w:val="2"/>
    </w:lvl>
  </w:abstractNum>
  <w:abstractNum w:abstractNumId="316">
    <w:nsid w:val="6C2CFC88"/>
    <w:multiLevelType w:val="hybridMultilevel"/>
    <w:lvl w:ilvl="0">
      <w:lvlJc w:val="left"/>
      <w:lvlText w:val="(%1)"/>
      <w:numFmt w:val="lowerLetter"/>
      <w:start w:val="2"/>
    </w:lvl>
    <w:lvl w:ilvl="1">
      <w:lvlJc w:val="left"/>
      <w:lvlText w:val="(%2)"/>
      <w:numFmt w:val="decimal"/>
      <w:start w:val="1"/>
    </w:lvl>
  </w:abstractNum>
  <w:abstractNum w:abstractNumId="317">
    <w:nsid w:val="6D1BCF1C"/>
    <w:multiLevelType w:val="hybridMultilevel"/>
    <w:lvl w:ilvl="0">
      <w:lvlJc w:val="left"/>
      <w:lvlText w:val="(%1)"/>
      <w:numFmt w:val="lowerLetter"/>
      <w:start w:val="9"/>
    </w:lvl>
    <w:lvl w:ilvl="1">
      <w:lvlJc w:val="left"/>
      <w:lvlText w:val="%2"/>
      <w:numFmt w:val="decimal"/>
      <w:start w:val="1"/>
    </w:lvl>
  </w:abstractNum>
  <w:abstractNum w:abstractNumId="318">
    <w:nsid w:val="4CE5CA53"/>
    <w:multiLevelType w:val="hybridMultilevel"/>
    <w:lvl w:ilvl="0">
      <w:lvlJc w:val="left"/>
      <w:lvlText w:val="(%1)"/>
      <w:numFmt w:val="lowerRoman"/>
      <w:start w:val="2"/>
    </w:lvl>
    <w:lvl w:ilvl="1">
      <w:lvlJc w:val="left"/>
      <w:lvlText w:val="(%2)"/>
      <w:numFmt w:val="decimal"/>
      <w:start w:val="2"/>
    </w:lvl>
  </w:abstractNum>
  <w:abstractNum w:abstractNumId="319">
    <w:nsid w:val="29262D1A"/>
    <w:multiLevelType w:val="hybridMultilevel"/>
    <w:lvl w:ilvl="0">
      <w:lvlJc w:val="left"/>
      <w:lvlText w:val="(%1)"/>
      <w:numFmt w:val="decimal"/>
      <w:start w:val="5"/>
    </w:lvl>
    <w:lvl w:ilvl="1">
      <w:lvlJc w:val="left"/>
      <w:lvlText w:val="(%2)"/>
      <w:numFmt w:val="upperLetter"/>
      <w:start w:val="2"/>
    </w:lvl>
  </w:abstractNum>
  <w:abstractNum w:abstractNumId="320">
    <w:nsid w:val="557FB7EE"/>
    <w:multiLevelType w:val="hybridMultilevel"/>
    <w:lvl w:ilvl="0">
      <w:lvlJc w:val="left"/>
      <w:lvlText w:val="%1"/>
      <w:numFmt w:val="lowerLetter"/>
      <w:start w:val="1"/>
    </w:lvl>
    <w:lvl w:ilvl="1">
      <w:lvlJc w:val="left"/>
      <w:lvlText w:val="(%2)"/>
      <w:numFmt w:val="decimal"/>
      <w:start w:val="12"/>
    </w:lvl>
  </w:abstractNum>
  <w:abstractNum w:abstractNumId="321">
    <w:nsid w:val="436F2BEB"/>
    <w:multiLevelType w:val="hybridMultilevel"/>
    <w:lvl w:ilvl="0">
      <w:lvlJc w:val="left"/>
      <w:lvlText w:val="(%1)"/>
      <w:numFmt w:val="lowerLetter"/>
      <w:start w:val="3"/>
    </w:lvl>
    <w:lvl w:ilvl="1">
      <w:lvlJc w:val="left"/>
      <w:lvlText w:val="(%2)"/>
      <w:numFmt w:val="decimal"/>
      <w:start w:val="1"/>
    </w:lvl>
  </w:abstractNum>
  <w:abstractNum w:abstractNumId="322">
    <w:nsid w:val="6C8B4466"/>
    <w:multiLevelType w:val="hybridMultilevel"/>
    <w:lvl w:ilvl="0">
      <w:lvlJc w:val="left"/>
      <w:lvlText w:val="(%1)"/>
      <w:numFmt w:val="decimal"/>
      <w:start w:val="1"/>
    </w:lvl>
  </w:abstractNum>
  <w:abstractNum w:abstractNumId="323">
    <w:nsid w:val="2006E424"/>
    <w:multiLevelType w:val="hybridMultilevel"/>
    <w:lvl w:ilvl="0">
      <w:lvlJc w:val="left"/>
      <w:lvlText w:val="(%1)"/>
      <w:numFmt w:val="lowerRoman"/>
      <w:start w:val="1"/>
    </w:lvl>
  </w:abstractNum>
  <w:abstractNum w:abstractNumId="324">
    <w:nsid w:val="20CC134C"/>
    <w:multiLevelType w:val="hybridMultilevel"/>
    <w:lvl w:ilvl="0">
      <w:lvlJc w:val="left"/>
      <w:lvlText w:val="%1"/>
      <w:numFmt w:val="lowerLetter"/>
      <w:start w:val="1"/>
    </w:lvl>
    <w:lvl w:ilvl="1">
      <w:lvlJc w:val="left"/>
      <w:lvlText w:val="(%2)"/>
      <w:numFmt w:val="lowerRoman"/>
      <w:start w:val="3"/>
    </w:lvl>
  </w:abstractNum>
  <w:abstractNum w:abstractNumId="325">
    <w:nsid w:val="95FC93B"/>
    <w:multiLevelType w:val="hybridMultilevel"/>
    <w:lvl w:ilvl="0">
      <w:lvlJc w:val="left"/>
      <w:lvlText w:val="(%1)"/>
      <w:numFmt w:val="lowerLetter"/>
      <w:start w:val="2"/>
    </w:lvl>
    <w:lvl w:ilvl="1">
      <w:lvlJc w:val="left"/>
      <w:lvlText w:val="%2"/>
      <w:numFmt w:val="lowerRoman"/>
      <w:start w:val="1"/>
    </w:lvl>
  </w:abstractNum>
  <w:abstractNum w:abstractNumId="326">
    <w:nsid w:val="41D74679"/>
    <w:multiLevelType w:val="hybridMultilevel"/>
    <w:lvl w:ilvl="0">
      <w:lvlJc w:val="left"/>
      <w:lvlText w:val="(%1)"/>
      <w:numFmt w:val="decimal"/>
      <w:start w:val="1"/>
    </w:lvl>
  </w:abstractNum>
  <w:abstractNum w:abstractNumId="327">
    <w:nsid w:val="71E5621E"/>
    <w:multiLevelType w:val="hybridMultilevel"/>
    <w:lvl w:ilvl="0">
      <w:lvlJc w:val="left"/>
      <w:lvlText w:val="%1"/>
      <w:numFmt w:val="decimal"/>
      <w:start w:val="1"/>
    </w:lvl>
    <w:lvl w:ilvl="1">
      <w:lvlJc w:val="left"/>
      <w:lvlText w:val="(%2)"/>
      <w:numFmt w:val="upperLetter"/>
      <w:start w:val="1"/>
    </w:lvl>
  </w:abstractNum>
  <w:abstractNum w:abstractNumId="328">
    <w:nsid w:val="4E42B6A8"/>
    <w:multiLevelType w:val="hybridMultilevel"/>
    <w:lvl w:ilvl="0">
      <w:lvlJc w:val="left"/>
      <w:lvlText w:val="(%1)"/>
      <w:numFmt w:val="decimal"/>
      <w:start w:val="2"/>
    </w:lvl>
    <w:lvl w:ilvl="1">
      <w:lvlJc w:val="left"/>
      <w:lvlText w:val="%2"/>
      <w:numFmt w:val="upperLetter"/>
      <w:start w:val="1"/>
    </w:lvl>
  </w:abstractNum>
  <w:abstractNum w:abstractNumId="329">
    <w:nsid w:val="43F8E1AC"/>
    <w:multiLevelType w:val="hybridMultilevel"/>
    <w:lvl w:ilvl="0">
      <w:lvlJc w:val="left"/>
      <w:lvlText w:val="(%1)"/>
      <w:numFmt w:val="decimal"/>
      <w:start w:val="5"/>
    </w:lvl>
  </w:abstractNum>
  <w:abstractNum w:abstractNumId="330">
    <w:nsid w:val="69215DFB"/>
    <w:multiLevelType w:val="hybridMultilevel"/>
    <w:lvl w:ilvl="0">
      <w:lvlJc w:val="left"/>
      <w:lvlText w:val="(%1)"/>
      <w:numFmt w:val="upperLetter"/>
      <w:start w:val="1"/>
    </w:lvl>
  </w:abstractNum>
  <w:abstractNum w:abstractNumId="331">
    <w:nsid w:val="7ABF196A"/>
    <w:multiLevelType w:val="hybridMultilevel"/>
    <w:lvl w:ilvl="0">
      <w:lvlJc w:val="left"/>
      <w:lvlText w:val="(%1)"/>
      <w:numFmt w:val="decimal"/>
      <w:start w:val="1"/>
    </w:lvl>
    <w:lvl w:ilvl="1">
      <w:lvlJc w:val="left"/>
      <w:lvlText w:val="(%2)"/>
      <w:numFmt w:val="upperLetter"/>
      <w:start w:val="1"/>
    </w:lvl>
  </w:abstractNum>
  <w:abstractNum w:abstractNumId="332">
    <w:nsid w:val="5E4DB968"/>
    <w:multiLevelType w:val="hybridMultilevel"/>
    <w:lvl w:ilvl="0">
      <w:lvlJc w:val="left"/>
      <w:lvlText w:val="(%1)"/>
      <w:numFmt w:val="lowerRoman"/>
      <w:start w:val="1"/>
    </w:lvl>
  </w:abstractNum>
  <w:abstractNum w:abstractNumId="333">
    <w:nsid w:val="2C06DCF3"/>
    <w:multiLevelType w:val="hybridMultilevel"/>
    <w:lvl w:ilvl="0">
      <w:lvlJc w:val="left"/>
      <w:lvlText w:val="(%1)"/>
      <w:numFmt w:val="upperLetter"/>
      <w:start w:val="5"/>
    </w:lvl>
  </w:abstractNum>
  <w:abstractNum w:abstractNumId="334">
    <w:nsid w:val="2E129658"/>
    <w:multiLevelType w:val="hybridMultilevel"/>
    <w:lvl w:ilvl="0">
      <w:lvlJc w:val="left"/>
      <w:lvlText w:val="(%1)"/>
      <w:numFmt w:val="lowerRoman"/>
      <w:start w:val="1"/>
    </w:lvl>
  </w:abstractNum>
  <w:abstractNum w:abstractNumId="335">
    <w:nsid w:val="59F0446"/>
    <w:multiLevelType w:val="hybridMultilevel"/>
    <w:lvl w:ilvl="0">
      <w:lvlJc w:val="left"/>
      <w:lvlText w:val="%1"/>
      <w:numFmt w:val="lowerLetter"/>
      <w:start w:val="1"/>
    </w:lvl>
    <w:lvl w:ilvl="1">
      <w:lvlJc w:val="left"/>
      <w:lvlText w:val="(%2)"/>
      <w:numFmt w:val="decimal"/>
      <w:start w:val="1"/>
    </w:lvl>
  </w:abstractNum>
  <w:abstractNum w:abstractNumId="336">
    <w:nsid w:val="30DF306"/>
    <w:multiLevelType w:val="hybridMultilevel"/>
    <w:lvl w:ilvl="0">
      <w:lvlJc w:val="left"/>
      <w:lvlText w:val="(%1)"/>
      <w:numFmt w:val="lowerLetter"/>
      <w:start w:val="2"/>
    </w:lvl>
    <w:lvl w:ilvl="1">
      <w:lvlJc w:val="left"/>
      <w:lvlText w:val="(%2)"/>
      <w:numFmt w:val="decimal"/>
      <w:start w:val="1"/>
    </w:lvl>
  </w:abstractNum>
  <w:abstractNum w:abstractNumId="337">
    <w:nsid w:val="A65647"/>
    <w:multiLevelType w:val="hybridMultilevel"/>
    <w:lvl w:ilvl="0">
      <w:lvlJc w:val="left"/>
      <w:lvlText w:val="%1"/>
      <w:numFmt w:val="lowerLetter"/>
      <w:start w:val="1"/>
    </w:lvl>
    <w:lvl w:ilvl="1">
      <w:lvlJc w:val="left"/>
      <w:lvlText w:val="(%2)"/>
      <w:numFmt w:val="decimal"/>
      <w:start w:val="3"/>
    </w:lvl>
  </w:abstractNum>
  <w:abstractNum w:abstractNumId="338">
    <w:nsid w:val="3E5E582B"/>
    <w:multiLevelType w:val="hybridMultilevel"/>
    <w:lvl w:ilvl="0">
      <w:lvlJc w:val="left"/>
      <w:lvlText w:val="(%1)"/>
      <w:numFmt w:val="lowerLetter"/>
      <w:start w:val="3"/>
    </w:lvl>
    <w:lvl w:ilvl="1">
      <w:lvlJc w:val="left"/>
      <w:lvlText w:val="%2"/>
      <w:numFmt w:val="decimal"/>
      <w:start w:val="1"/>
    </w:lvl>
  </w:abstractNum>
  <w:abstractNum w:abstractNumId="339">
    <w:nsid w:val="257D4626"/>
    <w:multiLevelType w:val="hybridMultilevel"/>
    <w:lvl w:ilvl="0">
      <w:lvlJc w:val="left"/>
      <w:lvlText w:val="(%1)"/>
      <w:numFmt w:val="decimal"/>
      <w:start w:val="1"/>
    </w:lvl>
    <w:lvl w:ilvl="1">
      <w:lvlJc w:val="left"/>
      <w:lvlText w:val="(%2)"/>
      <w:numFmt w:val="upperLetter"/>
      <w:start w:val="1"/>
    </w:lvl>
  </w:abstractNum>
  <w:abstractNum w:abstractNumId="340">
    <w:nsid w:val="5AA8580E"/>
    <w:multiLevelType w:val="hybridMultilevel"/>
    <w:lvl w:ilvl="0">
      <w:lvlJc w:val="left"/>
      <w:lvlText w:val="(%1)"/>
      <w:numFmt w:val="lowerLetter"/>
      <w:start w:val="2"/>
    </w:lvl>
    <w:lvl w:ilvl="1">
      <w:lvlJc w:val="left"/>
      <w:lvlText w:val="(%2)"/>
      <w:numFmt w:val="decimal"/>
      <w:start w:val="1"/>
    </w:lvl>
  </w:abstractNum>
  <w:abstractNum w:abstractNumId="341">
    <w:nsid w:val="68FA8D0D"/>
    <w:multiLevelType w:val="hybridMultilevel"/>
    <w:lvl w:ilvl="0">
      <w:lvlJc w:val="left"/>
      <w:lvlText w:val="(%1)"/>
      <w:numFmt w:val="lowerLetter"/>
      <w:start w:val="1"/>
    </w:lvl>
  </w:abstractNum>
  <w:abstractNum w:abstractNumId="342">
    <w:nsid w:val="40F2CBD2"/>
    <w:multiLevelType w:val="hybridMultilevel"/>
    <w:lvl w:ilvl="0">
      <w:lvlJc w:val="left"/>
      <w:lvlText w:val="(%1)"/>
      <w:numFmt w:val="lowerLetter"/>
      <w:start w:val="7"/>
    </w:lvl>
  </w:abstractNum>
  <w:abstractNum w:abstractNumId="343">
    <w:nsid w:val="3BD615EB"/>
    <w:multiLevelType w:val="hybridMultilevel"/>
    <w:lvl w:ilvl="0">
      <w:lvlJc w:val="left"/>
      <w:lvlText w:val="(%1)"/>
      <w:numFmt w:val="lowerLetter"/>
      <w:start w:val="12"/>
    </w:lvl>
    <w:lvl w:ilvl="1">
      <w:lvlJc w:val="left"/>
      <w:lvlText w:val="(%2)"/>
      <w:numFmt w:val="decimal"/>
      <w:start w:val="1"/>
    </w:lvl>
    <w:lvl w:ilvl="2">
      <w:lvlJc w:val="left"/>
      <w:lvlText w:val="(%3)"/>
      <w:numFmt w:val="upperLetter"/>
      <w:start w:val="1"/>
    </w:lvl>
  </w:abstractNum>
  <w:abstractNum w:abstractNumId="344">
    <w:nsid w:val="A045AB2"/>
    <w:multiLevelType w:val="hybridMultilevel"/>
    <w:lvl w:ilvl="0">
      <w:lvlJc w:val="left"/>
      <w:lvlText w:val="%1"/>
      <w:numFmt w:val="lowerLetter"/>
      <w:start w:val="1"/>
    </w:lvl>
    <w:lvl w:ilvl="1">
      <w:lvlJc w:val="left"/>
      <w:lvlText w:val="(%2)"/>
      <w:numFmt w:val="lowerLetter"/>
      <w:start w:val="20"/>
    </w:lvl>
  </w:abstractNum>
  <w:abstractNum w:abstractNumId="345">
    <w:nsid w:val="1872261F"/>
    <w:multiLevelType w:val="hybridMultilevel"/>
    <w:lvl w:ilvl="0">
      <w:lvlJc w:val="left"/>
      <w:lvlText w:val="(%1)"/>
      <w:numFmt w:val="lowerLetter"/>
      <w:start w:val="25"/>
    </w:lvl>
    <w:lvl w:ilvl="1">
      <w:lvlJc w:val="left"/>
      <w:lvlText w:val="%2"/>
      <w:numFmt w:val="lowerLetter"/>
      <w:start w:val="1"/>
    </w:lvl>
  </w:abstractNum>
  <w:abstractNum w:abstractNumId="346">
    <w:nsid w:val="3DE8306C"/>
    <w:multiLevelType w:val="hybridMultilevel"/>
    <w:lvl w:ilvl="0">
      <w:lvlJc w:val="left"/>
      <w:lvlText w:val="(%1)"/>
      <w:numFmt w:val="lowerLetter"/>
      <w:start w:val="25"/>
    </w:lvl>
    <w:lvl w:ilvl="1">
      <w:lvlJc w:val="left"/>
      <w:lvlText w:val="%2"/>
      <w:numFmt w:val="lowerLetter"/>
      <w:start w:val="1"/>
    </w:lvl>
  </w:abstractNum>
  <w:abstractNum w:abstractNumId="347">
    <w:nsid w:val="7631573A"/>
    <w:multiLevelType w:val="hybridMultilevel"/>
    <w:lvl w:ilvl="0">
      <w:lvlJc w:val="left"/>
      <w:lvlText w:val="(%1)"/>
      <w:numFmt w:val="lowerLetter"/>
      <w:start w:val="1"/>
    </w:lvl>
  </w:abstractNum>
  <w:abstractNum w:abstractNumId="348">
    <w:nsid w:val="58DF53B"/>
    <w:multiLevelType w:val="hybridMultilevel"/>
    <w:lvl w:ilvl="0">
      <w:lvlJc w:val="left"/>
      <w:lvlText w:val="(%1)"/>
      <w:numFmt w:val="lowerLetter"/>
      <w:start w:val="2"/>
    </w:lvl>
  </w:abstractNum>
  <w:abstractNum w:abstractNumId="349">
    <w:nsid w:val="ACDFAC0"/>
    <w:multiLevelType w:val="hybridMultilevel"/>
    <w:lvl w:ilvl="0">
      <w:lvlJc w:val="left"/>
      <w:lvlText w:val="(%1)"/>
      <w:numFmt w:val="lowerLetter"/>
      <w:start w:val="1"/>
    </w:lvl>
  </w:abstractNum>
  <w:abstractNum w:abstractNumId="350">
    <w:nsid w:val="1F578454"/>
    <w:multiLevelType w:val="hybridMultilevel"/>
    <w:lvl w:ilvl="0">
      <w:lvlJc w:val="left"/>
      <w:lvlText w:val="%1"/>
      <w:numFmt w:val="lowerLetter"/>
      <w:start w:val="1"/>
    </w:lvl>
    <w:lvl w:ilvl="1">
      <w:lvlJc w:val="left"/>
      <w:lvlText w:val="(%2)"/>
      <w:numFmt w:val="lowerLetter"/>
      <w:start w:val="4"/>
    </w:lvl>
  </w:abstractNum>
  <w:abstractNum w:abstractNumId="351">
    <w:nsid w:val="5B0DAD2A"/>
    <w:multiLevelType w:val="hybridMultilevel"/>
    <w:lvl w:ilvl="0">
      <w:lvlJc w:val="left"/>
      <w:lvlText w:val="(%1)"/>
      <w:numFmt w:val="lowerLetter"/>
      <w:start w:val="9"/>
    </w:lvl>
    <w:lvl w:ilvl="1">
      <w:lvlJc w:val="left"/>
      <w:lvlText w:val="(%2)"/>
      <w:numFmt w:val="lowerLetter"/>
      <w:start w:val="7"/>
    </w:lvl>
  </w:abstractNum>
  <w:abstractNum w:abstractNumId="352">
    <w:nsid w:val="4E3D26AB"/>
    <w:multiLevelType w:val="hybridMultilevel"/>
    <w:lvl w:ilvl="0">
      <w:lvlJc w:val="left"/>
      <w:lvlText w:val="(%1)"/>
      <w:numFmt w:val="lowerLetter"/>
      <w:start w:val="8"/>
    </w:lvl>
  </w:abstractNum>
  <w:abstractNum w:abstractNumId="353">
    <w:nsid w:val="BE2C8BA"/>
    <w:multiLevelType w:val="hybridMultilevel"/>
    <w:lvl w:ilvl="0">
      <w:lvlJc w:val="left"/>
      <w:lvlText w:val="(%1)"/>
      <w:numFmt w:val="lowerRoman"/>
      <w:start w:val="1"/>
    </w:lvl>
  </w:abstractNum>
  <w:abstractNum w:abstractNumId="354">
    <w:nsid w:val="7B14914E"/>
    <w:multiLevelType w:val="hybridMultilevel"/>
    <w:lvl w:ilvl="0">
      <w:lvlJc w:val="left"/>
      <w:lvlText w:val="(%1)"/>
      <w:numFmt w:val="lowerRoman"/>
      <w:start w:val="2"/>
    </w:lvl>
  </w:abstractNum>
  <w:abstractNum w:abstractNumId="355">
    <w:nsid w:val="6F0939F8"/>
    <w:multiLevelType w:val="hybridMultilevel"/>
    <w:lvl w:ilvl="0">
      <w:lvlJc w:val="left"/>
      <w:lvlText w:val="%1"/>
      <w:numFmt w:val="lowerLetter"/>
      <w:start w:val="1"/>
    </w:lvl>
    <w:lvl w:ilvl="1">
      <w:lvlJc w:val="left"/>
      <w:lvlText w:val="(%2)"/>
      <w:numFmt w:val="lowerRoman"/>
      <w:start w:val="1"/>
    </w:lvl>
  </w:abstractNum>
  <w:abstractNum w:abstractNumId="356">
    <w:nsid w:val="154291F6"/>
    <w:multiLevelType w:val="hybridMultilevel"/>
    <w:lvl w:ilvl="0">
      <w:lvlJc w:val="left"/>
      <w:lvlText w:val="(%1)"/>
      <w:numFmt w:val="lowerLetter"/>
      <w:start w:val="2"/>
    </w:lvl>
    <w:lvl w:ilvl="1">
      <w:lvlJc w:val="left"/>
      <w:lvlText w:val="%2"/>
      <w:numFmt w:val="lowerRoman"/>
      <w:start w:val="1"/>
    </w:lvl>
  </w:abstractNum>
  <w:abstractNum w:abstractNumId="357">
    <w:nsid w:val="3CEBD7C7"/>
    <w:multiLevelType w:val="hybridMultilevel"/>
    <w:lvl w:ilvl="0">
      <w:lvlJc w:val="left"/>
      <w:lvlText w:val="(%1)"/>
      <w:numFmt w:val="lowerLetter"/>
      <w:start w:val="3"/>
    </w:lvl>
  </w:abstractNum>
  <w:abstractNum w:abstractNumId="358">
    <w:nsid w:val="60EE9C16"/>
    <w:multiLevelType w:val="hybridMultilevel"/>
    <w:lvl w:ilvl="0">
      <w:lvlJc w:val="left"/>
      <w:lvlText w:val="(%1)"/>
      <w:numFmt w:val="lowerLetter"/>
      <w:start w:val="2"/>
    </w:lvl>
  </w:abstractNum>
  <w:abstractNum w:abstractNumId="359">
    <w:nsid w:val="6385489E"/>
    <w:multiLevelType w:val="hybridMultilevel"/>
    <w:lvl w:ilvl="0">
      <w:lvlJc w:val="left"/>
      <w:lvlText w:val="(%1)"/>
      <w:numFmt w:val="lowerLetter"/>
      <w:start w:val="2"/>
    </w:lvl>
  </w:abstractNum>
  <w:abstractNum w:abstractNumId="360">
    <w:nsid w:val="E4B973"/>
    <w:multiLevelType w:val="hybridMultilevel"/>
    <w:lvl w:ilvl="0">
      <w:lvlJc w:val="left"/>
      <w:lvlText w:val="(%1)"/>
      <w:numFmt w:val="lowerLetter"/>
      <w:start w:val="4"/>
    </w:lvl>
  </w:abstractNum>
  <w:abstractNum w:abstractNumId="361">
    <w:nsid w:val="4A0FFA11"/>
    <w:multiLevelType w:val="hybridMultilevel"/>
    <w:lvl w:ilvl="0">
      <w:lvlJc w:val="left"/>
      <w:lvlText w:val="(%1)"/>
      <w:numFmt w:val="lowerLetter"/>
      <w:start w:val="2"/>
    </w:lvl>
    <w:lvl w:ilvl="1">
      <w:lvlJc w:val="left"/>
      <w:lvlText w:val="(%2)"/>
      <w:numFmt w:val="lowerLetter"/>
      <w:start w:val="24"/>
    </w:lvl>
    <w:lvl w:ilvl="2">
      <w:lvlJc w:val="left"/>
      <w:lvlText w:val="(%3)"/>
      <w:numFmt w:val="upperLetter"/>
      <w:start w:val="1"/>
    </w:lvl>
  </w:abstractNum>
  <w:abstractNum w:abstractNumId="362">
    <w:nsid w:val="5E446208"/>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4"/>
    </w:lvl>
  </w:abstractNum>
  <w:abstractNum w:abstractNumId="363">
    <w:nsid w:val="5F3272DB"/>
    <w:multiLevelType w:val="hybridMultilevel"/>
    <w:lvl w:ilvl="0">
      <w:lvlJc w:val="left"/>
      <w:lvlText w:val="%1"/>
      <w:numFmt w:val="upperLetter"/>
      <w:start w:val="1"/>
    </w:lvl>
    <w:lvl w:ilvl="1">
      <w:lvlJc w:val="left"/>
      <w:lvlText w:val="(%2)"/>
      <w:numFmt w:val="lowerRoman"/>
      <w:start w:val="2"/>
    </w:lvl>
  </w:abstractNum>
  <w:abstractNum w:abstractNumId="364">
    <w:nsid w:val="7616D704"/>
    <w:multiLevelType w:val="hybridMultilevel"/>
    <w:lvl w:ilvl="0">
      <w:lvlJc w:val="left"/>
      <w:lvlText w:val="(%1)"/>
      <w:numFmt w:val="upperLetter"/>
      <w:start w:val="1"/>
    </w:lvl>
    <w:lvl w:ilvl="1">
      <w:lvlJc w:val="left"/>
      <w:lvlText w:val="(%2)"/>
      <w:numFmt w:val="lowerRoman"/>
      <w:start w:val="3"/>
    </w:lvl>
  </w:abstractNum>
  <w:abstractNum w:abstractNumId="365">
    <w:nsid w:val="C56F860"/>
    <w:multiLevelType w:val="hybridMultilevel"/>
    <w:lvl w:ilvl="0">
      <w:lvlJc w:val="left"/>
      <w:lvlText w:val="(%1)"/>
      <w:numFmt w:val="lowerRoman"/>
      <w:start w:val="4"/>
    </w:lvl>
  </w:abstractNum>
  <w:abstractNum w:abstractNumId="366">
    <w:nsid w:val="64D17722"/>
    <w:multiLevelType w:val="hybridMultilevel"/>
    <w:lvl w:ilvl="0">
      <w:lvlJc w:val="left"/>
      <w:lvlText w:val="(%1)"/>
      <w:numFmt w:val="lowerLetter"/>
      <w:start w:val="3"/>
    </w:lvl>
  </w:abstractNum>
  <w:abstractNum w:abstractNumId="367">
    <w:nsid w:val="7924CA0A"/>
    <w:multiLevelType w:val="hybridMultilevel"/>
    <w:lvl w:ilvl="0">
      <w:lvlJc w:val="left"/>
      <w:lvlText w:val="%1"/>
      <w:numFmt w:val="lowerLetter"/>
      <w:start w:val="1"/>
    </w:lvl>
    <w:lvl w:ilvl="1">
      <w:lvlJc w:val="left"/>
      <w:lvlText w:val="(%2)"/>
      <w:numFmt w:val="lowerLetter"/>
      <w:start w:val="35"/>
    </w:lvl>
  </w:abstractNum>
  <w:abstractNum w:abstractNumId="368">
    <w:nsid w:val="CFD4EA7"/>
    <w:multiLevelType w:val="hybridMultilevel"/>
    <w:lvl w:ilvl="0">
      <w:lvlJc w:val="left"/>
      <w:lvlText w:val="(%1)"/>
      <w:numFmt w:val="lowerLetter"/>
      <w:start w:val="4"/>
    </w:lvl>
    <w:lvl w:ilvl="1">
      <w:lvlJc w:val="left"/>
      <w:lvlText w:val="%2"/>
      <w:numFmt w:val="lowerLetter"/>
      <w:start w:val="1"/>
    </w:lvl>
  </w:abstractNum>
  <w:abstractNum w:abstractNumId="369">
    <w:nsid w:val="232FCF4D"/>
    <w:multiLevelType w:val="hybridMultilevel"/>
    <w:lvl w:ilvl="0">
      <w:lvlJc w:val="left"/>
      <w:lvlText w:val="(%1)"/>
      <w:numFmt w:val="lowerLetter"/>
      <w:start w:val="5"/>
    </w:lvl>
  </w:abstractNum>
  <w:abstractNum w:abstractNumId="370">
    <w:nsid w:val="1EA21031"/>
    <w:multiLevelType w:val="hybridMultilevel"/>
    <w:lvl w:ilvl="0">
      <w:lvlJc w:val="left"/>
      <w:lvlText w:val="(%1)"/>
      <w:numFmt w:val="lowerLetter"/>
      <w:start w:val="1"/>
    </w:lvl>
  </w:abstractNum>
  <w:abstractNum w:abstractNumId="371">
    <w:nsid w:val="67A5A6B5"/>
    <w:multiLevelType w:val="hybridMultilevel"/>
    <w:lvl w:ilvl="0">
      <w:lvlJc w:val="left"/>
      <w:lvlText w:val="(%1)"/>
      <w:numFmt w:val="lowerRoman"/>
      <w:start w:val="4"/>
    </w:lvl>
  </w:abstractNum>
  <w:abstractNum w:abstractNumId="372">
    <w:nsid w:val="C2A5C5B"/>
    <w:multiLevelType w:val="hybridMultilevel"/>
    <w:lvl w:ilvl="0">
      <w:lvlJc w:val="left"/>
      <w:lvlText w:val="(%1)"/>
      <w:numFmt w:val="lowerLetter"/>
      <w:start w:val="2"/>
    </w:lvl>
  </w:abstractNum>
  <w:abstractNum w:abstractNumId="373">
    <w:nsid w:val="5F94DC03"/>
    <w:multiLevelType w:val="hybridMultilevel"/>
    <w:lvl w:ilvl="0">
      <w:lvlJc w:val="left"/>
      <w:lvlText w:val="(%1)"/>
      <w:numFmt w:val="lowerLetter"/>
      <w:start w:val="3"/>
    </w:lvl>
  </w:abstractNum>
  <w:abstractNum w:abstractNumId="374">
    <w:nsid w:val="237BBCA0"/>
    <w:multiLevelType w:val="hybridMultilevel"/>
    <w:lvl w:ilvl="0">
      <w:lvlJc w:val="left"/>
      <w:lvlText w:val="(%1)"/>
      <w:numFmt w:val="lowerLetter"/>
      <w:start w:val="1"/>
    </w:lvl>
  </w:abstractNum>
  <w:abstractNum w:abstractNumId="375">
    <w:nsid w:val="162EB70D"/>
    <w:multiLevelType w:val="hybridMultilevel"/>
    <w:lvl w:ilvl="0">
      <w:lvlJc w:val="left"/>
      <w:lvlText w:val="%1"/>
      <w:numFmt w:val="decimal"/>
      <w:start w:val="1"/>
    </w:lvl>
    <w:lvl w:ilvl="1">
      <w:lvlJc w:val="left"/>
      <w:lvlText w:val="(%2)"/>
      <w:numFmt w:val="lowerLetter"/>
      <w:start w:val="2"/>
    </w:lvl>
  </w:abstractNum>
  <w:abstractNum w:abstractNumId="376">
    <w:nsid w:val="78070222"/>
    <w:multiLevelType w:val="hybridMultilevel"/>
    <w:lvl w:ilvl="0">
      <w:lvlJc w:val="left"/>
      <w:lvlText w:val="(%1)"/>
      <w:numFmt w:val="decimal"/>
      <w:start w:val="1"/>
    </w:lvl>
    <w:lvl w:ilvl="1">
      <w:lvlJc w:val="left"/>
      <w:lvlText w:val="%2"/>
      <w:numFmt w:val="lowerLetter"/>
      <w:start w:val="1"/>
    </w:lvl>
  </w:abstractNum>
  <w:abstractNum w:abstractNumId="377">
    <w:nsid w:val="6163ED0D"/>
    <w:multiLevelType w:val="hybridMultilevel"/>
    <w:lvl w:ilvl="0">
      <w:lvlJc w:val="left"/>
      <w:lvlText w:val="%1"/>
      <w:numFmt w:val="decimal"/>
      <w:start w:val="1"/>
    </w:lvl>
    <w:lvl w:ilvl="1">
      <w:lvlJc w:val="left"/>
      <w:lvlText w:val="(%2)"/>
      <w:numFmt w:val="lowerLetter"/>
      <w:start w:val="3"/>
    </w:lvl>
  </w:abstractNum>
  <w:abstractNum w:abstractNumId="378">
    <w:nsid w:val="C600E47"/>
    <w:multiLevelType w:val="hybridMultilevel"/>
    <w:lvl w:ilvl="0">
      <w:lvlJc w:val="left"/>
      <w:lvlText w:val="(%1)"/>
      <w:numFmt w:val="decimal"/>
      <w:start w:val="1"/>
    </w:lvl>
    <w:lvl w:ilvl="1">
      <w:lvlJc w:val="left"/>
      <w:lvlText w:val="(%2)"/>
      <w:numFmt w:val="lowerLetter"/>
      <w:start w:val="4"/>
    </w:lvl>
  </w:abstractNum>
  <w:abstractNum w:abstractNumId="379">
    <w:nsid w:val="7D94F75D"/>
    <w:multiLevelType w:val="hybridMultilevel"/>
    <w:lvl w:ilvl="0">
      <w:lvlJc w:val="left"/>
      <w:lvlText w:val="(%1)"/>
      <w:numFmt w:val="lowerLetter"/>
      <w:start w:val="1"/>
    </w:lvl>
  </w:abstractNum>
  <w:abstractNum w:abstractNumId="380">
    <w:nsid w:val="6C31E7CD"/>
    <w:multiLevelType w:val="hybridMultilevel"/>
    <w:lvl w:ilvl="0">
      <w:lvlJc w:val="left"/>
      <w:lvlText w:val="(%1)"/>
      <w:numFmt w:val="decimal"/>
      <w:start w:val="1"/>
    </w:lvl>
    <w:lvl w:ilvl="1">
      <w:lvlJc w:val="left"/>
      <w:lvlText w:val="(%2)"/>
      <w:numFmt w:val="lowerLetter"/>
      <w:start w:val="3"/>
    </w:lvl>
  </w:abstractNum>
  <w:abstractNum w:abstractNumId="381">
    <w:nsid w:val="2BB7929B"/>
    <w:multiLevelType w:val="hybridMultilevel"/>
    <w:lvl w:ilvl="0">
      <w:lvlJc w:val="left"/>
      <w:lvlText w:val="&amp;"/>
      <w:numFmt w:val="bullet"/>
      <w:start w:val="1"/>
    </w:lvl>
  </w:abstractNum>
  <w:abstractNum w:abstractNumId="382">
    <w:nsid w:val="58A2A487"/>
    <w:multiLevelType w:val="hybridMultilevel"/>
    <w:lvl w:ilvl="0">
      <w:lvlJc w:val="left"/>
      <w:lvlText w:val="(%1)"/>
      <w:numFmt w:val="lowerLetter"/>
      <w:start w:val="1"/>
    </w:lvl>
  </w:abstractNum>
  <w:abstractNum w:abstractNumId="383">
    <w:nsid w:val="3A6F0E78"/>
    <w:multiLevelType w:val="hybridMultilevel"/>
    <w:lvl w:ilvl="0">
      <w:lvlJc w:val="left"/>
      <w:lvlText w:val="%1."/>
      <w:numFmt w:val="upperLetter"/>
      <w:start w:val="1"/>
    </w:lvl>
  </w:abstractNum>
  <w:abstractNum w:abstractNumId="384">
    <w:nsid w:val="379A5B56"/>
    <w:multiLevelType w:val="hybridMultilevel"/>
    <w:lvl w:ilvl="0">
      <w:lvlJc w:val="left"/>
      <w:lvlText w:val="(%1)"/>
      <w:numFmt w:val="lowerLetter"/>
      <w:start w:val="1"/>
    </w:lvl>
  </w:abstractNum>
  <w:abstractNum w:abstractNumId="385">
    <w:nsid w:val="53B735D5"/>
    <w:multiLevelType w:val="hybridMultilevel"/>
    <w:lvl w:ilvl="0">
      <w:lvlJc w:val="left"/>
      <w:lvlText w:val="(%1)"/>
      <w:numFmt w:val="lowerRoman"/>
      <w:start w:val="2"/>
    </w:lvl>
  </w:abstractNum>
  <w:abstractNum w:abstractNumId="386">
    <w:nsid w:val="29784870"/>
    <w:multiLevelType w:val="hybridMultilevel"/>
    <w:lvl w:ilvl="0">
      <w:lvlJc w:val="left"/>
      <w:lvlText w:val="(%1)"/>
      <w:numFmt w:val="lowerRoman"/>
      <w:start w:val="3"/>
    </w:lvl>
  </w:abstractNum>
  <w:abstractNum w:abstractNumId="387">
    <w:nsid w:val="4CDCED4C"/>
    <w:multiLevelType w:val="hybridMultilevel"/>
    <w:lvl w:ilvl="0">
      <w:lvlJc w:val="left"/>
      <w:lvlText w:val="(%1)"/>
      <w:numFmt w:val="lowerLetter"/>
      <w:start w:val="1"/>
    </w:lvl>
  </w:abstractNum>
  <w:abstractNum w:abstractNumId="388">
    <w:nsid w:val="10A30D9C"/>
    <w:multiLevelType w:val="hybridMultilevel"/>
    <w:lvl w:ilvl="0">
      <w:lvlJc w:val="left"/>
      <w:lvlText w:val="%1"/>
      <w:numFmt w:val="lowerLetter"/>
      <w:start w:val="1"/>
    </w:lvl>
    <w:lvl w:ilvl="1">
      <w:lvlJc w:val="left"/>
      <w:lvlText w:val="(%2)"/>
      <w:numFmt w:val="lowerLetter"/>
      <w:start w:val="35"/>
    </w:lvl>
  </w:abstractNum>
  <w:abstractNum w:abstractNumId="389">
    <w:nsid w:val="A66E486"/>
    <w:multiLevelType w:val="hybridMultilevel"/>
    <w:lvl w:ilvl="0">
      <w:lvlJc w:val="left"/>
      <w:lvlText w:val="(%1)"/>
      <w:numFmt w:val="lowerLetter"/>
      <w:start w:val="4"/>
    </w:lvl>
    <w:lvl w:ilvl="1">
      <w:lvlJc w:val="left"/>
      <w:lvlText w:val="%2"/>
      <w:numFmt w:val="lowerLetter"/>
      <w:start w:val="1"/>
    </w:lvl>
  </w:abstractNum>
  <w:abstractNum w:abstractNumId="390">
    <w:nsid w:val="306235EA"/>
    <w:multiLevelType w:val="hybridMultilevel"/>
    <w:lvl w:ilvl="0">
      <w:lvlJc w:val="left"/>
      <w:lvlText w:val="(%1)"/>
      <w:numFmt w:val="lowerLetter"/>
      <w:start w:val="6"/>
    </w:lvl>
  </w:abstractNum>
  <w:abstractNum w:abstractNumId="391">
    <w:nsid w:val="1187C70F"/>
    <w:multiLevelType w:val="hybridMultilevel"/>
    <w:lvl w:ilvl="0">
      <w:lvlJc w:val="left"/>
      <w:lvlText w:val="(%1)"/>
      <w:numFmt w:val="lowerLetter"/>
      <w:start w:val="1"/>
    </w:lvl>
    <w:lvl w:ilvl="1">
      <w:lvlJc w:val="left"/>
      <w:lvlText w:val="(%2)"/>
      <w:numFmt w:val="lowerRoman"/>
      <w:start w:val="1"/>
    </w:lvl>
  </w:abstractNum>
  <w:abstractNum w:abstractNumId="392">
    <w:nsid w:val="5476DE98"/>
    <w:multiLevelType w:val="hybridMultilevel"/>
    <w:lvl w:ilvl="0">
      <w:lvlJc w:val="left"/>
      <w:lvlText w:val="(%1)"/>
      <w:numFmt w:val="lowerRoman"/>
      <w:start w:val="2"/>
    </w:lvl>
  </w:abstractNum>
  <w:abstractNum w:abstractNumId="393">
    <w:nsid w:val="EA697F2"/>
    <w:multiLevelType w:val="hybridMultilevel"/>
    <w:lvl w:ilvl="0">
      <w:lvlJc w:val="left"/>
      <w:lvlText w:val="(%1)"/>
      <w:numFmt w:val="lowerRoman"/>
      <w:start w:val="4"/>
    </w:lvl>
  </w:abstractNum>
  <w:abstractNum w:abstractNumId="394">
    <w:nsid w:val="70BA39EB"/>
    <w:multiLevelType w:val="hybridMultilevel"/>
    <w:lvl w:ilvl="0">
      <w:lvlJc w:val="left"/>
      <w:lvlText w:val="(%1)"/>
      <w:numFmt w:val="lowerLetter"/>
      <w:start w:val="1"/>
    </w:lvl>
    <w:lvl w:ilvl="1">
      <w:lvlJc w:val="left"/>
      <w:lvlText w:val="(%2)"/>
      <w:numFmt w:val="lowerRoman"/>
      <w:start w:val="2"/>
    </w:lvl>
  </w:abstractNum>
  <w:abstractNum w:abstractNumId="395">
    <w:nsid w:val="4A8DB59C"/>
    <w:multiLevelType w:val="hybridMultilevel"/>
    <w:lvl w:ilvl="0">
      <w:lvlJc w:val="left"/>
      <w:lvlText w:val="(%1)"/>
      <w:numFmt w:val="upperLetter"/>
      <w:start w:val="3"/>
    </w:lvl>
    <w:lvl w:ilvl="1">
      <w:lvlJc w:val="left"/>
      <w:lvlText w:val="(%2)"/>
      <w:numFmt w:val="lowerRoman"/>
      <w:start w:val="4"/>
    </w:lvl>
  </w:abstractNum>
  <w:abstractNum w:abstractNumId="396">
    <w:nsid w:val="1AFD9053"/>
    <w:multiLevelType w:val="hybridMultilevel"/>
    <w:lvl w:ilvl="0">
      <w:lvlJc w:val="left"/>
      <w:lvlText w:val="(%1)"/>
      <w:numFmt w:val="lowerLetter"/>
      <w:start w:val="2"/>
    </w:lvl>
    <w:lvl w:ilvl="1">
      <w:lvlJc w:val="left"/>
      <w:lvlText w:val="(%2)"/>
      <w:numFmt w:val="lowerRoman"/>
      <w:start w:val="2"/>
    </w:lvl>
  </w:abstractNum>
  <w:abstractNum w:abstractNumId="397">
    <w:nsid w:val="558BB10D"/>
    <w:multiLevelType w:val="hybridMultilevel"/>
    <w:lvl w:ilvl="0">
      <w:lvlJc w:val="left"/>
      <w:lvlText w:val="(%1)"/>
      <w:numFmt w:val="lowerLetter"/>
      <w:start w:val="3"/>
    </w:lvl>
    <w:lvl w:ilvl="1">
      <w:lvlJc w:val="left"/>
      <w:lvlText w:val="(%2)"/>
      <w:numFmt w:val="lowerRoman"/>
      <w:start w:val="2"/>
    </w:lvl>
  </w:abstractNum>
  <w:abstractNum w:abstractNumId="398">
    <w:nsid w:val="43B27FA7"/>
    <w:multiLevelType w:val="hybridMultilevel"/>
    <w:lvl w:ilvl="0">
      <w:lvlJc w:val="left"/>
      <w:lvlText w:val="(%1)"/>
      <w:numFmt w:val="lowerRoman"/>
      <w:start w:val="5"/>
    </w:lvl>
  </w:abstractNum>
  <w:abstractNum w:abstractNumId="399">
    <w:nsid w:val="27FADEFA"/>
    <w:multiLevelType w:val="hybridMultilevel"/>
    <w:lvl w:ilvl="0">
      <w:lvlJc w:val="left"/>
      <w:lvlText w:val="%1"/>
      <w:numFmt w:val="lowerLetter"/>
      <w:start w:val="1"/>
    </w:lvl>
    <w:lvl w:ilvl="1">
      <w:lvlJc w:val="left"/>
      <w:lvlText w:val="(%2)"/>
      <w:numFmt w:val="lowerRoman"/>
      <w:start w:val="7"/>
    </w:lvl>
  </w:abstractNum>
  <w:abstractNum w:abstractNumId="400">
    <w:nsid w:val="78BB805A"/>
    <w:multiLevelType w:val="hybridMultilevel"/>
    <w:lvl w:ilvl="0">
      <w:lvlJc w:val="left"/>
      <w:lvlText w:val="(%1)"/>
      <w:numFmt w:val="lowerLetter"/>
      <w:start w:val="5"/>
    </w:lvl>
    <w:lvl w:ilvl="1">
      <w:lvlJc w:val="left"/>
      <w:lvlText w:val="(%2)"/>
      <w:numFmt w:val="lowerRoman"/>
      <w:start w:val="2"/>
    </w:lvl>
  </w:abstractNum>
  <w:abstractNum w:abstractNumId="401">
    <w:nsid w:val="62548FD8"/>
    <w:multiLevelType w:val="hybridMultilevel"/>
    <w:lvl w:ilvl="0">
      <w:lvlJc w:val="left"/>
      <w:lvlText w:val="%1"/>
      <w:numFmt w:val="lowerLetter"/>
      <w:start w:val="1"/>
    </w:lvl>
    <w:lvl w:ilvl="1">
      <w:lvlJc w:val="left"/>
      <w:lvlText w:val="(%2)"/>
      <w:numFmt w:val="lowerRoman"/>
      <w:start w:val="5"/>
    </w:lvl>
  </w:abstractNum>
  <w:abstractNum w:abstractNumId="402">
    <w:nsid w:val="FA085B0"/>
    <w:multiLevelType w:val="hybridMultilevel"/>
    <w:lvl w:ilvl="0">
      <w:lvlJc w:val="left"/>
      <w:lvlText w:val="(%1)"/>
      <w:numFmt w:val="lowerLetter"/>
      <w:start w:val="7"/>
    </w:lvl>
    <w:lvl w:ilvl="1">
      <w:lvlJc w:val="left"/>
      <w:lvlText w:val="%2"/>
      <w:numFmt w:val="lowerRoman"/>
      <w:start w:val="1"/>
    </w:lvl>
  </w:abstractNum>
  <w:abstractNum w:abstractNumId="403">
    <w:nsid w:val="4E5DCB5"/>
    <w:multiLevelType w:val="hybridMultilevel"/>
    <w:lvl w:ilvl="0">
      <w:lvlJc w:val="left"/>
      <w:lvlText w:val="(%1)"/>
      <w:numFmt w:val="lowerLetter"/>
      <w:start w:val="8"/>
    </w:lvl>
  </w:abstractNum>
  <w:abstractNum w:abstractNumId="404">
    <w:nsid w:val="41E96BDB"/>
    <w:multiLevelType w:val="hybridMultilevel"/>
    <w:lvl w:ilvl="0">
      <w:lvlJc w:val="left"/>
      <w:lvlText w:val="(%1)"/>
      <w:numFmt w:val="lowerLetter"/>
      <w:start w:val="1"/>
    </w:lvl>
    <w:lvl w:ilvl="1">
      <w:lvlJc w:val="left"/>
      <w:lvlText w:val="(%2)"/>
      <w:numFmt w:val="lowerRoman"/>
      <w:start w:val="1"/>
    </w:lvl>
  </w:abstractNum>
  <w:abstractNum w:abstractNumId="405">
    <w:nsid w:val="331C4250"/>
    <w:multiLevelType w:val="hybridMultilevel"/>
    <w:lvl w:ilvl="0">
      <w:lvlJc w:val="left"/>
      <w:lvlText w:val="%1"/>
      <w:numFmt w:val="lowerLetter"/>
      <w:start w:val="1"/>
    </w:lvl>
    <w:lvl w:ilvl="1">
      <w:lvlJc w:val="left"/>
      <w:lvlText w:val="(%2)"/>
      <w:numFmt w:val="lowerRoman"/>
      <w:start w:val="2"/>
    </w:lvl>
  </w:abstractNum>
  <w:abstractNum w:abstractNumId="406">
    <w:nsid w:val="1B1493C2"/>
    <w:multiLevelType w:val="hybridMultilevel"/>
    <w:lvl w:ilvl="0">
      <w:lvlJc w:val="left"/>
      <w:lvlText w:val="(%1)"/>
      <w:numFmt w:val="lowerLetter"/>
      <w:start w:val="1"/>
    </w:lvl>
  </w:abstractNum>
  <w:abstractNum w:abstractNumId="407">
    <w:nsid w:val="39F06DFD"/>
    <w:multiLevelType w:val="hybridMultilevel"/>
    <w:lvl w:ilvl="0">
      <w:lvlJc w:val="left"/>
      <w:lvlText w:val="(%1)"/>
      <w:numFmt w:val="lowerLetter"/>
      <w:start w:val="2"/>
    </w:lvl>
  </w:abstractNum>
  <w:abstractNum w:abstractNumId="408">
    <w:nsid w:val="14802F5D"/>
    <w:multiLevelType w:val="hybridMultilevel"/>
    <w:lvl w:ilvl="0">
      <w:lvlJc w:val="left"/>
      <w:lvlText w:val="(%1)"/>
      <w:numFmt w:val="lowerLetter"/>
      <w:start w:val="4"/>
    </w:lvl>
  </w:abstractNum>
  <w:abstractNum w:abstractNumId="409">
    <w:nsid w:val="2774A209"/>
    <w:multiLevelType w:val="hybridMultilevel"/>
    <w:lvl w:ilvl="0">
      <w:lvlJc w:val="left"/>
      <w:lvlText w:val="(%1)"/>
      <w:numFmt w:val="lowerLetter"/>
      <w:start w:val="5"/>
    </w:lvl>
  </w:abstractNum>
  <w:abstractNum w:abstractNumId="410">
    <w:nsid w:val="3785655A"/>
    <w:multiLevelType w:val="hybridMultilevel"/>
    <w:lvl w:ilvl="0">
      <w:lvlJc w:val="left"/>
      <w:lvlText w:val="(%1)"/>
      <w:numFmt w:val="lowerLetter"/>
      <w:start w:val="1"/>
    </w:lvl>
  </w:abstractNum>
  <w:abstractNum w:abstractNumId="411">
    <w:nsid w:val="B2172A"/>
    <w:multiLevelType w:val="hybridMultilevel"/>
    <w:lvl w:ilvl="0">
      <w:lvlJc w:val="left"/>
      <w:lvlText w:val="(%1)"/>
      <w:numFmt w:val="lowerLetter"/>
      <w:start w:val="2"/>
    </w:lvl>
  </w:abstractNum>
  <w:abstractNum w:abstractNumId="412">
    <w:nsid w:val="532C34A5"/>
    <w:multiLevelType w:val="hybridMultilevel"/>
    <w:lvl w:ilvl="0">
      <w:lvlJc w:val="left"/>
      <w:lvlText w:val="(%1)"/>
      <w:numFmt w:val="lowerLetter"/>
      <w:start w:val="1"/>
    </w:lvl>
  </w:abstractNum>
  <w:abstractNum w:abstractNumId="413">
    <w:nsid w:val="102809E2"/>
    <w:multiLevelType w:val="hybridMultilevel"/>
    <w:lvl w:ilvl="0">
      <w:lvlJc w:val="left"/>
      <w:lvlText w:val="(%1)"/>
      <w:numFmt w:val="lowerRoman"/>
      <w:start w:val="2"/>
    </w:lvl>
  </w:abstractNum>
  <w:abstractNum w:abstractNumId="414">
    <w:nsid w:val="3B2125A3"/>
    <w:multiLevelType w:val="hybridMultilevel"/>
    <w:lvl w:ilvl="0">
      <w:lvlJc w:val="left"/>
      <w:lvlText w:val="(%1)"/>
      <w:numFmt w:val="lowerLetter"/>
      <w:start w:val="1"/>
    </w:lvl>
  </w:abstractNum>
  <w:abstractNum w:abstractNumId="415">
    <w:nsid w:val="AC68FFB"/>
    <w:multiLevelType w:val="hybridMultilevel"/>
    <w:lvl w:ilvl="0">
      <w:lvlJc w:val="left"/>
      <w:lvlText w:val="(%1)"/>
      <w:numFmt w:val="lowerLetter"/>
      <w:start w:val="2"/>
    </w:lvl>
    <w:lvl w:ilvl="1">
      <w:lvlJc w:val="left"/>
      <w:lvlText w:val="(%2)"/>
      <w:numFmt w:val="lowerRoman"/>
      <w:start w:val="2"/>
    </w:lvl>
  </w:abstractNum>
  <w:abstractNum w:abstractNumId="416">
    <w:nsid w:val="63DF3FB7"/>
    <w:multiLevelType w:val="hybridMultilevel"/>
    <w:lvl w:ilvl="0">
      <w:lvlJc w:val="left"/>
      <w:lvlText w:val="(%1)"/>
      <w:numFmt w:val="lowerLetter"/>
      <w:start w:val="3"/>
    </w:lvl>
  </w:abstractNum>
  <w:abstractNum w:abstractNumId="417">
    <w:nsid w:val="64996E13"/>
    <w:multiLevelType w:val="hybridMultilevel"/>
    <w:lvl w:ilvl="0">
      <w:lvlJc w:val="left"/>
      <w:lvlText w:val="(%1)"/>
      <w:numFmt w:val="lowerLetter"/>
      <w:start w:val="1"/>
    </w:lvl>
  </w:abstractNum>
  <w:abstractNum w:abstractNumId="418">
    <w:nsid w:val="57A37D47"/>
    <w:multiLevelType w:val="hybridMultilevel"/>
    <w:lvl w:ilvl="0">
      <w:lvlJc w:val="left"/>
      <w:lvlText w:val="(%1)"/>
      <w:numFmt w:val="lowerLetter"/>
      <w:start w:val="2"/>
    </w:lvl>
    <w:lvl w:ilvl="1">
      <w:lvlJc w:val="left"/>
      <w:lvlText w:val="(%2)"/>
      <w:numFmt w:val="upperLetter"/>
      <w:start w:val="1"/>
    </w:lvl>
  </w:abstractNum>
  <w:abstractNum w:abstractNumId="419">
    <w:nsid w:val="74824D54"/>
    <w:multiLevelType w:val="hybridMultilevel"/>
    <w:lvl w:ilvl="0">
      <w:lvlJc w:val="left"/>
      <w:lvlText w:val="(%1)"/>
      <w:numFmt w:val="lowerLetter"/>
      <w:start w:val="5"/>
    </w:lvl>
    <w:lvl w:ilvl="1">
      <w:lvlJc w:val="left"/>
      <w:lvlText w:val="(%2)"/>
      <w:numFmt w:val="lowerRoman"/>
      <w:start w:val="1"/>
    </w:lvl>
    <w:lvl w:ilvl="2">
      <w:lvlJc w:val="left"/>
      <w:lvlText w:val="(%3)"/>
      <w:numFmt w:val="lowerRoman"/>
      <w:start w:val="1"/>
    </w:lvl>
  </w:abstractNum>
  <w:abstractNum w:abstractNumId="420">
    <w:nsid w:val="6F00529A"/>
    <w:multiLevelType w:val="hybridMultilevel"/>
    <w:lvl w:ilvl="0">
      <w:lvlJc w:val="left"/>
      <w:lvlText w:val="(%1)"/>
      <w:numFmt w:val="lowerLetter"/>
      <w:start w:val="1"/>
    </w:lvl>
    <w:lvl w:ilvl="1">
      <w:lvlJc w:val="left"/>
      <w:lvlText w:val="(%2)"/>
      <w:numFmt w:val="lowerLetter"/>
      <w:start w:val="35"/>
    </w:lvl>
  </w:abstractNum>
  <w:abstractNum w:abstractNumId="421">
    <w:nsid w:val="805B331"/>
    <w:multiLevelType w:val="hybridMultilevel"/>
    <w:lvl w:ilvl="0">
      <w:lvlJc w:val="left"/>
      <w:lvlText w:val="%1"/>
      <w:numFmt w:val="lowerLetter"/>
      <w:start w:val="1"/>
    </w:lvl>
    <w:lvl w:ilvl="1">
      <w:lvlJc w:val="left"/>
      <w:lvlText w:val="(%2)"/>
      <w:numFmt w:val="lowerLetter"/>
      <w:start w:val="61"/>
    </w:lvl>
  </w:abstractNum>
  <w:abstractNum w:abstractNumId="422">
    <w:nsid w:val="60A1463"/>
    <w:multiLevelType w:val="hybridMultilevel"/>
    <w:lvl w:ilvl="0">
      <w:lvlJc w:val="left"/>
      <w:lvlText w:val="(%1)"/>
      <w:numFmt w:val="lowerLetter"/>
      <w:start w:val="4"/>
    </w:lvl>
    <w:lvl w:ilvl="1">
      <w:lvlJc w:val="left"/>
      <w:lvlText w:val="%2"/>
      <w:numFmt w:val="lowerLetter"/>
      <w:start w:val="1"/>
    </w:lvl>
  </w:abstractNum>
  <w:abstractNum w:abstractNumId="423">
    <w:nsid w:val="43773132"/>
    <w:multiLevelType w:val="hybridMultilevel"/>
    <w:lvl w:ilvl="0">
      <w:lvlJc w:val="left"/>
      <w:lvlText w:val="(%1)"/>
      <w:numFmt w:val="lowerLetter"/>
      <w:start w:val="7"/>
    </w:lvl>
  </w:abstractNum>
  <w:abstractNum w:abstractNumId="424">
    <w:nsid w:val="16AC4B23"/>
    <w:multiLevelType w:val="hybridMultilevel"/>
    <w:lvl w:ilvl="0">
      <w:lvlJc w:val="left"/>
      <w:lvlText w:val="%1"/>
      <w:numFmt w:val="lowerLetter"/>
      <w:start w:val="1"/>
    </w:lvl>
    <w:lvl w:ilvl="1">
      <w:lvlJc w:val="left"/>
      <w:lvlText w:val="(%2)"/>
      <w:numFmt w:val="lowerRoman"/>
      <w:start w:val="2"/>
    </w:lvl>
  </w:abstractNum>
  <w:abstractNum w:abstractNumId="425">
    <w:nsid w:val="76C44E4E"/>
    <w:multiLevelType w:val="hybridMultilevel"/>
    <w:lvl w:ilvl="0">
      <w:lvlJc w:val="left"/>
      <w:lvlText w:val="(%1)"/>
      <w:numFmt w:val="lowerLetter"/>
      <w:start w:val="10"/>
    </w:lvl>
    <w:lvl w:ilvl="1">
      <w:lvlJc w:val="left"/>
      <w:lvlText w:val="%2"/>
      <w:numFmt w:val="lowerRoman"/>
      <w:start w:val="1"/>
    </w:lvl>
  </w:abstractNum>
  <w:abstractNum w:abstractNumId="426">
    <w:nsid w:val="E04E6CE"/>
    <w:multiLevelType w:val="hybridMultilevel"/>
    <w:lvl w:ilvl="0">
      <w:lvlJc w:val="left"/>
      <w:lvlText w:val="(%1)"/>
      <w:numFmt w:val="lowerLetter"/>
      <w:start w:val="11"/>
    </w:lvl>
    <w:lvl w:ilvl="1">
      <w:lvlJc w:val="left"/>
      <w:lvlText w:val="(%2)"/>
      <w:numFmt w:val="lowerRoman"/>
      <w:start w:val="2"/>
    </w:lvl>
  </w:abstractNum>
  <w:abstractNum w:abstractNumId="427">
    <w:nsid w:val="31A9DB76"/>
    <w:multiLevelType w:val="hybridMultilevel"/>
    <w:lvl w:ilvl="0">
      <w:lvlJc w:val="left"/>
      <w:lvlText w:val="%1"/>
      <w:numFmt w:val="lowerLetter"/>
      <w:start w:val="1"/>
    </w:lvl>
    <w:lvl w:ilvl="1">
      <w:lvlJc w:val="left"/>
      <w:lvlText w:val="(%2)"/>
      <w:numFmt w:val="lowerRoman"/>
      <w:start w:val="4"/>
    </w:lvl>
  </w:abstractNum>
  <w:abstractNum w:abstractNumId="428">
    <w:nsid w:val="4C4FFF5B"/>
    <w:multiLevelType w:val="hybridMultilevel"/>
    <w:lvl w:ilvl="0">
      <w:lvlJc w:val="left"/>
      <w:lvlText w:val="(%1)"/>
      <w:numFmt w:val="lowerLetter"/>
      <w:start w:val="14"/>
    </w:lvl>
    <w:lvl w:ilvl="1">
      <w:lvlJc w:val="left"/>
      <w:lvlText w:val="%2"/>
      <w:numFmt w:val="lowerRoman"/>
      <w:start w:val="1"/>
    </w:lvl>
  </w:abstractNum>
  <w:abstractNum w:abstractNumId="429">
    <w:nsid w:val="51B76675"/>
    <w:multiLevelType w:val="hybridMultilevel"/>
    <w:lvl w:ilvl="0">
      <w:lvlJc w:val="left"/>
      <w:lvlText w:val="%1"/>
      <w:numFmt w:val="lowerLetter"/>
      <w:start w:val="1"/>
    </w:lvl>
    <w:lvl w:ilvl="1">
      <w:lvlJc w:val="left"/>
      <w:lvlText w:val="(%2)"/>
      <w:numFmt w:val="lowerLetter"/>
      <w:start w:val="35"/>
    </w:lvl>
  </w:abstractNum>
  <w:abstractNum w:abstractNumId="430">
    <w:nsid w:val="59A4BA71"/>
    <w:multiLevelType w:val="hybridMultilevel"/>
    <w:lvl w:ilvl="0">
      <w:lvlJc w:val="left"/>
      <w:lvlText w:val="(%1)"/>
      <w:numFmt w:val="lowerLetter"/>
      <w:start w:val="15"/>
    </w:lvl>
    <w:lvl w:ilvl="1">
      <w:lvlJc w:val="left"/>
      <w:lvlText w:val="%2"/>
      <w:numFmt w:val="lowerLetter"/>
      <w:start w:val="1"/>
    </w:lvl>
  </w:abstractNum>
  <w:abstractNum w:abstractNumId="431">
    <w:nsid w:val="450B7FB6"/>
    <w:multiLevelType w:val="hybridMultilevel"/>
    <w:lvl w:ilvl="0">
      <w:lvlJc w:val="left"/>
      <w:lvlText w:val="(%1)"/>
      <w:numFmt w:val="lowerLetter"/>
      <w:start w:val="16"/>
    </w:lvl>
  </w:abstractNum>
  <w:abstractNum w:abstractNumId="432">
    <w:nsid w:val="340BF64D"/>
    <w:multiLevelType w:val="hybridMultilevel"/>
    <w:lvl w:ilvl="0">
      <w:lvlJc w:val="left"/>
      <w:lvlText w:val="%1."/>
      <w:numFmt w:val="decimal"/>
      <w:start w:val="1"/>
    </w:lvl>
    <w:lvl w:ilvl="1">
      <w:lvlJc w:val="left"/>
      <w:lvlText w:val="%2)"/>
      <w:numFmt w:val="lowerLetter"/>
      <w:start w:val="1"/>
    </w:lvl>
  </w:abstractNum>
  <w:abstractNum w:abstractNumId="433">
    <w:nsid w:val="69454021"/>
    <w:multiLevelType w:val="hybridMultilevel"/>
    <w:lvl w:ilvl="0">
      <w:lvlJc w:val="left"/>
      <w:lvlText w:val="%1."/>
      <w:numFmt w:val="decimal"/>
      <w:start w:val="1"/>
    </w:lvl>
    <w:lvl w:ilvl="1">
      <w:lvlJc w:val="left"/>
      <w:lvlText w:val="%2)"/>
      <w:numFmt w:val="lowerLetter"/>
      <w:start w:val="1"/>
    </w:lvl>
  </w:abstractNum>
  <w:abstractNum w:abstractNumId="434">
    <w:nsid w:val="49F15C6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300" Type="http://schemas.openxmlformats.org/officeDocument/2006/relationships/image" Target="media/image291.png"/><Relationship Id="rId301" Type="http://schemas.openxmlformats.org/officeDocument/2006/relationships/image" Target="media/image292.png"/><Relationship Id="rId302" Type="http://schemas.openxmlformats.org/officeDocument/2006/relationships/image" Target="media/image293.png"/><Relationship Id="rId303" Type="http://schemas.openxmlformats.org/officeDocument/2006/relationships/image" Target="media/image294.png"/><Relationship Id="rId304" Type="http://schemas.openxmlformats.org/officeDocument/2006/relationships/image" Target="media/image295.png"/><Relationship Id="rId305" Type="http://schemas.openxmlformats.org/officeDocument/2006/relationships/image" Target="media/image296.png"/><Relationship Id="rId306" Type="http://schemas.openxmlformats.org/officeDocument/2006/relationships/image" Target="media/image297.png"/><Relationship Id="rId307" Type="http://schemas.openxmlformats.org/officeDocument/2006/relationships/image" Target="media/image298.png"/><Relationship Id="rId308" Type="http://schemas.openxmlformats.org/officeDocument/2006/relationships/image" Target="media/image299.png"/><Relationship Id="rId309" Type="http://schemas.openxmlformats.org/officeDocument/2006/relationships/image" Target="media/image300.png"/><Relationship Id="rId310" Type="http://schemas.openxmlformats.org/officeDocument/2006/relationships/image" Target="media/image301.png"/><Relationship Id="rId311" Type="http://schemas.openxmlformats.org/officeDocument/2006/relationships/image" Target="media/image302.png"/><Relationship Id="rId312" Type="http://schemas.openxmlformats.org/officeDocument/2006/relationships/image" Target="media/image303.png"/><Relationship Id="rId313" Type="http://schemas.openxmlformats.org/officeDocument/2006/relationships/image" Target="media/image304.png"/><Relationship Id="rId314" Type="http://schemas.openxmlformats.org/officeDocument/2006/relationships/image" Target="media/image305.png"/><Relationship Id="rId315" Type="http://schemas.openxmlformats.org/officeDocument/2006/relationships/image" Target="media/image306.png"/><Relationship Id="rId316" Type="http://schemas.openxmlformats.org/officeDocument/2006/relationships/image" Target="media/image307.png"/><Relationship Id="rId317" Type="http://schemas.openxmlformats.org/officeDocument/2006/relationships/image" Target="media/image308.png"/><Relationship Id="rId318" Type="http://schemas.openxmlformats.org/officeDocument/2006/relationships/image" Target="media/image309.png"/><Relationship Id="rId319" Type="http://schemas.openxmlformats.org/officeDocument/2006/relationships/image" Target="media/image310.png"/><Relationship Id="rId320" Type="http://schemas.openxmlformats.org/officeDocument/2006/relationships/image" Target="media/image311.png"/><Relationship Id="rId321" Type="http://schemas.openxmlformats.org/officeDocument/2006/relationships/image" Target="media/image312.png"/><Relationship Id="rId322" Type="http://schemas.openxmlformats.org/officeDocument/2006/relationships/image" Target="media/image313.png"/><Relationship Id="rId323" Type="http://schemas.openxmlformats.org/officeDocument/2006/relationships/image" Target="media/image314.png"/><Relationship Id="rId324" Type="http://schemas.openxmlformats.org/officeDocument/2006/relationships/image" Target="media/image315.png"/><Relationship Id="rId325" Type="http://schemas.openxmlformats.org/officeDocument/2006/relationships/image" Target="media/image316.png"/><Relationship Id="rId326" Type="http://schemas.openxmlformats.org/officeDocument/2006/relationships/image" Target="media/image317.png"/><Relationship Id="rId327" Type="http://schemas.openxmlformats.org/officeDocument/2006/relationships/image" Target="media/image318.png"/><Relationship Id="rId328" Type="http://schemas.openxmlformats.org/officeDocument/2006/relationships/image" Target="media/image319.png"/><Relationship Id="rId329" Type="http://schemas.openxmlformats.org/officeDocument/2006/relationships/image" Target="media/image320.png"/><Relationship Id="rId330" Type="http://schemas.openxmlformats.org/officeDocument/2006/relationships/image" Target="media/image321.png"/><Relationship Id="rId331" Type="http://schemas.openxmlformats.org/officeDocument/2006/relationships/image" Target="media/image322.png"/><Relationship Id="rId332" Type="http://schemas.openxmlformats.org/officeDocument/2006/relationships/image" Target="media/image323.png"/><Relationship Id="rId333" Type="http://schemas.openxmlformats.org/officeDocument/2006/relationships/image" Target="media/image324.png"/><Relationship Id="rId334" Type="http://schemas.openxmlformats.org/officeDocument/2006/relationships/image" Target="media/image325.png"/><Relationship Id="rId335" Type="http://schemas.openxmlformats.org/officeDocument/2006/relationships/image" Target="media/image326.png"/><Relationship Id="rId336" Type="http://schemas.openxmlformats.org/officeDocument/2006/relationships/image" Target="media/image327.png"/><Relationship Id="rId337" Type="http://schemas.openxmlformats.org/officeDocument/2006/relationships/image" Target="media/image328.png"/><Relationship Id="rId338" Type="http://schemas.openxmlformats.org/officeDocument/2006/relationships/image" Target="media/image329.png"/><Relationship Id="rId339" Type="http://schemas.openxmlformats.org/officeDocument/2006/relationships/image" Target="media/image330.png"/><Relationship Id="rId340" Type="http://schemas.openxmlformats.org/officeDocument/2006/relationships/image" Target="media/image331.png"/><Relationship Id="rId341" Type="http://schemas.openxmlformats.org/officeDocument/2006/relationships/image" Target="media/image332.png"/><Relationship Id="rId342" Type="http://schemas.openxmlformats.org/officeDocument/2006/relationships/image" Target="media/image333.png"/><Relationship Id="rId343" Type="http://schemas.openxmlformats.org/officeDocument/2006/relationships/image" Target="media/image334.png"/><Relationship Id="rId344" Type="http://schemas.openxmlformats.org/officeDocument/2006/relationships/image" Target="media/image335.png"/><Relationship Id="rId345" Type="http://schemas.openxmlformats.org/officeDocument/2006/relationships/image" Target="media/image336.png"/><Relationship Id="rId346" Type="http://schemas.openxmlformats.org/officeDocument/2006/relationships/image" Target="media/image337.png"/><Relationship Id="rId347" Type="http://schemas.openxmlformats.org/officeDocument/2006/relationships/image" Target="media/image338.png"/><Relationship Id="rId348" Type="http://schemas.openxmlformats.org/officeDocument/2006/relationships/image" Target="media/image339.png"/><Relationship Id="rId349" Type="http://schemas.openxmlformats.org/officeDocument/2006/relationships/image" Target="media/image340.png"/><Relationship Id="rId350" Type="http://schemas.openxmlformats.org/officeDocument/2006/relationships/image" Target="media/image341.png"/><Relationship Id="rId351" Type="http://schemas.openxmlformats.org/officeDocument/2006/relationships/image" Target="media/image342.png"/><Relationship Id="rId352" Type="http://schemas.openxmlformats.org/officeDocument/2006/relationships/image" Target="media/image343.png"/><Relationship Id="rId353" Type="http://schemas.openxmlformats.org/officeDocument/2006/relationships/image" Target="media/image344.png"/><Relationship Id="rId354" Type="http://schemas.openxmlformats.org/officeDocument/2006/relationships/image" Target="media/image345.png"/><Relationship Id="rId355" Type="http://schemas.openxmlformats.org/officeDocument/2006/relationships/image" Target="media/image346.png"/><Relationship Id="rId356" Type="http://schemas.openxmlformats.org/officeDocument/2006/relationships/image" Target="media/image347.png"/><Relationship Id="rId357" Type="http://schemas.openxmlformats.org/officeDocument/2006/relationships/image" Target="media/image348.png"/><Relationship Id="rId358" Type="http://schemas.openxmlformats.org/officeDocument/2006/relationships/image" Target="media/image349.png"/><Relationship Id="rId359" Type="http://schemas.openxmlformats.org/officeDocument/2006/relationships/image" Target="media/image350.png"/><Relationship Id="rId360" Type="http://schemas.openxmlformats.org/officeDocument/2006/relationships/image" Target="media/image351.png"/><Relationship Id="rId361" Type="http://schemas.openxmlformats.org/officeDocument/2006/relationships/image" Target="media/image352.png"/><Relationship Id="rId362" Type="http://schemas.openxmlformats.org/officeDocument/2006/relationships/image" Target="media/image353.png"/><Relationship Id="rId363" Type="http://schemas.openxmlformats.org/officeDocument/2006/relationships/image" Target="media/image354.png"/><Relationship Id="rId364" Type="http://schemas.openxmlformats.org/officeDocument/2006/relationships/image" Target="media/image355.png"/><Relationship Id="rId365" Type="http://schemas.openxmlformats.org/officeDocument/2006/relationships/image" Target="media/image356.png"/><Relationship Id="rId366" Type="http://schemas.openxmlformats.org/officeDocument/2006/relationships/image" Target="media/image357.png"/><Relationship Id="rId367" Type="http://schemas.openxmlformats.org/officeDocument/2006/relationships/image" Target="media/image358.png"/><Relationship Id="rId368" Type="http://schemas.openxmlformats.org/officeDocument/2006/relationships/image" Target="media/image359.png"/><Relationship Id="rId369" Type="http://schemas.openxmlformats.org/officeDocument/2006/relationships/image" Target="media/image360.png"/><Relationship Id="rId370" Type="http://schemas.openxmlformats.org/officeDocument/2006/relationships/image" Target="media/image361.png"/><Relationship Id="rId371" Type="http://schemas.openxmlformats.org/officeDocument/2006/relationships/image" Target="media/image362.png"/><Relationship Id="rId372" Type="http://schemas.openxmlformats.org/officeDocument/2006/relationships/image" Target="media/image363.png"/><Relationship Id="rId373" Type="http://schemas.openxmlformats.org/officeDocument/2006/relationships/image" Target="media/image364.png"/><Relationship Id="rId374" Type="http://schemas.openxmlformats.org/officeDocument/2006/relationships/image" Target="media/image365.png"/><Relationship Id="rId298" Type="http://schemas.openxmlformats.org/officeDocument/2006/relationships/hyperlink" Target="https://www.sec.gov/Archives/edgar/data/42582/000119312525133852/d69930dex42.htm" TargetMode="External"/><Relationship Id="rId299" Type="http://schemas.openxmlformats.org/officeDocument/2006/relationships/hyperlink" Target="https://www.sec.gov/Archives/edgar/data/42582/000119312525082853/d92831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2025-08-08T10:37:42Z</dcterms:created>
  <dcterms:modified xsi:type="dcterms:W3CDTF">2025-08-08T10:37:42Z</dcterms:modified>
</cp:coreProperties>
</file>