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8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3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2023</w:t>
      </w:r>
    </w:p>
    <w:p>
      <w:pPr>
        <w:spacing w:after="0" w:line="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Commission File Number: 1-1927</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THE GOODYEAR TIRE &amp; RUBBER COMPANY</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40" w:type="dxa"/>
            <w:vAlign w:val="bottom"/>
          </w:tcPr>
          <w:p>
            <w:pPr>
              <w:spacing w:after="0"/>
              <w:rPr>
                <w:sz w:val="16"/>
                <w:szCs w:val="16"/>
                <w:color w:val="auto"/>
              </w:rPr>
            </w:pPr>
          </w:p>
        </w:tc>
        <w:tc>
          <w:tcPr>
            <w:tcW w:w="38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520" w:type="dxa"/>
            <w:vAlign w:val="bottom"/>
          </w:tcPr>
          <w:p>
            <w:pPr>
              <w:spacing w:after="0"/>
              <w:rPr>
                <w:sz w:val="16"/>
                <w:szCs w:val="16"/>
                <w:color w:val="auto"/>
              </w:rPr>
            </w:pPr>
          </w:p>
        </w:tc>
      </w:tr>
      <w:tr>
        <w:trPr>
          <w:trHeight w:val="211"/>
        </w:trPr>
        <w:tc>
          <w:tcPr>
            <w:tcW w:w="3840" w:type="dxa"/>
            <w:vAlign w:val="bottom"/>
          </w:tcPr>
          <w:p>
            <w:pPr>
              <w:jc w:val="center"/>
              <w:ind w:left="1670"/>
              <w:spacing w:after="0"/>
              <w:rPr>
                <w:sz w:val="20"/>
                <w:szCs w:val="20"/>
                <w:color w:val="auto"/>
              </w:rPr>
            </w:pPr>
            <w:r>
              <w:rPr>
                <w:rFonts w:ascii="Times New Roman" w:cs="Times New Roman" w:eastAsia="Times New Roman" w:hAnsi="Times New Roman"/>
                <w:sz w:val="14"/>
                <w:szCs w:val="14"/>
                <w:b w:val="1"/>
                <w:bCs w:val="1"/>
                <w:color w:val="auto"/>
              </w:rPr>
              <w:t>Ohio</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20" w:type="dxa"/>
            <w:vAlign w:val="bottom"/>
          </w:tcPr>
          <w:p>
            <w:pPr>
              <w:jc w:val="center"/>
              <w:ind w:right="1971"/>
              <w:spacing w:after="0"/>
              <w:rPr>
                <w:sz w:val="20"/>
                <w:szCs w:val="20"/>
                <w:color w:val="auto"/>
              </w:rPr>
            </w:pPr>
            <w:r>
              <w:rPr>
                <w:rFonts w:ascii="Times New Roman" w:cs="Times New Roman" w:eastAsia="Times New Roman" w:hAnsi="Times New Roman"/>
                <w:sz w:val="14"/>
                <w:szCs w:val="14"/>
                <w:b w:val="1"/>
                <w:bCs w:val="1"/>
                <w:color w:val="auto"/>
              </w:rPr>
              <w:t>34-0253240</w:t>
            </w:r>
          </w:p>
        </w:tc>
      </w:tr>
      <w:tr>
        <w:trPr>
          <w:trHeight w:val="163"/>
        </w:trPr>
        <w:tc>
          <w:tcPr>
            <w:tcW w:w="3840" w:type="dxa"/>
            <w:vAlign w:val="bottom"/>
          </w:tcPr>
          <w:p>
            <w:pPr>
              <w:jc w:val="center"/>
              <w:ind w:left="167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520" w:type="dxa"/>
            <w:vAlign w:val="bottom"/>
          </w:tcPr>
          <w:p>
            <w:pPr>
              <w:jc w:val="center"/>
              <w:ind w:right="197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8"/>
        </w:trPr>
        <w:tc>
          <w:tcPr>
            <w:tcW w:w="3840" w:type="dxa"/>
            <w:vAlign w:val="bottom"/>
          </w:tcPr>
          <w:p>
            <w:pPr>
              <w:jc w:val="center"/>
              <w:ind w:left="167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520" w:type="dxa"/>
            <w:vAlign w:val="bottom"/>
          </w:tcPr>
          <w:p>
            <w:pPr>
              <w:jc w:val="center"/>
              <w:ind w:right="197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3"/>
        </w:trPr>
        <w:tc>
          <w:tcPr>
            <w:tcW w:w="3840" w:type="dxa"/>
            <w:vAlign w:val="bottom"/>
          </w:tcPr>
          <w:p>
            <w:pPr>
              <w:jc w:val="center"/>
              <w:ind w:left="1690"/>
              <w:spacing w:after="0"/>
              <w:rPr>
                <w:sz w:val="20"/>
                <w:szCs w:val="20"/>
                <w:color w:val="auto"/>
              </w:rPr>
            </w:pPr>
            <w:r>
              <w:rPr>
                <w:rFonts w:ascii="Times New Roman" w:cs="Times New Roman" w:eastAsia="Times New Roman" w:hAnsi="Times New Roman"/>
                <w:sz w:val="14"/>
                <w:szCs w:val="14"/>
                <w:b w:val="1"/>
                <w:bCs w:val="1"/>
                <w:color w:val="auto"/>
              </w:rPr>
              <w:t>200 Innovation Way, Akron, Ohio</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20" w:type="dxa"/>
            <w:vAlign w:val="bottom"/>
          </w:tcPr>
          <w:p>
            <w:pPr>
              <w:jc w:val="center"/>
              <w:ind w:right="1971"/>
              <w:spacing w:after="0"/>
              <w:rPr>
                <w:sz w:val="20"/>
                <w:szCs w:val="20"/>
                <w:color w:val="auto"/>
              </w:rPr>
            </w:pPr>
            <w:r>
              <w:rPr>
                <w:rFonts w:ascii="Times New Roman" w:cs="Times New Roman" w:eastAsia="Times New Roman" w:hAnsi="Times New Roman"/>
                <w:sz w:val="14"/>
                <w:szCs w:val="14"/>
                <w:b w:val="1"/>
                <w:bCs w:val="1"/>
                <w:color w:val="auto"/>
              </w:rPr>
              <w:t>44316-0001</w:t>
            </w:r>
          </w:p>
        </w:tc>
      </w:tr>
      <w:tr>
        <w:trPr>
          <w:trHeight w:val="202"/>
        </w:trPr>
        <w:tc>
          <w:tcPr>
            <w:tcW w:w="7720" w:type="dxa"/>
            <w:vAlign w:val="bottom"/>
            <w:gridSpan w:val="6"/>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20" w:type="dxa"/>
            <w:vAlign w:val="bottom"/>
          </w:tcPr>
          <w:p>
            <w:pPr>
              <w:jc w:val="center"/>
              <w:ind w:right="197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89"/>
        </w:trPr>
        <w:tc>
          <w:tcPr>
            <w:tcW w:w="7720" w:type="dxa"/>
            <w:vAlign w:val="bottom"/>
            <w:gridSpan w:val="6"/>
          </w:tcPr>
          <w:p>
            <w:pPr>
              <w:ind w:left="35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(330) 796-2121</w:t>
            </w:r>
          </w:p>
        </w:tc>
        <w:tc>
          <w:tcPr>
            <w:tcW w:w="3520" w:type="dxa"/>
            <w:vAlign w:val="bottom"/>
          </w:tcPr>
          <w:p>
            <w:pPr>
              <w:spacing w:after="0"/>
              <w:rPr>
                <w:sz w:val="16"/>
                <w:szCs w:val="16"/>
                <w:color w:val="auto"/>
              </w:rPr>
            </w:pPr>
          </w:p>
        </w:tc>
      </w:tr>
      <w:tr>
        <w:trPr>
          <w:trHeight w:val="188"/>
        </w:trPr>
        <w:tc>
          <w:tcPr>
            <w:tcW w:w="3840" w:type="dxa"/>
            <w:vAlign w:val="bottom"/>
          </w:tcPr>
          <w:p>
            <w:pPr>
              <w:spacing w:after="0"/>
              <w:rPr>
                <w:sz w:val="16"/>
                <w:szCs w:val="16"/>
                <w:color w:val="auto"/>
              </w:rPr>
            </w:pPr>
          </w:p>
        </w:tc>
        <w:tc>
          <w:tcPr>
            <w:tcW w:w="38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520" w:type="dxa"/>
            <w:vAlign w:val="bottom"/>
          </w:tcPr>
          <w:p>
            <w:pPr>
              <w:spacing w:after="0"/>
              <w:rPr>
                <w:sz w:val="16"/>
                <w:szCs w:val="16"/>
                <w:color w:val="auto"/>
              </w:rPr>
            </w:pPr>
          </w:p>
        </w:tc>
      </w:tr>
      <w:tr>
        <w:trPr>
          <w:trHeight w:val="194"/>
        </w:trPr>
        <w:tc>
          <w:tcPr>
            <w:tcW w:w="38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tcPr>
          <w:p>
            <w:pPr>
              <w:jc w:val="center"/>
              <w:ind w:right="911"/>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73"/>
        </w:trPr>
        <w:tc>
          <w:tcPr>
            <w:tcW w:w="3840" w:type="dxa"/>
            <w:vAlign w:val="bottom"/>
          </w:tcPr>
          <w:p>
            <w:pPr>
              <w:jc w:val="center"/>
              <w:ind w:left="610"/>
              <w:spacing w:after="0"/>
              <w:rPr>
                <w:sz w:val="20"/>
                <w:szCs w:val="20"/>
                <w:color w:val="auto"/>
              </w:rPr>
            </w:pPr>
            <w:r>
              <w:rPr>
                <w:rFonts w:ascii="Times New Roman" w:cs="Times New Roman" w:eastAsia="Times New Roman" w:hAnsi="Times New Roman"/>
                <w:sz w:val="13"/>
                <w:szCs w:val="13"/>
                <w:color w:val="auto"/>
                <w:w w:val="94"/>
              </w:rPr>
              <w:t>Common Stock, Without Par Value</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80" w:type="dxa"/>
            <w:vAlign w:val="bottom"/>
            <w:gridSpan w:val="3"/>
          </w:tcPr>
          <w:p>
            <w:pPr>
              <w:jc w:val="center"/>
              <w:ind w:right="1080"/>
              <w:spacing w:after="0"/>
              <w:rPr>
                <w:sz w:val="20"/>
                <w:szCs w:val="20"/>
                <w:color w:val="auto"/>
              </w:rPr>
            </w:pPr>
            <w:r>
              <w:rPr>
                <w:rFonts w:ascii="Times New Roman" w:cs="Times New Roman" w:eastAsia="Times New Roman" w:hAnsi="Times New Roman"/>
                <w:sz w:val="13"/>
                <w:szCs w:val="13"/>
                <w:color w:val="auto"/>
                <w:w w:val="92"/>
              </w:rPr>
              <w:t>GT</w:t>
            </w:r>
          </w:p>
        </w:tc>
        <w:tc>
          <w:tcPr>
            <w:tcW w:w="3520" w:type="dxa"/>
            <w:vAlign w:val="bottom"/>
          </w:tcPr>
          <w:p>
            <w:pPr>
              <w:jc w:val="center"/>
              <w:ind w:right="911"/>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r>
        <w:trPr>
          <w:trHeight w:val="220"/>
        </w:trPr>
        <w:tc>
          <w:tcPr>
            <w:tcW w:w="3840" w:type="dxa"/>
            <w:vAlign w:val="bottom"/>
          </w:tcPr>
          <w:p>
            <w:pPr>
              <w:spacing w:after="0"/>
              <w:rPr>
                <w:sz w:val="19"/>
                <w:szCs w:val="19"/>
                <w:color w:val="auto"/>
              </w:rPr>
            </w:pPr>
          </w:p>
        </w:tc>
        <w:tc>
          <w:tcPr>
            <w:tcW w:w="38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3520" w:type="dxa"/>
            <w:vAlign w:val="bottom"/>
          </w:tcPr>
          <w:p>
            <w:pPr>
              <w:spacing w:after="0"/>
              <w:rPr>
                <w:sz w:val="19"/>
                <w:szCs w:val="19"/>
                <w:color w:val="auto"/>
              </w:rPr>
            </w:pPr>
          </w:p>
        </w:tc>
      </w:tr>
    </w:tbl>
    <w:p>
      <w:pPr>
        <w:spacing w:after="0" w:line="16"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23495</wp:posOffset>
            </wp:positionV>
            <wp:extent cx="18580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8010" cy="8255"/>
                    </a:xfrm>
                    <a:prstGeom prst="rect">
                      <a:avLst/>
                    </a:prstGeom>
                    <a:noFill/>
                  </pic:spPr>
                </pic:pic>
              </a:graphicData>
            </a:graphic>
          </wp:anchor>
        </w:drawing>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5" w:lineRule="exact"/>
        <w:rPr>
          <w:sz w:val="24"/>
          <w:szCs w:val="24"/>
          <w:color w:val="auto"/>
        </w:rPr>
      </w:pPr>
    </w:p>
    <w:p>
      <w:pPr>
        <w:ind w:left="4440"/>
        <w:spacing w:after="0" w:line="161" w:lineRule="exact"/>
        <w:tabs>
          <w:tab w:leader="none" w:pos="5200" w:val="left"/>
          <w:tab w:leader="none" w:pos="5900" w:val="left"/>
          <w:tab w:leader="none" w:pos="664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2659380</wp:posOffset>
            </wp:positionH>
            <wp:positionV relativeFrom="paragraph">
              <wp:posOffset>25400</wp:posOffset>
            </wp:positionV>
            <wp:extent cx="1840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5" w:lineRule="exact"/>
        <w:rPr>
          <w:sz w:val="24"/>
          <w:szCs w:val="24"/>
          <w:color w:val="auto"/>
        </w:rPr>
      </w:pPr>
    </w:p>
    <w:p>
      <w:pPr>
        <w:ind w:left="4440"/>
        <w:spacing w:after="0" w:line="161" w:lineRule="exact"/>
        <w:tabs>
          <w:tab w:leader="none" w:pos="5200" w:val="left"/>
          <w:tab w:leader="none" w:pos="5900" w:val="left"/>
          <w:tab w:leader="none" w:pos="664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2659380</wp:posOffset>
            </wp:positionH>
            <wp:positionV relativeFrom="paragraph">
              <wp:posOffset>25400</wp:posOffset>
            </wp:positionV>
            <wp:extent cx="1840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64" w:lineRule="exact"/>
        <w:rPr>
          <w:sz w:val="24"/>
          <w:szCs w:val="24"/>
          <w:color w:val="auto"/>
        </w:rPr>
      </w:pPr>
    </w:p>
    <w:p>
      <w:pPr>
        <w:jc w:val="both"/>
        <w:ind w:right="20"/>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440"/>
        <w:spacing w:after="0" w:line="161" w:lineRule="exact"/>
        <w:tabs>
          <w:tab w:leader="none" w:pos="5200" w:val="left"/>
          <w:tab w:leader="none" w:pos="5900" w:val="left"/>
          <w:tab w:leader="none" w:pos="664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2659380</wp:posOffset>
            </wp:positionH>
            <wp:positionV relativeFrom="paragraph">
              <wp:posOffset>25400</wp:posOffset>
            </wp:positionV>
            <wp:extent cx="1840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78" w:lineRule="exact"/>
        <w:rPr>
          <w:sz w:val="24"/>
          <w:szCs w:val="24"/>
          <w:color w:val="auto"/>
        </w:rPr>
      </w:pPr>
    </w:p>
    <w:p>
      <w:pPr>
        <w:jc w:val="both"/>
        <w:ind w:right="20"/>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ind w:left="4440"/>
        <w:spacing w:after="0" w:line="161" w:lineRule="exact"/>
        <w:tabs>
          <w:tab w:leader="none" w:pos="5200" w:val="left"/>
          <w:tab w:leader="none" w:pos="5900" w:val="left"/>
          <w:tab w:leader="none" w:pos="664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2659380</wp:posOffset>
            </wp:positionH>
            <wp:positionV relativeFrom="paragraph">
              <wp:posOffset>25400</wp:posOffset>
            </wp:positionV>
            <wp:extent cx="1840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78" w:lineRule="exact"/>
        <w:rPr>
          <w:sz w:val="24"/>
          <w:szCs w:val="24"/>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ind w:left="280"/>
        <w:spacing w:after="0" w:line="161" w:lineRule="exact"/>
        <w:tabs>
          <w:tab w:leader="none" w:pos="1960" w:val="left"/>
          <w:tab w:leader="none" w:pos="2760" w:val="left"/>
          <w:tab w:leader="none" w:pos="4260" w:val="left"/>
          <w:tab w:leader="none" w:pos="4880" w:val="left"/>
          <w:tab w:leader="none" w:pos="6460" w:val="left"/>
          <w:tab w:leader="none" w:pos="6980" w:val="left"/>
          <w:tab w:leader="none" w:pos="8900" w:val="left"/>
          <w:tab w:leader="none" w:pos="9280" w:val="left"/>
          <w:tab w:leader="none" w:pos="110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6"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4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p>
    <w:p>
      <w:pPr>
        <w:spacing w:after="0" w:line="25" w:lineRule="exact"/>
        <w:rPr>
          <w:sz w:val="24"/>
          <w:szCs w:val="24"/>
          <w:color w:val="auto"/>
        </w:rPr>
      </w:pPr>
    </w:p>
    <w:p>
      <w:pPr>
        <w:ind w:left="4440"/>
        <w:spacing w:after="0" w:line="161" w:lineRule="exact"/>
        <w:tabs>
          <w:tab w:leader="none" w:pos="5200" w:val="left"/>
          <w:tab w:leader="none" w:pos="5900" w:val="left"/>
          <w:tab w:leader="none" w:pos="664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2659380</wp:posOffset>
            </wp:positionH>
            <wp:positionV relativeFrom="paragraph">
              <wp:posOffset>42545</wp:posOffset>
            </wp:positionV>
            <wp:extent cx="18408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159" w:lineRule="exact"/>
        <w:rPr>
          <w:sz w:val="24"/>
          <w:szCs w:val="24"/>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computed by reference to the last sales price of such common stock as of the closing of trading on June 30, 2023, was approximately $3.9 billion.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Shares of Common Stock, Without Par Value, outstanding at January 31, 2024:</w:t>
      </w:r>
    </w:p>
    <w:p>
      <w:pPr>
        <w:spacing w:after="0" w:line="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283,954,995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23495</wp:posOffset>
            </wp:positionV>
            <wp:extent cx="18580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58010" cy="8255"/>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the Company’s Proxy Statement for the Annual Meeting of Shareholders to be held on April 8, 2024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60" w:type="dxa"/>
            <w:vAlign w:val="bottom"/>
            <w:gridSpan w:val="18"/>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THE GOODYEAR TIRE &amp; RUBBER COMPANY</w:t>
            </w:r>
          </w:p>
        </w:tc>
        <w:tc>
          <w:tcPr>
            <w:tcW w:w="1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60" w:type="dxa"/>
            <w:vAlign w:val="bottom"/>
            <w:gridSpan w:val="16"/>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20" w:type="dxa"/>
            <w:vAlign w:val="bottom"/>
            <w:gridSpan w:val="17"/>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tc>
        <w:tc>
          <w:tcPr>
            <w:tcW w:w="1100" w:type="dxa"/>
            <w:vAlign w:val="bottom"/>
          </w:tcPr>
          <w:p>
            <w:pPr>
              <w:spacing w:after="0"/>
              <w:rPr>
                <w:sz w:val="18"/>
                <w:szCs w:val="18"/>
                <w:color w:val="auto"/>
              </w:rPr>
            </w:pPr>
          </w:p>
        </w:tc>
      </w:tr>
      <w:tr>
        <w:trPr>
          <w:trHeight w:val="238"/>
        </w:trPr>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gridSpan w:val="15"/>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100" w:type="dxa"/>
            <w:vAlign w:val="bottom"/>
          </w:tcPr>
          <w:p>
            <w:pPr>
              <w:spacing w:after="0"/>
              <w:rPr>
                <w:sz w:val="20"/>
                <w:szCs w:val="20"/>
                <w:color w:val="auto"/>
              </w:rPr>
            </w:pPr>
          </w:p>
        </w:tc>
      </w:tr>
      <w:tr>
        <w:trPr>
          <w:trHeight w:val="317"/>
        </w:trPr>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Item Number</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Page Number</w:t>
            </w:r>
          </w:p>
        </w:tc>
      </w:tr>
      <w:tr>
        <w:trPr>
          <w:trHeight w:val="189"/>
        </w:trPr>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b w:val="1"/>
                <w:bCs w:val="1"/>
                <w:color w:val="0000FF"/>
              </w:rPr>
              <w:t>PART I</w:t>
            </w:r>
          </w:p>
        </w:tc>
        <w:tc>
          <w:tcPr>
            <w:tcW w:w="4240" w:type="dxa"/>
            <w:vAlign w:val="bottom"/>
            <w:gridSpan w:val="9"/>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4"/>
              </w:rPr>
              <w:t>Business</w:t>
            </w:r>
          </w:p>
        </w:tc>
        <w:tc>
          <w:tcPr>
            <w:tcW w:w="20" w:type="dxa"/>
            <w:vAlign w:val="bottom"/>
            <w:tcBorders>
              <w:bottom w:val="single" w:sz="8" w:color="0000EE"/>
            </w:tcBorders>
          </w:tcPr>
          <w:p>
            <w:pPr>
              <w:spacing w:after="0"/>
              <w:rPr>
                <w:sz w:val="20"/>
                <w:szCs w:val="20"/>
                <w:color w:val="auto"/>
              </w:rPr>
            </w:pPr>
          </w:p>
        </w:tc>
        <w:tc>
          <w:tcPr>
            <w:tcW w:w="8400" w:type="dxa"/>
            <w:vAlign w:val="bottom"/>
            <w:gridSpan w:val="31"/>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6"/>
        </w:trPr>
        <w:tc>
          <w:tcPr>
            <w:tcW w:w="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1A</w:t>
            </w:r>
          </w:p>
        </w:tc>
        <w:tc>
          <w:tcPr>
            <w:tcW w:w="40" w:type="dxa"/>
            <w:vAlign w:val="bottom"/>
          </w:tcPr>
          <w:p>
            <w:pPr>
              <w:spacing w:after="0"/>
              <w:rPr>
                <w:sz w:val="20"/>
                <w:szCs w:val="20"/>
                <w:color w:val="auto"/>
              </w:rPr>
            </w:pPr>
          </w:p>
        </w:tc>
        <w:tc>
          <w:tcPr>
            <w:tcW w:w="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6"/>
              </w:rPr>
              <w:t>Risk Factors</w:t>
            </w:r>
          </w:p>
        </w:tc>
        <w:tc>
          <w:tcPr>
            <w:tcW w:w="20" w:type="dxa"/>
            <w:vAlign w:val="bottom"/>
            <w:tcBorders>
              <w:bottom w:val="single" w:sz="8" w:color="0000EE"/>
            </w:tcBorders>
          </w:tcPr>
          <w:p>
            <w:pPr>
              <w:spacing w:after="0"/>
              <w:rPr>
                <w:sz w:val="20"/>
                <w:szCs w:val="20"/>
                <w:color w:val="auto"/>
              </w:rPr>
            </w:pPr>
          </w:p>
        </w:tc>
        <w:tc>
          <w:tcPr>
            <w:tcW w:w="8160" w:type="dxa"/>
            <w:vAlign w:val="bottom"/>
            <w:gridSpan w:val="28"/>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6"/>
        </w:trPr>
        <w:tc>
          <w:tcPr>
            <w:tcW w:w="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1B</w:t>
            </w:r>
          </w:p>
        </w:tc>
        <w:tc>
          <w:tcPr>
            <w:tcW w:w="40" w:type="dxa"/>
            <w:vAlign w:val="bottom"/>
          </w:tcPr>
          <w:p>
            <w:pPr>
              <w:spacing w:after="0"/>
              <w:rPr>
                <w:sz w:val="20"/>
                <w:szCs w:val="20"/>
                <w:color w:val="auto"/>
              </w:rPr>
            </w:pPr>
          </w:p>
        </w:tc>
        <w:tc>
          <w:tcPr>
            <w:tcW w:w="898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36"/>
        </w:trPr>
        <w:tc>
          <w:tcPr>
            <w:tcW w:w="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1C</w:t>
            </w:r>
          </w:p>
        </w:tc>
        <w:tc>
          <w:tcPr>
            <w:tcW w:w="40" w:type="dxa"/>
            <w:vAlign w:val="bottom"/>
          </w:tcPr>
          <w:p>
            <w:pPr>
              <w:spacing w:after="0"/>
              <w:rPr>
                <w:sz w:val="20"/>
                <w:szCs w:val="20"/>
                <w:color w:val="auto"/>
              </w:rPr>
            </w:pPr>
          </w:p>
        </w:tc>
        <w:tc>
          <w:tcPr>
            <w:tcW w:w="18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7160" w:type="dxa"/>
            <w:vAlign w:val="bottom"/>
            <w:gridSpan w:val="18"/>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0"/>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5"/>
              </w:rPr>
              <w:t>Properties</w:t>
            </w:r>
          </w:p>
        </w:tc>
        <w:tc>
          <w:tcPr>
            <w:tcW w:w="240" w:type="dxa"/>
            <w:vAlign w:val="bottom"/>
            <w:tcBorders>
              <w:top w:val="single" w:sz="8" w:color="0000FF"/>
            </w:tcBorders>
            <w:gridSpan w:val="3"/>
          </w:tcPr>
          <w:p>
            <w:pPr>
              <w:spacing w:after="0"/>
              <w:rPr>
                <w:sz w:val="21"/>
                <w:szCs w:val="21"/>
                <w:color w:val="auto"/>
              </w:rPr>
            </w:pPr>
          </w:p>
        </w:tc>
        <w:tc>
          <w:tcPr>
            <w:tcW w:w="8100" w:type="dxa"/>
            <w:vAlign w:val="bottom"/>
            <w:gridSpan w:val="27"/>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8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411"/>
        </w:trPr>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11"/>
          </w:tcPr>
          <w:p>
            <w:pPr>
              <w:jc w:val="center"/>
              <w:ind w:right="4220"/>
              <w:spacing w:after="0"/>
              <w:rPr>
                <w:sz w:val="20"/>
                <w:szCs w:val="20"/>
                <w:color w:val="auto"/>
              </w:rPr>
            </w:pPr>
            <w:r>
              <w:rPr>
                <w:rFonts w:ascii="Times New Roman" w:cs="Times New Roman" w:eastAsia="Times New Roman" w:hAnsi="Times New Roman"/>
                <w:sz w:val="16"/>
                <w:szCs w:val="16"/>
                <w:b w:val="1"/>
                <w:bCs w:val="1"/>
                <w:color w:val="0000FF"/>
                <w:w w:val="96"/>
              </w:rPr>
              <w:t>PART II</w:t>
            </w:r>
          </w:p>
        </w:tc>
        <w:tc>
          <w:tcPr>
            <w:tcW w:w="11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5</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8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40" w:type="dxa"/>
            <w:vAlign w:val="bottom"/>
            <w:tcBorders>
              <w:top w:val="single" w:sz="8" w:color="0000FF"/>
            </w:tcBorders>
            <w:gridSpan w:val="32"/>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7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36"/>
        </w:trPr>
        <w:tc>
          <w:tcPr>
            <w:tcW w:w="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7A</w:t>
            </w:r>
          </w:p>
        </w:tc>
        <w:tc>
          <w:tcPr>
            <w:tcW w:w="40" w:type="dxa"/>
            <w:vAlign w:val="bottom"/>
          </w:tcPr>
          <w:p>
            <w:pPr>
              <w:spacing w:after="0"/>
              <w:rPr>
                <w:sz w:val="20"/>
                <w:szCs w:val="20"/>
                <w:color w:val="auto"/>
              </w:rPr>
            </w:pPr>
          </w:p>
        </w:tc>
        <w:tc>
          <w:tcPr>
            <w:tcW w:w="390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880" w:type="dxa"/>
            <w:vAlign w:val="bottom"/>
            <w:tcBorders>
              <w:top w:val="single" w:sz="8" w:color="0000FF"/>
            </w:tcBorders>
            <w:gridSpan w:val="10"/>
          </w:tcPr>
          <w:p>
            <w:pPr>
              <w:spacing w:after="0"/>
              <w:rPr>
                <w:sz w:val="20"/>
                <w:szCs w:val="20"/>
                <w:color w:val="auto"/>
              </w:rPr>
            </w:pPr>
          </w:p>
        </w:tc>
        <w:tc>
          <w:tcPr>
            <w:tcW w:w="3200" w:type="dxa"/>
            <w:vAlign w:val="bottom"/>
            <w:gridSpan w:val="4"/>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8</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8"/>
              </w:rPr>
              <w:t>Financial Statements</w:t>
            </w:r>
          </w:p>
        </w:tc>
        <w:tc>
          <w:tcPr>
            <w:tcW w:w="20" w:type="dxa"/>
            <w:vAlign w:val="bottom"/>
            <w:tcBorders>
              <w:bottom w:val="single" w:sz="8" w:color="0000EE"/>
            </w:tcBorders>
          </w:tcPr>
          <w:p>
            <w:pPr>
              <w:spacing w:after="0"/>
              <w:rPr>
                <w:sz w:val="20"/>
                <w:szCs w:val="20"/>
                <w:color w:val="auto"/>
              </w:rPr>
            </w:pPr>
          </w:p>
        </w:tc>
        <w:tc>
          <w:tcPr>
            <w:tcW w:w="7620" w:type="dxa"/>
            <w:vAlign w:val="bottom"/>
            <w:gridSpan w:val="23"/>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0"/>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9</w:t>
            </w: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98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36"/>
        </w:trPr>
        <w:tc>
          <w:tcPr>
            <w:tcW w:w="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9A</w:t>
            </w:r>
          </w:p>
        </w:tc>
        <w:tc>
          <w:tcPr>
            <w:tcW w:w="40" w:type="dxa"/>
            <w:vAlign w:val="bottom"/>
          </w:tcPr>
          <w:p>
            <w:pPr>
              <w:spacing w:after="0"/>
              <w:rPr>
                <w:sz w:val="20"/>
                <w:szCs w:val="20"/>
                <w:color w:val="auto"/>
              </w:rPr>
            </w:pPr>
          </w:p>
        </w:tc>
        <w:tc>
          <w:tcPr>
            <w:tcW w:w="15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9"/>
              </w:rPr>
              <w:t>Controls and Procedures</w:t>
            </w:r>
          </w:p>
        </w:tc>
        <w:tc>
          <w:tcPr>
            <w:tcW w:w="4220" w:type="dxa"/>
            <w:vAlign w:val="bottom"/>
            <w:tcBorders>
              <w:top w:val="single" w:sz="8" w:color="0000FF"/>
            </w:tcBorders>
            <w:gridSpan w:val="17"/>
          </w:tcPr>
          <w:p>
            <w:pPr>
              <w:spacing w:after="0"/>
              <w:rPr>
                <w:sz w:val="20"/>
                <w:szCs w:val="20"/>
                <w:color w:val="auto"/>
              </w:rPr>
            </w:pPr>
          </w:p>
        </w:tc>
        <w:tc>
          <w:tcPr>
            <w:tcW w:w="3180" w:type="dxa"/>
            <w:vAlign w:val="bottom"/>
            <w:gridSpan w:val="3"/>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36"/>
        </w:trPr>
        <w:tc>
          <w:tcPr>
            <w:tcW w:w="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9B</w:t>
            </w:r>
          </w:p>
        </w:tc>
        <w:tc>
          <w:tcPr>
            <w:tcW w:w="40" w:type="dxa"/>
            <w:vAlign w:val="bottom"/>
          </w:tcPr>
          <w:p>
            <w:pPr>
              <w:spacing w:after="0"/>
              <w:rPr>
                <w:sz w:val="20"/>
                <w:szCs w:val="20"/>
                <w:color w:val="auto"/>
              </w:rPr>
            </w:pPr>
          </w:p>
        </w:tc>
        <w:tc>
          <w:tcPr>
            <w:tcW w:w="898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411"/>
        </w:trPr>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6"/>
                <w:szCs w:val="16"/>
                <w:b w:val="1"/>
                <w:bCs w:val="1"/>
                <w:color w:val="0000FF"/>
                <w:w w:val="99"/>
              </w:rPr>
              <w:t>PART III</w:t>
            </w:r>
          </w:p>
        </w:tc>
        <w:tc>
          <w:tcPr>
            <w:tcW w:w="4160" w:type="dxa"/>
            <w:vAlign w:val="bottom"/>
            <w:gridSpan w:val="6"/>
          </w:tcPr>
          <w:p>
            <w:pPr>
              <w:spacing w:after="0"/>
              <w:rPr>
                <w:sz w:val="24"/>
                <w:szCs w:val="24"/>
                <w:color w:val="auto"/>
              </w:rPr>
            </w:pPr>
          </w:p>
        </w:tc>
        <w:tc>
          <w:tcPr>
            <w:tcW w:w="1100" w:type="dxa"/>
            <w:vAlign w:val="bottom"/>
          </w:tcPr>
          <w:p>
            <w:pPr>
              <w:spacing w:after="0"/>
              <w:rPr>
                <w:sz w:val="24"/>
                <w:szCs w:val="24"/>
                <w:color w:val="auto"/>
              </w:rPr>
            </w:pP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8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11</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Executive Compensation</w:t>
            </w:r>
          </w:p>
        </w:tc>
        <w:tc>
          <w:tcPr>
            <w:tcW w:w="5320" w:type="dxa"/>
            <w:vAlign w:val="bottom"/>
            <w:gridSpan w:val="15"/>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380" w:type="dxa"/>
            <w:vAlign w:val="bottom"/>
            <w:gridSpan w:val="11"/>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12</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54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2440" w:type="dxa"/>
            <w:vAlign w:val="bottom"/>
            <w:gridSpan w:val="2"/>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13</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8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14</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8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4100" w:type="dxa"/>
            <w:vAlign w:val="bottom"/>
            <w:gridSpan w:val="5"/>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411"/>
        </w:trPr>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40" w:type="dxa"/>
            <w:vAlign w:val="bottom"/>
            <w:gridSpan w:val="13"/>
          </w:tcPr>
          <w:p>
            <w:pPr>
              <w:jc w:val="center"/>
              <w:ind w:right="4180"/>
              <w:spacing w:after="0"/>
              <w:rPr>
                <w:sz w:val="20"/>
                <w:szCs w:val="20"/>
                <w:color w:val="auto"/>
              </w:rPr>
            </w:pPr>
            <w:r>
              <w:rPr>
                <w:rFonts w:ascii="Times New Roman" w:cs="Times New Roman" w:eastAsia="Times New Roman" w:hAnsi="Times New Roman"/>
                <w:sz w:val="16"/>
                <w:szCs w:val="16"/>
                <w:b w:val="1"/>
                <w:bCs w:val="1"/>
                <w:color w:val="0000FF"/>
              </w:rPr>
              <w:t>PART IV</w:t>
            </w:r>
          </w:p>
        </w:tc>
        <w:tc>
          <w:tcPr>
            <w:tcW w:w="1100" w:type="dxa"/>
            <w:vAlign w:val="bottom"/>
          </w:tcPr>
          <w:p>
            <w:pPr>
              <w:spacing w:after="0"/>
              <w:rPr>
                <w:sz w:val="24"/>
                <w:szCs w:val="24"/>
                <w:color w:val="auto"/>
              </w:rPr>
            </w:pP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15</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640" w:type="dxa"/>
            <w:vAlign w:val="bottom"/>
            <w:tcBorders>
              <w:top w:val="single" w:sz="8" w:color="0000FF"/>
            </w:tcBorders>
            <w:gridSpan w:val="5"/>
          </w:tcPr>
          <w:p>
            <w:pPr>
              <w:spacing w:after="0"/>
              <w:rPr>
                <w:sz w:val="20"/>
                <w:szCs w:val="20"/>
                <w:color w:val="auto"/>
              </w:rPr>
            </w:pPr>
          </w:p>
        </w:tc>
        <w:tc>
          <w:tcPr>
            <w:tcW w:w="4180" w:type="dxa"/>
            <w:vAlign w:val="bottom"/>
            <w:gridSpan w:val="7"/>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16</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8"/>
              </w:rPr>
              <w:t>Form 10-K Summary</w:t>
            </w:r>
          </w:p>
        </w:tc>
        <w:tc>
          <w:tcPr>
            <w:tcW w:w="1440" w:type="dxa"/>
            <w:vAlign w:val="bottom"/>
            <w:tcBorders>
              <w:top w:val="single" w:sz="8" w:color="0000FF"/>
            </w:tcBorders>
            <w:gridSpan w:val="6"/>
          </w:tcPr>
          <w:p>
            <w:pPr>
              <w:spacing w:after="0"/>
              <w:rPr>
                <w:sz w:val="20"/>
                <w:szCs w:val="20"/>
                <w:color w:val="auto"/>
              </w:rPr>
            </w:pPr>
          </w:p>
        </w:tc>
        <w:tc>
          <w:tcPr>
            <w:tcW w:w="6160" w:type="dxa"/>
            <w:vAlign w:val="bottom"/>
            <w:gridSpan w:val="16"/>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36"/>
        </w:trPr>
        <w:tc>
          <w:tcPr>
            <w:tcW w:w="60" w:type="dxa"/>
            <w:vAlign w:val="bottom"/>
          </w:tcPr>
          <w:p>
            <w:pPr>
              <w:spacing w:after="0"/>
              <w:rPr>
                <w:sz w:val="20"/>
                <w:szCs w:val="20"/>
                <w:color w:val="auto"/>
              </w:rPr>
            </w:pPr>
          </w:p>
        </w:tc>
        <w:tc>
          <w:tcPr>
            <w:tcW w:w="1008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Index to Financial Statement Schedules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FS-1</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12"/>
            <w:shd w:val="clear" w:color="auto" w:fill="0000FF"/>
          </w:tcPr>
          <w:p>
            <w:pPr>
              <w:spacing w:after="0" w:line="20" w:lineRule="exact"/>
              <w:rPr>
                <w:sz w:val="1"/>
                <w:szCs w:val="1"/>
                <w:color w:val="auto"/>
              </w:rPr>
            </w:pPr>
          </w:p>
        </w:tc>
        <w:tc>
          <w:tcPr>
            <w:tcW w:w="7540" w:type="dxa"/>
            <w:vAlign w:val="bottom"/>
            <w:gridSpan w:val="21"/>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6"/>
        </w:trPr>
        <w:tc>
          <w:tcPr>
            <w:tcW w:w="60" w:type="dxa"/>
            <w:vAlign w:val="bottom"/>
          </w:tcPr>
          <w:p>
            <w:pPr>
              <w:spacing w:after="0"/>
              <w:rPr>
                <w:sz w:val="20"/>
                <w:szCs w:val="20"/>
                <w:color w:val="auto"/>
              </w:rPr>
            </w:pPr>
          </w:p>
        </w:tc>
        <w:tc>
          <w:tcPr>
            <w:tcW w:w="1008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Index of Exhibits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X-1</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6"/>
        </w:trPr>
        <w:tc>
          <w:tcPr>
            <w:tcW w:w="6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S-1</w:t>
            </w:r>
          </w:p>
        </w:tc>
      </w:tr>
      <w:tr>
        <w:trPr>
          <w:trHeight w:val="1592"/>
        </w:trPr>
        <w:tc>
          <w:tcPr>
            <w:tcW w:w="6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OF GOODYEAR</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Goodyear Tire &amp; Rubber Company (the “Company”) is an Ohio corporation organized in 1898. Its principal offices are located at 200 Innovation Way, Akron, Ohio 44316-0001. Its telephone number is (330) 796-2121. The terms “Goodyear,” “Company” and “we,” “us” or “our” wherever used herein refer to the Company together with all of its consolidated U.S. and foreign subsidiary companies, unless the context indicates to the contrary.</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one of the world’s leading manufacturers of tires, engaging in operations in most regions of the world. In 2023, our net sales were $20,066 million and Goodyear net loss was $689 million. We develop, manufacture, distribute and sell tires for most applications. We also manufacture and sell rubber-related chemicals for various applications. We are one of the world’s largest operators of commercial truck service and tire retreading centers. We operate approximately 950 retail outlets where we offer our products for sale to consumer and commercial customers and provide repair and other services. We manufacture our products in 55 manufacturing facilities in 22 countries, including the United States, and we have marketing operations in almost every country around the world. We employ approximately 71,000 full-time and temporary associates worldwide.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make available free of charge on our website, http://www.goodyear.com, our annual report on Form 10-K, quarterly reports on Form 10-Q, current reports on Form 8-K, and amendments to those reports as soon as reasonably practicable after we file or furnish such reports to the Securities and Exchange Commission (the “SEC”). Our reports filed with the SEC may be found on the SEC's website at http://www.sec.gov. The information on our website and the SEC's website is not incorporated by reference in or considered to be a part of this Annual Report on Form 10-K.</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GOODYEAR’S BUSINESS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June 7, 2021 (the "Closing Date"), we completed our acquisition of Cooper Tire &amp; Rubber Company ("Cooper Tire") for cash and stock consideration totaling approximately $3.1 billion. Cooper Tire’s results of operations have been included in our consolidated financial statements since the Closing Date.</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November 15, 2023, following a comprehensive evaluation by the Strategic and Operational Review Committee of the Board of Directors, we announced a transformation plan, known as “Goodyear Forward,” that is intended to optimize our portfolio, deliver significant margin expansion and reduce leverage in order to drive sustainable, long-term shareholder value creation.</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Goodyear Forward’s goals are to deliver: (1) gross proceeds in excess of $2 billion from portfolio optimization by pursuing strategic alternatives for our chemical business, the Dunlop brand and our off-the-road tire business, (2) cost reduction actions driving an annual, run-rate benefit of $1 billion by the end of 2025, (3) top line actions driving an annual, run-rate benefit of $300 million by the end of 2025, (4) segment operating income margin doubling to 10% by the end of 2025, and (5) improved leverage by the end of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UR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EGMENTS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2023, we operated our business through three operating segments representing our regional tire businesses: Americas; Europe, Middle East and Africa (“EMEA”); and Asia Pacific.</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principal business is the development, manufacture, distribution and sale of tires and related products and services worldwide. We manufacture and sell numerous lines of rubber tires for:</w:t>
      </w:r>
    </w:p>
    <w:p>
      <w:pPr>
        <w:spacing w:after="0" w:line="55"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automobiles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trucks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aircraft</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motorcycles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earthmoving and mining equipment</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 implements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equipment,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applications.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In each case, our tires are offered for sale to vehicle manufacturers for mounting as original equipment (“OE”) and for replacement worldwide. We manufacture and sell tires under the Goodyear, Cooper, Dunlop, Kelly, Mastercraft, Roadmaster, Debica, Sava, Fulda, Mickey Thompson, Avon and Remington brands and various “house” brands, and the private-label brands of certain customers. In certain geographic areas we also:</w:t>
      </w:r>
    </w:p>
    <w:p>
      <w:pPr>
        <w:spacing w:after="0" w:line="69"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retread truck, aviation and off-the-road ("OTR") tires,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and sell tread rubber and other tire retreading materials,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chemical products, and/or</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automotive and commercial repair services and miscellaneous other products and services.</w:t>
      </w:r>
    </w:p>
    <w:p>
      <w:pPr>
        <w:spacing w:after="0" w:line="98"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Our principal products are new tires for most applications. Approximately 86% of our sales in 2023, 86% in 2022 and 85% in 2021 were for tire units. Sales of chemical products to unaffiliated customers were 2% of our consolidated sales in 2023 and 3% in 2022 and 2021 (4%, 5% and 6% of Americas total sales in 2023, 2022 and 2021, respectively). The percentages of each segment’s sales attributable to tire units during the periods indicated were: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bottom w:val="single" w:sz="8" w:color="auto"/>
            </w:tcBorders>
            <w:gridSpan w:val="4"/>
          </w:tcPr>
          <w:p>
            <w:pPr>
              <w:jc w:val="center"/>
              <w:ind w:left="129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4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4"/>
                <w:szCs w:val="14"/>
                <w:b w:val="1"/>
                <w:bCs w:val="1"/>
                <w:color w:val="auto"/>
              </w:rPr>
              <w:t>Tire Unit Sales</w:t>
            </w:r>
          </w:p>
        </w:tc>
        <w:tc>
          <w:tcPr>
            <w:tcW w:w="120" w:type="dxa"/>
            <w:vAlign w:val="bottom"/>
          </w:tcPr>
          <w:p>
            <w:pPr>
              <w:spacing w:after="0"/>
              <w:rPr>
                <w:sz w:val="14"/>
                <w:szCs w:val="14"/>
                <w:color w:val="auto"/>
              </w:rPr>
            </w:pPr>
          </w:p>
        </w:tc>
        <w:tc>
          <w:tcPr>
            <w:tcW w:w="15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4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4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28"/>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84 %</w:t>
            </w:r>
          </w:p>
        </w:tc>
        <w:tc>
          <w:tcPr>
            <w:tcW w:w="15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84 %</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w w:val="90"/>
              </w:rPr>
              <w:t>82 %</w:t>
            </w:r>
          </w:p>
        </w:tc>
      </w:tr>
      <w:tr>
        <w:trPr>
          <w:trHeight w:val="245"/>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5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14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14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21"/>
                <w:szCs w:val="21"/>
                <w:color w:val="auto"/>
              </w:rPr>
            </w:pPr>
          </w:p>
        </w:tc>
      </w:tr>
      <w:tr>
        <w:trPr>
          <w:trHeight w:val="249"/>
        </w:trPr>
        <w:tc>
          <w:tcPr>
            <w:tcW w:w="6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52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Each segment exports tires to other segments. The financial results of each segment exclude sales of tires exported to other segments, but include operating income derived from such transactions.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Goodyear does not include motorcycle, aviation or race tires in reported tire unit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 unit sales for each segment during the periods indicated were: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20" w:type="dxa"/>
            <w:vAlign w:val="bottom"/>
          </w:tcPr>
          <w:p>
            <w:pPr>
              <w:spacing w:after="0"/>
              <w:rPr>
                <w:sz w:val="16"/>
                <w:szCs w:val="16"/>
                <w:color w:val="auto"/>
              </w:rPr>
            </w:pPr>
          </w:p>
        </w:tc>
        <w:tc>
          <w:tcPr>
            <w:tcW w:w="4900" w:type="dxa"/>
            <w:vAlign w:val="bottom"/>
            <w:gridSpan w:val="2"/>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GOODYEAR’S ANNUAL TIRE UNIT SALES — SEGMENT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82"/>
        </w:trPr>
        <w:tc>
          <w:tcPr>
            <w:tcW w:w="3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Borders>
              <w:bottom w:val="single" w:sz="8" w:color="auto"/>
            </w:tcBorders>
          </w:tcPr>
          <w:p>
            <w:pPr>
              <w:spacing w:after="0"/>
              <w:rPr>
                <w:sz w:val="24"/>
                <w:szCs w:val="24"/>
                <w:color w:val="auto"/>
              </w:rPr>
            </w:pPr>
          </w:p>
        </w:tc>
      </w:tr>
      <w:tr>
        <w:trPr>
          <w:trHeight w:val="16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3520" w:type="dxa"/>
            <w:vAlign w:val="bottom"/>
          </w:tcPr>
          <w:p>
            <w:pPr>
              <w:spacing w:after="0"/>
              <w:rPr>
                <w:sz w:val="14"/>
                <w:szCs w:val="14"/>
                <w:color w:val="auto"/>
              </w:rPr>
            </w:pPr>
          </w:p>
        </w:tc>
        <w:tc>
          <w:tcPr>
            <w:tcW w:w="13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4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4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64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85.9</w:t>
            </w:r>
          </w:p>
        </w:tc>
      </w:tr>
      <w:tr>
        <w:trPr>
          <w:trHeight w:val="238"/>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640" w:type="dxa"/>
            <w:vAlign w:val="bottom"/>
            <w:gridSpan w:val="3"/>
          </w:tcPr>
          <w:p>
            <w:pPr>
              <w:jc w:val="right"/>
              <w:ind w:right="39"/>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52.7</w:t>
            </w:r>
          </w:p>
        </w:tc>
      </w:tr>
      <w:tr>
        <w:trPr>
          <w:trHeight w:val="243"/>
        </w:trPr>
        <w:tc>
          <w:tcPr>
            <w:tcW w:w="3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5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30.7</w:t>
            </w:r>
          </w:p>
        </w:tc>
      </w:tr>
      <w:tr>
        <w:trPr>
          <w:trHeight w:val="238"/>
        </w:trPr>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Goodyear worldwide tire units</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173.3</w:t>
            </w:r>
          </w:p>
        </w:tc>
        <w:tc>
          <w:tcPr>
            <w:tcW w:w="1640" w:type="dxa"/>
            <w:vAlign w:val="bottom"/>
            <w:gridSpan w:val="3"/>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184.5</w:t>
            </w:r>
          </w:p>
        </w:tc>
        <w:tc>
          <w:tcPr>
            <w:tcW w:w="16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169.3</w:t>
            </w:r>
          </w:p>
        </w:tc>
      </w:tr>
      <w:tr>
        <w:trPr>
          <w:trHeight w:val="20"/>
        </w:trPr>
        <w:tc>
          <w:tcPr>
            <w:tcW w:w="3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-187960</wp:posOffset>
            </wp:positionV>
            <wp:extent cx="939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93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replacement and OE tire unit sales during the periods indicated were: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80" w:type="dxa"/>
            <w:vAlign w:val="bottom"/>
          </w:tcPr>
          <w:p>
            <w:pPr>
              <w:spacing w:after="0"/>
              <w:rPr>
                <w:sz w:val="16"/>
                <w:szCs w:val="16"/>
                <w:color w:val="auto"/>
              </w:rPr>
            </w:pPr>
          </w:p>
        </w:tc>
        <w:tc>
          <w:tcPr>
            <w:tcW w:w="5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GOODYEAR’S ANNUAL TIRE UNIT SALES — REPLACEMENT AND OE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82"/>
        </w:trPr>
        <w:tc>
          <w:tcPr>
            <w:tcW w:w="28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Borders>
              <w:bottom w:val="single" w:sz="8" w:color="auto"/>
            </w:tcBorders>
          </w:tcPr>
          <w:p>
            <w:pPr>
              <w:spacing w:after="0"/>
              <w:rPr>
                <w:sz w:val="24"/>
                <w:szCs w:val="24"/>
                <w:color w:val="auto"/>
              </w:rPr>
            </w:pPr>
          </w:p>
        </w:tc>
      </w:tr>
      <w:tr>
        <w:trPr>
          <w:trHeight w:val="169"/>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3760" w:type="dxa"/>
            <w:vAlign w:val="bottom"/>
          </w:tcPr>
          <w:p>
            <w:pPr>
              <w:spacing w:after="0"/>
              <w:rPr>
                <w:sz w:val="14"/>
                <w:szCs w:val="14"/>
                <w:color w:val="auto"/>
              </w:rPr>
            </w:pPr>
          </w:p>
        </w:tc>
        <w:tc>
          <w:tcPr>
            <w:tcW w:w="14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4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Replacement tire units</w:t>
            </w:r>
          </w:p>
        </w:tc>
        <w:tc>
          <w:tcPr>
            <w:tcW w:w="51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130.2</w:t>
            </w:r>
          </w:p>
        </w:tc>
        <w:tc>
          <w:tcPr>
            <w:tcW w:w="160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143.9</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134.1</w:t>
            </w: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OE tire units</w:t>
            </w:r>
          </w:p>
        </w:tc>
        <w:tc>
          <w:tcPr>
            <w:tcW w:w="3760" w:type="dxa"/>
            <w:vAlign w:val="bottom"/>
          </w:tcPr>
          <w:p>
            <w:pPr>
              <w:spacing w:after="0"/>
              <w:rPr>
                <w:sz w:val="20"/>
                <w:szCs w:val="20"/>
                <w:color w:val="auto"/>
              </w:rPr>
            </w:pPr>
          </w:p>
        </w:tc>
        <w:tc>
          <w:tcPr>
            <w:tcW w:w="14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43.1</w:t>
            </w: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tcPr>
          <w:p>
            <w:pPr>
              <w:spacing w:after="0"/>
              <w:rPr>
                <w:sz w:val="20"/>
                <w:szCs w:val="20"/>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35.2</w:t>
            </w:r>
          </w:p>
        </w:tc>
      </w:tr>
      <w:tr>
        <w:trPr>
          <w:trHeight w:val="278"/>
        </w:trPr>
        <w:tc>
          <w:tcPr>
            <w:tcW w:w="2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Goodyear worldwide tire units</w:t>
            </w:r>
          </w:p>
        </w:tc>
        <w:tc>
          <w:tcPr>
            <w:tcW w:w="376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173.3</w:t>
            </w:r>
          </w:p>
        </w:tc>
        <w:tc>
          <w:tcPr>
            <w:tcW w:w="4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184.5</w:t>
            </w:r>
          </w:p>
        </w:tc>
        <w:tc>
          <w:tcPr>
            <w:tcW w:w="16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169.3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-24765</wp:posOffset>
            </wp:positionV>
            <wp:extent cx="93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939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939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939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91"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New tires are sold under highly competitive conditions throughout the world. On a worldwide basis, we have two major competitors: Bridgestone (based in Japan) and Michelin (based in France). Other significant competitors include Continental, Hankook, Kumho, Nexen, Pirelli, Sumitomo, Toyo, Yokohama and various regional tire manufacturers.</w:t>
      </w:r>
    </w:p>
    <w:p>
      <w:pPr>
        <w:spacing w:after="0" w:line="69"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We compete with other tire manufacturers on the basis of product design, performance, price and terms, reputation, warranty terms, customer service and consumer convenience. Goodyear, Cooper, Dunlop and Mickey Thompson branded tires enjoy a high recognition factor and have a reputation for performance and product design. The Kelly, Mastercraft, Roadmaster, Debica, Sava, Fulda, Avon and Remington brands and various house brand tire lines offered by us, and tires manufactured and sold by us to private brand customers, compete primarily on the basis of value and price.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consider our tire businesses to be seasonal to any significant degree.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MERICAS</w:t>
      </w:r>
    </w:p>
    <w:p>
      <w:pPr>
        <w:spacing w:after="0" w:line="121"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Americas, our largest segment in terms of revenue, develops, manufactures, distributes and sells tires and related products and services in North, Central and South America, and sells tires to various export markets, primarily through intersegment sales. Americas manufactures tires in eight plants in the United States, two plants in Canada and six plants in Brazil, Chile, Colombia, Mexico and Peru.</w:t>
      </w:r>
    </w:p>
    <w:p>
      <w:pPr>
        <w:sectPr>
          <w:pgSz w:w="11900" w:h="16838" w:orient="portrait"/>
          <w:cols w:equalWidth="0" w:num="1">
            <w:col w:w="11300"/>
          </w:cols>
          <w:pgMar w:left="320" w:top="764" w:right="279" w:bottom="1440" w:gutter="0" w:footer="0" w:header="0"/>
        </w:sectPr>
      </w:pP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Americas manufactures and sells tires for automobiles, trucks, buses, earthmoving, mining and industrial equipment, aircraft, and various other applications.</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Goodyear brand radial passenger tire lines sold throughout Americas include the Assurance family of product lines for the premium and mid-tier passenger and cross-over utility segments; the Eagle and EfficientGrip Performance families of product lines for the high-performance segment; the Wrangler family of product lines for the sport utility vehicle and light truck segments; as well as the WinterCommand and Ultra Grip family of winter tires. Cooper brand radial passenger tire lines sold throughout Americas include those sold under the Mastercraft and Mickey Thompson brands. Additionally, we offer Dunlop brand radial tire lines, including Signature and SP Sport for the passenger and performance segments; Grandtrek tires for the cross-over and sport utility vehicle and light truck segments; and SP Winter, Winter Maxx and Grandtrek tires for the winter tire segment. Americas also manufactures and sells several lines of Kelly brand radial tires for passenger cars and light trucks including the Kelly Edge A/S, Edge HP and Edge AT. Our Americas commercial business provides commercial truck tires, retreads, services and business solutions to trucking fleets. Cooper brand commercial tires sold throughout Americas include those sold under the Roadmaster brand. Americas also:</w:t>
      </w:r>
    </w:p>
    <w:p>
      <w:pPr>
        <w:spacing w:after="0" w:line="78"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tread rubber and other tire retreading materials for trucks, heavy equipment and aviation,</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retreads truck, aviation and OTR tires, primarily as a service to its commercial customers,</w:t>
      </w:r>
    </w:p>
    <w:p>
      <w:pPr>
        <w:spacing w:after="0" w:line="8"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sells products and installation services online through our websites, </w:t>
      </w:r>
      <w:r>
        <w:rPr>
          <w:rFonts w:ascii="Times New Roman" w:cs="Times New Roman" w:eastAsia="Times New Roman" w:hAnsi="Times New Roman"/>
          <w:sz w:val="18"/>
          <w:szCs w:val="18"/>
          <w:u w:val="single" w:color="auto"/>
          <w:color w:val="auto"/>
        </w:rPr>
        <w:t>www.goodyear.com</w:t>
      </w:r>
      <w:r>
        <w:rPr>
          <w:rFonts w:ascii="Times New Roman" w:cs="Times New Roman" w:eastAsia="Times New Roman" w:hAnsi="Times New Roman"/>
          <w:sz w:val="18"/>
          <w:szCs w:val="18"/>
          <w:color w:val="auto"/>
        </w:rPr>
        <w:t xml:space="preserve"> for consumer tires and </w:t>
      </w:r>
      <w:r>
        <w:rPr>
          <w:rFonts w:ascii="Times New Roman" w:cs="Times New Roman" w:eastAsia="Times New Roman" w:hAnsi="Times New Roman"/>
          <w:sz w:val="18"/>
          <w:szCs w:val="18"/>
          <w:u w:val="single" w:color="auto"/>
          <w:color w:val="auto"/>
        </w:rPr>
        <w:t>www.goodyeartrucktires.com</w:t>
      </w:r>
      <w:r>
        <w:rPr>
          <w:rFonts w:ascii="Times New Roman" w:cs="Times New Roman" w:eastAsia="Times New Roman" w:hAnsi="Times New Roman"/>
          <w:sz w:val="18"/>
          <w:szCs w:val="18"/>
          <w:color w:val="auto"/>
        </w:rPr>
        <w:t xml:space="preserve"> for commercial tires,</w:t>
      </w:r>
    </w:p>
    <w:p>
      <w:pPr>
        <w:ind w:left="76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automotive maintenance and repair services at approximately 555 Company-owned retail outlets primarily under the Goodyear or Just Tires names,</w:t>
      </w:r>
    </w:p>
    <w:p>
      <w:pPr>
        <w:ind w:left="760" w:right="2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trucking fleets with new tires, retreads, mechanical service, preventative maintenance and roadside assistance from approximately 230 Company-owned locations, primarily Goodyear Commercial Tire &amp; Service Centers,</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sells automotive repair and maintenance items, automotive equipment and accessories and other items to dealers and consumers,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sells chemical products and natural rubber to Goodyear’s other business segments and to unaffiliated customers,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miscellaneous other products and services.</w:t>
      </w:r>
    </w:p>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2023, Americas launched several new consumer tires under the Goodyear and Cooper brands, including the Goodyear Wrangler DuraTrac RT, the Goodyear Wrangler Boulder MT, the Goodyear EcoReady, the Cooper ProControl, the Cooper Cobra Instinct and the Cooper Discover Road+Trail AT. Americas' commercial business launched new tires under the Goodyear RangeMax line, providing a regional drive tire for emerging commercial electric vehicles and new premium retread products under the Fuel Max, ArmorMax and UrbanMax lines for both regional and extreme mixed service customers. Americas also launched new tires under the Cooper WorkSeries and SevereSeries lines for regional and mixed service commercial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 unit sales to replacement and OE customers served by Americas during the periods indicated were: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40" w:type="dxa"/>
            <w:vAlign w:val="bottom"/>
          </w:tcPr>
          <w:p>
            <w:pPr>
              <w:spacing w:after="0"/>
              <w:rPr>
                <w:sz w:val="16"/>
                <w:szCs w:val="16"/>
                <w:color w:val="auto"/>
              </w:rPr>
            </w:pPr>
          </w:p>
        </w:tc>
        <w:tc>
          <w:tcPr>
            <w:tcW w:w="5280" w:type="dxa"/>
            <w:vAlign w:val="bottom"/>
            <w:gridSpan w:val="2"/>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AMERICAS UNIT SALES — REPLACEMENT AND OE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82"/>
        </w:trPr>
        <w:tc>
          <w:tcPr>
            <w:tcW w:w="27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Borders>
              <w:bottom w:val="single" w:sz="8" w:color="auto"/>
            </w:tcBorders>
          </w:tcPr>
          <w:p>
            <w:pPr>
              <w:spacing w:after="0"/>
              <w:rPr>
                <w:sz w:val="24"/>
                <w:szCs w:val="24"/>
                <w:color w:val="auto"/>
              </w:rPr>
            </w:pP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3900" w:type="dxa"/>
            <w:vAlign w:val="bottom"/>
          </w:tcPr>
          <w:p>
            <w:pPr>
              <w:spacing w:after="0"/>
              <w:rPr>
                <w:sz w:val="14"/>
                <w:szCs w:val="14"/>
                <w:color w:val="auto"/>
              </w:rPr>
            </w:pPr>
          </w:p>
        </w:tc>
        <w:tc>
          <w:tcPr>
            <w:tcW w:w="13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4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Replacement tire units</w:t>
            </w:r>
          </w:p>
        </w:tc>
        <w:tc>
          <w:tcPr>
            <w:tcW w:w="5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64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72.6</w:t>
            </w:r>
          </w:p>
        </w:tc>
      </w:tr>
      <w:tr>
        <w:trPr>
          <w:trHeight w:val="238"/>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OE tire units</w:t>
            </w:r>
          </w:p>
        </w:tc>
        <w:tc>
          <w:tcPr>
            <w:tcW w:w="39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20"/>
                <w:szCs w:val="20"/>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13.3</w:t>
            </w:r>
          </w:p>
        </w:tc>
      </w:tr>
      <w:tr>
        <w:trPr>
          <w:trHeight w:val="278"/>
        </w:trPr>
        <w:tc>
          <w:tcPr>
            <w:tcW w:w="2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tire units</w:t>
            </w:r>
          </w:p>
        </w:tc>
        <w:tc>
          <w:tcPr>
            <w:tcW w:w="390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87.3</w:t>
            </w:r>
          </w:p>
        </w:tc>
        <w:tc>
          <w:tcPr>
            <w:tcW w:w="8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95.0</w:t>
            </w:r>
          </w:p>
        </w:tc>
        <w:tc>
          <w:tcPr>
            <w:tcW w:w="16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-24765</wp:posOffset>
            </wp:positionV>
            <wp:extent cx="939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939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939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939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Americas is a major supplier of tires to most manufacturers of automobiles, trucks, buses, aircraft, and earthmoving, mining and industrial equipment that have production facilities located in the Americas.</w:t>
      </w:r>
    </w:p>
    <w:p>
      <w:pPr>
        <w:spacing w:after="0" w:line="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Americas' primary competitors are Bridgestone and Michelin. Other significant competitors include Continental, Nexen, Pirelli, and imports from other regions, primarily Asia.</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principal channel for the sale of Goodyear and Cooper brand tires in Americas is a large network of independent dealers. Goodyear, Cooper, Dunlop, Kelly and Mastercraft brand tires are also sold to numerous national and regional retailers, in Goodyear Company-owned stores in the United States, and through the wholesale channel, including through TireHub, LLC ("TireHub"), our national wholesale tire distributor in the United States, and a network of aligned U.S. regional wholesale tire distributors.</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products sold in the United States are subject to Federal Motor Vehicle Safety Standards (“FMVSS”) promulgated and enforced by the National Highway Traffic Safety Administration (“NHTSA”), which has established various standards and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regulations applicable to tires sold in the United States and tires sold in a foreign country that are identical or substantially similar to tires sold in the United States. NHTSA has the authority to order the recall of automotive products, including tires, having a defect related to motor vehicle safety or that do not comply with a motor vehicle safety standard. In addition, the Transportation Recall Enhancement, Accountability, and Documentation Act (the “TREAD Act”) imposes numerous reporting requirements with respect to the early warning reporting of warranty claims, property damage claims, and bodily injury and fatality claims. The FMVSS also require tire manufacturers to comply with rigorous tire testing standards. Compliance with these regulations has increased the cost of producing and distributing tires in the United States.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UROPE,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IDDLE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AST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FRICA</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Europe, Middle East and Africa, our second largest segment in terms of revenue, develops, manufactures, distributes and sells tires for automobiles, trucks, buses, aircraft, motorcycles, and earthmoving, mining and industrial equipment throughout Europe, the Middle East and Africa under the Goodyear, Dunlop, Debica, Sava, Fulda, Cooper and Avon brands and other house brands, and sells tires to various export markets, primarily through intersegment sales. EMEA manufactures tires in fifteen plants in France, Germany, Luxembourg, Poland, Serbia, Slovenia, South Africa and Turkey. EMEA also:</w:t>
      </w:r>
    </w:p>
    <w:p>
      <w:pPr>
        <w:spacing w:after="0" w:line="74"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sells aviation tires and manufactures and sells retreaded aviation tires,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various retreading and related services for truck and OTR tires, primarily for its commercial truck tire customers,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automotive repair services at Company-owned retail outlets,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miscellaneous other products and services.</w:t>
      </w:r>
    </w:p>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2023, EMEA launched a number of new consumer tires under the Goodyear, Dunlop, Debica, Sava and Fulda brands, including the Goodyear Ultra Grip Performance 3 for the winter high-performance segment, the Goodyear Efficient Grip Compact 2 for the summer segment and the Goodyear Ultra Grip Ice 3 for the Nordic ice segment. EMEA also enhanced its commercial tire portfolio in all product tiers. The Goodyear UrbanMax Commuter has been introduced to address the inter-city people mobility segment, while the Goodyear FuelMax Endurance range, providing better fuel efficiency and lower CO2 emissions across more applications, has been further extended to additional sizes.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 unit sales to replacement and OE customers served by EMEA during the periods indicated were: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754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EUROPE, MIDDLE EAST AND AFRICA UNIT SALES — REPLACEMENT AND OE</w:t>
            </w:r>
          </w:p>
        </w:tc>
        <w:tc>
          <w:tcPr>
            <w:tcW w:w="1420" w:type="dxa"/>
            <w:vAlign w:val="bottom"/>
          </w:tcPr>
          <w:p>
            <w:pPr>
              <w:spacing w:after="0"/>
              <w:rPr>
                <w:sz w:val="16"/>
                <w:szCs w:val="16"/>
                <w:color w:val="auto"/>
              </w:rPr>
            </w:pPr>
          </w:p>
        </w:tc>
      </w:tr>
      <w:tr>
        <w:trPr>
          <w:trHeight w:val="282"/>
        </w:trPr>
        <w:tc>
          <w:tcPr>
            <w:tcW w:w="2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Borders>
              <w:bottom w:val="single" w:sz="8" w:color="auto"/>
            </w:tcBorders>
          </w:tcPr>
          <w:p>
            <w:pPr>
              <w:spacing w:after="0"/>
              <w:rPr>
                <w:sz w:val="24"/>
                <w:szCs w:val="24"/>
                <w:color w:val="auto"/>
              </w:rPr>
            </w:pPr>
          </w:p>
        </w:tc>
      </w:tr>
      <w:tr>
        <w:trPr>
          <w:trHeight w:val="169"/>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4360" w:type="dxa"/>
            <w:vAlign w:val="bottom"/>
          </w:tcPr>
          <w:p>
            <w:pPr>
              <w:spacing w:after="0"/>
              <w:rPr>
                <w:sz w:val="14"/>
                <w:szCs w:val="14"/>
                <w:color w:val="auto"/>
              </w:rPr>
            </w:pPr>
          </w:p>
        </w:tc>
        <w:tc>
          <w:tcPr>
            <w:tcW w:w="13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4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Replacement tire units</w:t>
            </w:r>
          </w:p>
        </w:tc>
        <w:tc>
          <w:tcPr>
            <w:tcW w:w="5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4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41.7</w:t>
            </w:r>
          </w:p>
        </w:tc>
      </w:tr>
      <w:tr>
        <w:trPr>
          <w:trHeight w:val="23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OE tire units</w:t>
            </w:r>
          </w:p>
        </w:tc>
        <w:tc>
          <w:tcPr>
            <w:tcW w:w="436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20"/>
                <w:szCs w:val="20"/>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11.0</w:t>
            </w:r>
          </w:p>
        </w:tc>
      </w:tr>
      <w:tr>
        <w:trPr>
          <w:trHeight w:val="278"/>
        </w:trPr>
        <w:tc>
          <w:tcPr>
            <w:tcW w:w="2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tire units</w:t>
            </w:r>
          </w:p>
        </w:tc>
        <w:tc>
          <w:tcPr>
            <w:tcW w:w="43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8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55.1</w:t>
            </w:r>
          </w:p>
        </w:tc>
        <w:tc>
          <w:tcPr>
            <w:tcW w:w="16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-24765</wp:posOffset>
            </wp:positionV>
            <wp:extent cx="939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939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939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939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EMEA is a significant supplier of tires to most vehicle manufacturers across the region.</w:t>
      </w:r>
    </w:p>
    <w:p>
      <w:pPr>
        <w:spacing w:after="0" w:line="1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EMEA’s primary competitors are Michelin, Bridgestone, Continental, Pirelli, several regional and local tire producers, and imports from other regions, primarily Asia.</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Goodyear and Dunlop brand tires are sold for replacement in EMEA through various channels of distribution, principally independent multi-brand tire dealers. In some areas, Goodyear brand tires, as well as Dunlop, Debica, Sava, Fulda, Cooper and Avon brand tires, are distributed through independent dealers, regional distributors and retail outlets, of which approximately 40 are owned by Goodyear.</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European operations are subject to regulation by the European Union. The Tire Safety Regulation sets performance standards that tires for passenger cars and light and commercial trucks need to meet for rolling resistance, wet grip braking (passenger car tires only) and noise in order to be sold in the European Union. The Tire Labeling Regulation applies to all passenger car, light truck and commercial truck tires and requires that consumers be informed about the tire's fuel efficiency, wet grip and noise characteristics.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SIA</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ACIFIC</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Asia Pacific segment develops, manufactures, distributes and sells tires for automobiles, trucks, buses, aircraft, farm, and earthmoving, mining and industrial equipment throughout the Asia Pacific region, and sells tires to various export markets, primarily through intersegment sales. Asia Pacific manufactures tires in nine plants in China, India, Indonesia, Japan, Malaysia and Thailand. Asia Pacific also:</w:t>
      </w:r>
    </w:p>
    <w:p>
      <w:pPr>
        <w:spacing w:after="0" w:line="69"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retreads truck tires and aviation tires,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tread rubber and other tire retreading materials for aviation tires,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automotive maintenance and repair services at Company-owned retail outlets,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miscellaneous other products and services.</w:t>
      </w:r>
    </w:p>
    <w:p>
      <w:pPr>
        <w:spacing w:after="0" w:line="1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2023, Asia Pacific released new consumer tires under the Goodyear brand for the premium on and off road market segment, including the Goodyear Wrangler DuraTrac RT, the Goodyear Eagle F1 Asymmetric 6 for the ultra-high performance segment, and the Goodyear Assurance MaxGuard for mainstream passenger vehicles.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 unit sales to replacement and OE customers served by Asia Pacific during the periods indicated were: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80" w:type="dxa"/>
            <w:vAlign w:val="bottom"/>
          </w:tcPr>
          <w:p>
            <w:pPr>
              <w:spacing w:after="0"/>
              <w:rPr>
                <w:sz w:val="16"/>
                <w:szCs w:val="16"/>
                <w:color w:val="auto"/>
              </w:rPr>
            </w:pPr>
          </w:p>
        </w:tc>
        <w:tc>
          <w:tcPr>
            <w:tcW w:w="5340" w:type="dxa"/>
            <w:vAlign w:val="bottom"/>
            <w:gridSpan w:val="2"/>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ASIA PACIFIC UNIT SALES — REPLACEMENT AND OE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82"/>
        </w:trPr>
        <w:tc>
          <w:tcPr>
            <w:tcW w:w="26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Borders>
              <w:bottom w:val="single" w:sz="8" w:color="auto"/>
            </w:tcBorders>
          </w:tcPr>
          <w:p>
            <w:pPr>
              <w:spacing w:after="0"/>
              <w:rPr>
                <w:sz w:val="24"/>
                <w:szCs w:val="24"/>
                <w:color w:val="auto"/>
              </w:rPr>
            </w:pPr>
          </w:p>
        </w:tc>
      </w:tr>
      <w:tr>
        <w:trPr>
          <w:trHeight w:val="169"/>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3960" w:type="dxa"/>
            <w:vAlign w:val="bottom"/>
          </w:tcPr>
          <w:p>
            <w:pPr>
              <w:spacing w:after="0"/>
              <w:rPr>
                <w:sz w:val="14"/>
                <w:szCs w:val="14"/>
                <w:color w:val="auto"/>
              </w:rPr>
            </w:pPr>
          </w:p>
        </w:tc>
        <w:tc>
          <w:tcPr>
            <w:tcW w:w="13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4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Replacement tire units</w:t>
            </w:r>
          </w:p>
        </w:tc>
        <w:tc>
          <w:tcPr>
            <w:tcW w:w="5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64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19.8</w:t>
            </w:r>
          </w:p>
        </w:tc>
      </w:tr>
      <w:tr>
        <w:trPr>
          <w:trHeight w:val="238"/>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OE tire units</w:t>
            </w:r>
          </w:p>
        </w:tc>
        <w:tc>
          <w:tcPr>
            <w:tcW w:w="396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20"/>
                <w:szCs w:val="20"/>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10.9</w:t>
            </w:r>
          </w:p>
        </w:tc>
      </w:tr>
      <w:tr>
        <w:trPr>
          <w:trHeight w:val="278"/>
        </w:trPr>
        <w:tc>
          <w:tcPr>
            <w:tcW w:w="2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tire units</w:t>
            </w:r>
          </w:p>
        </w:tc>
        <w:tc>
          <w:tcPr>
            <w:tcW w:w="39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c>
          <w:tcPr>
            <w:tcW w:w="8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34.4</w:t>
            </w:r>
          </w:p>
        </w:tc>
        <w:tc>
          <w:tcPr>
            <w:tcW w:w="16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-24765</wp:posOffset>
            </wp:positionV>
            <wp:extent cx="939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939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939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939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Asia Pacific’s major competitors are Bridgestone and Michelin along with many other global brands present in different parts of the region, including Continental, Dunlop, Hankook and a large number of regional and local tire producers.</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Asia Pacific sells primarily Goodyear and Cooper brand tires throughout the region and also sells the Dunlop brand in Australia and New Zealand. Other brands of tires, such as Remington, Kelly and Mastercraft, are sold in smaller quantities. Tires are sold through a network of licensed and franchised retail stores and multi-brand retailers through a network of wholesale dealers as well as through an increasing number of on-line outlets. In Australia, we also operate a network of approximately 100 retail stores, primarily under the Beaurepaires brand. During 2023, we approved a rationalization plan in Asia Pacific to improve profitability in our Australia and New Zealand operations which is expected to lead to the sale or exit of these retail and fleet store locations.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BUSINESS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Availability of Raw Materials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principal raw materials used by Goodyear are synthetic and natural rubber. Synthetic rubber accounted for approximately 50% of all rubber consumed by us in 2023. Our plants located in Beaumont and Houston, Texas supply a major portion of our global synthetic rubber requirements. We purchase all of our requirements for natural rubber in the world market.</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important raw materials and components we use are carbon black, steel cord, fabrics and petrochemical-based commodities. Substantially all of these raw materials and components are purchased from independent suppliers, except for certain chemicals we manufacture. We purchase most raw materials and components in significant quantities from several suppliers, except in those instances where only one or a few qualified sources are available. The inflationary cost pressures on raw materials that we experienced in 2022 and the first half of 2023 eased in the second half of 2023. We anticipate the continued availability of raw materials and components we will require during 2024, subject to spot shortages and unexpected disruptions caused by natural disasters, such as hurricanes, or other events.</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Substantial quantities of fuel and other petrochemical-based commodities are used in the production of tires, synthetic rubber and other products. Supplies of such fuels and commodities have been and are expected to continue to be available to us in quantities sufficient to satisfy our anticipated requirements, subject to spot shortages.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At December 31, 2023, we employed approximately 71,000 full-time and temporary associates throughout the world, including approximately 39,700 associates covered under collective bargaining agreements. Approximately 5,300 of our associates in the</w:t>
      </w:r>
    </w:p>
    <w:p>
      <w:pPr>
        <w:sectPr>
          <w:pgSz w:w="11900" w:h="16838" w:orient="portrait"/>
          <w:cols w:equalWidth="0" w:num="1">
            <w:col w:w="11240"/>
          </w:cols>
          <w:pgMar w:left="320" w:top="764" w:right="339"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United States are covered by a master collective bargaining agreement between Goodyear and the United Steelworkers ("USW"), which expires in July 2026. Approximately 2,200 of our associates at our Texarkana and Findlay plants in the United States are covered by separate collective bargaining agreements with the USW, which expire in June 2024. In addition, approximately 800 of our associates in the United States are covered by other contracts with the USW and various other unions. Approximately 20,000 of our associates outside of the United States are covered by union contracts that currently have expired or that will expire in 2024, primarily in Luxembourg, Poland, Brazil, Mexico, China, Slovenia, Turkey, India and Serbia. Unions represent a major portion of our associates in the United States and Europe.</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continue to experience increased labor-related costs and manufacturing inefficiencies associated with the ongoing tight labor supply, particularly in the U.S. To address this issue, we have accelerated hiring as necessary, increased training capacity and started to adjust future investment plans to consider not just the cost, but also the availability of qualified workers.</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Engaging and enabling our associates to realize their full potential is one of our core strategies. This starts with attracting top diverse talent and is followed by fostering inclusion, promoting equity through global inclusive leader training, offering opportunities for skill and career development, supporting health and wellness, providing a safe and healthy workplace, making a positive impact in our communities, and expecting our associates to know and comply with our compliance and ethics policies.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Talent Management — </w:t>
      </w:r>
      <w:r>
        <w:rPr>
          <w:rFonts w:ascii="Times New Roman" w:cs="Times New Roman" w:eastAsia="Times New Roman" w:hAnsi="Times New Roman"/>
          <w:sz w:val="18"/>
          <w:szCs w:val="18"/>
          <w:color w:val="auto"/>
        </w:rPr>
        <w:t>Our associates are the driving force behind our success. They underpin every aspect of our strategy and help us deliver value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shareholders and communities. We provide integrated talent management and learning solutions aimed at enabling our associates to reach their full personal and professional potential at Goodyear. We are guided by our talent strategy which focuses on talent attraction, talent development and talent engagement and retention. An example of how we attract talent is through campus recruiting into our intern and job rotational programs utilized by several of our functional teams. We offer a number of tools for talent development including the Goodyear Learning Center, which is our in-house collection of online courses available to all associates. In our manufacturing plants, one of the pillars of our plant optimization efforts is Continuous Skills Development, which focuses on developing problem-solving and decision-making skills.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Diversity and Inclusion — </w:t>
      </w:r>
      <w:r>
        <w:rPr>
          <w:rFonts w:ascii="Times New Roman" w:cs="Times New Roman" w:eastAsia="Times New Roman" w:hAnsi="Times New Roman"/>
          <w:sz w:val="18"/>
          <w:szCs w:val="18"/>
          <w:color w:val="auto"/>
        </w:rPr>
        <w:t>A diverse workforce is critical to our long-term success. Embracing and valuing differences allows us to attract top talent,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associate satisfaction and engagement, foster innovation, and meld varying experiences and perspectives to drive enhanced customer service, business creativity and decision-making. Our goal is to create a work environment where people have a real sense of belonging and are able to thrive. Our commitment is reflected in the policies that govern our workforce, such as our Business Conduct Manual and Global Zero Tolerance policy and is evidenced in our recruiting strategies, succession planning, diversity and inclusion training and Employee Resource Groups (“ERGs”), which are key to our inclusion efforts. Our ERGs provide associates access to coaching, mentoring and professional development, and include ADAPT (Abled and Disabled Associates Partnering Together), Goodyear Asia India Middle East (AIM), Goodyear Black Network, Goodyear Veterans Association, Goodyear Women’s Network, Goodyear Pride Network, HOLA (Hispanic/Latino) and Next Generation Leaders.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Health and Wellness — </w:t>
      </w:r>
      <w:r>
        <w:rPr>
          <w:rFonts w:ascii="Times New Roman" w:cs="Times New Roman" w:eastAsia="Times New Roman" w:hAnsi="Times New Roman"/>
          <w:sz w:val="18"/>
          <w:szCs w:val="18"/>
          <w:color w:val="auto"/>
        </w:rPr>
        <w:t>Our wellness initiatives take a holistic view of associate health, including physical, emotional, financial and social health, to enable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associates to thrive and bring their best selves to work each day. Goodyear strives to be at the forefront of corporate wellness, and that goal is the driver behind our “GoodLife” wellness program, which fosters a culture of wellness for all Goodyear associates and their families. To meet the needs of our diverse workforce and their dependents, we offer varying robust benefits packages for our full-time and part-time associates globally.</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Workforce Safety and Wellness — </w:t>
      </w:r>
      <w:r>
        <w:rPr>
          <w:rFonts w:ascii="Times New Roman" w:cs="Times New Roman" w:eastAsia="Times New Roman" w:hAnsi="Times New Roman"/>
          <w:sz w:val="18"/>
          <w:szCs w:val="18"/>
          <w:color w:val="auto"/>
        </w:rPr>
        <w:t>Our vision is to have the safest operations in the world. We have established a goal of eliminating all serious injuries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fatalities in our workplace. To reduce the risk of serious injuries we invest in systems that enable us to receive reliable and structured data to enable decision making. We also work to improve our industrial hygiene to prevent work-related illness from noise and the substances used in the manufacturing process and we focus on ergonomics using a six-step problem-solving process to reduce injuries and maximize workplace performance.</w:t>
      </w:r>
    </w:p>
    <w:p>
      <w:pPr>
        <w:spacing w:after="0" w:line="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Community Engagement — </w:t>
      </w:r>
      <w:r>
        <w:rPr>
          <w:rFonts w:ascii="Times New Roman" w:cs="Times New Roman" w:eastAsia="Times New Roman" w:hAnsi="Times New Roman"/>
          <w:sz w:val="18"/>
          <w:szCs w:val="18"/>
          <w:color w:val="auto"/>
        </w:rPr>
        <w:t>Collaborating with community organizations energizes our associates and helps us build a better future. Our global strategy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efforts are an extension of our business and are aimed at safe mobility, inspiring students to reach their full potential and reducing our environmental impacts. We encourage our associates to participate in our Global Week of Volunteering.</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Compliance and Ethics — </w:t>
      </w:r>
      <w:r>
        <w:rPr>
          <w:rFonts w:ascii="Times New Roman" w:cs="Times New Roman" w:eastAsia="Times New Roman" w:hAnsi="Times New Roman"/>
          <w:sz w:val="18"/>
          <w:szCs w:val="18"/>
          <w:color w:val="auto"/>
        </w:rPr>
        <w:t>To “Act with Integrity” is a core component of our global strategy. Each associate is responsible for acting with honesty,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integrity and respect every day and everywhere we do business. Our Business Conduct Manual guides our Board of Directors, executive team and all associates globally. We require our global salaried associates to complete training annually on our Business Conduct Manual and periodically on subjects such as workplace respect (including discrimination and harassment), financial integrity, privacy and data protection, competition law, anti-corruption and anti-bribery, and being a compliance leader.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own approximately 1,700 product, process and equipment patents issued by the United States Patent Office and approximately 4,400 patents issued or granted in other countries around the world. We have approximately 400 applications for United States patents pending and approximately 600 patent applications on file in other countries around the world. While such patents and patent applications as a group are important, we do not consider any patent or patent application to be of such importance that the loss or expiration thereof would materially affect Goodyear or any business segment.</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control or use approximately 1,600 different trademarks, including several using the word “Goodyear,” the word “Dunlop” or the word “Cooper.” Approximately 9,200 registrations and 300 pending applications worldwide protect these trademarks. While such trademarks as a group are important, the only trademarks we consider material to our business, or to the business of any of our segments, are those using the word “Goodyear” or the word “Cooper,” and with respect to certain of our international business segments, those using the word “Dunlop.” We believe our trademarks are valid and most are of unlimited duration as long as they are adequately protected and appropriately used.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Government Regulations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extensive regulation under environmental and occupational safety and health laws and regulations worldwide. These laws and regulations relate to, among other things, air emissions, discharges to surface and underground waters, the generation, handling, storage, transportation and disposal of waste materials and hazardous substances, and workplace safety and health. We have several continuing programs designed to ensure compliance with foreign, federal, state and local environmental and occupational safety and health laws and regulations. We expect capital expenditures for pollution control facilities and occupational safety and health projects to be approximately $80 million in both 2024 and 2025.</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incur ongoing expenses to maintain and operate our pollution control facilities and conduct our other environmental activities, including the control and disposal of hazardous substances. These expenditures are expected to be sufficient to comply with existing environmental laws and regulations and are not expected to have a material adverse effect on our competitive position. In the future, we may incur increased costs and additional charges associated with environmental compliance and cleanup projects necessitated by the identification of new waste sites, the impact of new environmental laws and regulatory standards, or the availability of new technologies. Compliance with foreign, federal, state and local environmental laws and regulations in the future may require a material increase in our capital expenditures and could adversely affect our earnings and competitive position.</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compliance with complex foreign and U.S. laws and regulations that apply to our international operations increases our cost of doing business in international jurisdictions. These numerous and sometimes conflicting laws and regulations include import and export laws, anti-competition laws, anti-corruption laws, such as the U.S. Foreign Corrupt Practices Act, the U.K. Bribery Act and other local laws prohibiting corrupt payments to governmental officials, data privacy laws such as the European Union's General Data Protection Regulation ("GDPR"), tax laws, and accounting, internal control and disclosure requirements.</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Refer to “Description of Goodyear’s Business – Americas” and “Description of Goodyear’s Business – Europe, Middle East and Africa” included in this Item 1, “Business” for information regarding compliance with government regulations in each of those segments.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Change and Sustainability</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committed to reaching net-zero greenhouse gas (GHG) emissions across our value chain by 2050 from a 2019 base year. In addition, we are committed to reducing absolute Scope 1 and 2 GHG emissions by 46% by 2030 from a 2019 base year, and absolute Scope 3 GHG emissions from purchased goods and services, fuel and energy-related activities and upstream transportation by 28% within the same timeframe. In 2023, our science-based near-term and net-zero GHG reduction targets were validated by the Science Based Targets initiative (SBTi).</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Climate considerations continue to drive change in the transportation sector. Advanced forms of mobility—such as fleets, autonomous, connected, electric and sustainable vehicles—are transforming the tire industry and have the potential to make driving safer and more sustainable. Companies in the transportation sector are setting ambitious climate goals that require the support of the entire supply chain to achieve. </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have established a robust process that uses internal and external insights to identify, assess and report climate-related risks and opportunities. The move to a low-carbon economy creates growth opportunities within the tire industry that we are well positioned to leverage through our continued innovation. We have a proven track record of producing tires for electric and autonomous vehicles, developing tires and rubber compounds that contribute to reduced GHG emissions by lowering rolling resistance and reducing tire weight, and providing fleet solution services that promote fuel efficiency. We maintain strong relationships with our supply chain partners which, coupled with our global scale, can be leveraged to either avoid or minimize climate-related supply chain disruptions. </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Climate change poses risks that could adversely impact our operations, including risks related to our plans to continue to develop and supply the types of products, services and technologies requested by consumers. Such risks also include an increase in severe weather events that could temporarily disrupt our operations or supply chain or the operations of our customers and the cost of compliance associated with increased climate-related regulations globally, including increased disclosure obligations or being subject to carbon taxes or similar mechanisms in the European Union or the emergence of such programs in other countries. Refer to Item 1A. “Risk Factors” for a discussion of these and our other risk factors. </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Federal, state, local and foreign governments and regulatory agencies continue to consider various options and measures to control GHG emissions in response to climate change. We strive to comply with all applicable laws and regulations, carefully monitor our energy usage and GHG emissions, and set company-wide and facility-specific goals to reduce our operational impacts. As part of our commitment to reduce our operational impact, we continue to focus on reducing energy consumption and emissions in our factories and utilizing renewable energy sources. Goodyear has committed to using 100% renewable electricity in all manufacturing facilities by 2030 and 100% renewable energy in all manufacturing facilities by 2040.</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focus on the resiliency of our supply chain by developing alternative, sustainable material sources and increasing our use of sustainable materials that deliver product performance while meeting our high standards of quality and safety. We also select suppliers that uphold fair working conditions, use sustainable harvesting practices and share our values. Our technology teams work to investigate and incorporate new technologies and materials, including renewable and recycled materials, into our products. Sustainable materials refers to a bio-based (defined as material of biological origin); renewable; or recycled (defined as material that has been reprocessed from recovered or reclaimed material); or one produced using or contributing to other practices designed to promote resource conservation and/or emissions reductions, including ISCC PLUS mass-balance (defined as a certification verifying our capability to track the amount and sustainability characteristics of circular and/or bio-based material in the value chain and attribute it based on verifiable bookkeeping).</w:t>
      </w:r>
    </w:p>
    <w:p>
      <w:pPr>
        <w:spacing w:after="0" w:line="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late 2023, we introduced the EcoReady, a commercially available consumer tire made with 70% sustainable materials. This tire is engineered with soybean oil to reduce petroleum-based oil, high-quality rice husk ash silica to help reduce waste going to landfill and sustainably sourced natural rubber. Goodyear has a goal to introduce the industry’s first 100% sustainable material tire by 2030.</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Set forth below are: (1) the names and ages of all executive officers of the Company at February 13, 2024, (2) all positions with the Company presently held by each such person, and (3) the positions held by, and principal areas of responsibility of, each such person during the last five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7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371"/>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Mark W. Stewart</w:t>
            </w:r>
          </w:p>
        </w:tc>
        <w:tc>
          <w:tcPr>
            <w:tcW w:w="120" w:type="dxa"/>
            <w:vAlign w:val="bottom"/>
          </w:tcPr>
          <w:p>
            <w:pPr>
              <w:spacing w:after="0"/>
              <w:rPr>
                <w:sz w:val="24"/>
                <w:szCs w:val="24"/>
                <w:color w:val="auto"/>
              </w:rPr>
            </w:pPr>
          </w:p>
        </w:tc>
        <w:tc>
          <w:tcPr>
            <w:tcW w:w="7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President</w:t>
            </w: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56</w:t>
            </w:r>
          </w:p>
        </w:tc>
      </w:tr>
    </w:tbl>
    <w:p>
      <w:pPr>
        <w:spacing w:after="0" w:line="9" w:lineRule="exact"/>
        <w:rPr>
          <w:sz w:val="20"/>
          <w:szCs w:val="20"/>
          <w:color w:val="auto"/>
        </w:rPr>
      </w:pPr>
    </w:p>
    <w:p>
      <w:pPr>
        <w:jc w:val="both"/>
        <w:ind w:left="20" w:right="20"/>
        <w:spacing w:after="0" w:line="265" w:lineRule="auto"/>
        <w:rPr>
          <w:sz w:val="20"/>
          <w:szCs w:val="20"/>
          <w:color w:val="auto"/>
        </w:rPr>
      </w:pPr>
      <w:r>
        <w:rPr>
          <w:rFonts w:ascii="Times New Roman" w:cs="Times New Roman" w:eastAsia="Times New Roman" w:hAnsi="Times New Roman"/>
          <w:sz w:val="18"/>
          <w:szCs w:val="18"/>
          <w:color w:val="auto"/>
        </w:rPr>
        <w:t>Mr. Stewart was named Chief Executive Officer and President on January 29, 2024. He is the principal executive officer of the Company. Mr. Stewart joined Goodyear from Stellantis N.V., a leading global automaker and provider of innovative mobility solutions, where he served as Chief Operating Officer of North America and a member of the Group Executive Council from December 2018 to January 2024.</w:t>
      </w:r>
    </w:p>
    <w:p>
      <w:pPr>
        <w:spacing w:after="0" w:line="133" w:lineRule="exact"/>
        <w:rPr>
          <w:sz w:val="20"/>
          <w:szCs w:val="20"/>
          <w:color w:val="auto"/>
        </w:rPr>
      </w:pPr>
    </w:p>
    <w:p>
      <w:pPr>
        <w:ind w:left="300"/>
        <w:spacing w:after="0"/>
        <w:tabs>
          <w:tab w:leader="none" w:pos="4420" w:val="left"/>
          <w:tab w:leader="none" w:pos="10820" w:val="left"/>
        </w:tabs>
        <w:rPr>
          <w:sz w:val="20"/>
          <w:szCs w:val="20"/>
          <w:color w:val="auto"/>
        </w:rPr>
      </w:pPr>
      <w:r>
        <w:rPr>
          <w:rFonts w:ascii="Times New Roman" w:cs="Times New Roman" w:eastAsia="Times New Roman" w:hAnsi="Times New Roman"/>
          <w:sz w:val="18"/>
          <w:szCs w:val="18"/>
          <w:b w:val="1"/>
          <w:bCs w:val="1"/>
          <w:color w:val="auto"/>
        </w:rPr>
        <w:t>Darren R. Wells</w:t>
      </w:r>
      <w:r>
        <w:rPr>
          <w:sz w:val="20"/>
          <w:szCs w:val="20"/>
          <w:color w:val="auto"/>
        </w:rPr>
        <w:tab/>
      </w:r>
      <w:r>
        <w:rPr>
          <w:rFonts w:ascii="Times New Roman" w:cs="Times New Roman" w:eastAsia="Times New Roman" w:hAnsi="Times New Roman"/>
          <w:sz w:val="18"/>
          <w:szCs w:val="18"/>
          <w:b w:val="1"/>
          <w:bCs w:val="1"/>
          <w:color w:val="auto"/>
        </w:rPr>
        <w:t>Executive Vice President and Chief Administrative Officer</w:t>
      </w:r>
      <w:r>
        <w:rPr>
          <w:sz w:val="20"/>
          <w:szCs w:val="20"/>
          <w:color w:val="auto"/>
        </w:rPr>
        <w:tab/>
      </w:r>
      <w:r>
        <w:rPr>
          <w:rFonts w:ascii="Times New Roman" w:cs="Times New Roman" w:eastAsia="Times New Roman" w:hAnsi="Times New Roman"/>
          <w:sz w:val="18"/>
          <w:szCs w:val="18"/>
          <w:b w:val="1"/>
          <w:bCs w:val="1"/>
          <w:color w:val="auto"/>
        </w:rPr>
        <w:t>58</w:t>
      </w:r>
    </w:p>
    <w:p>
      <w:pPr>
        <w:spacing w:after="0" w:line="40" w:lineRule="exact"/>
        <w:rPr>
          <w:sz w:val="20"/>
          <w:szCs w:val="20"/>
          <w:color w:val="auto"/>
        </w:rPr>
      </w:pPr>
    </w:p>
    <w:p>
      <w:pPr>
        <w:jc w:val="both"/>
        <w:ind w:left="20" w:right="20"/>
        <w:spacing w:after="0" w:line="281" w:lineRule="auto"/>
        <w:rPr>
          <w:sz w:val="20"/>
          <w:szCs w:val="20"/>
          <w:color w:val="auto"/>
        </w:rPr>
      </w:pPr>
      <w:r>
        <w:rPr>
          <w:rFonts w:ascii="Times New Roman" w:cs="Times New Roman" w:eastAsia="Times New Roman" w:hAnsi="Times New Roman"/>
          <w:sz w:val="18"/>
          <w:szCs w:val="18"/>
          <w:color w:val="auto"/>
        </w:rPr>
        <w:t>Mr. Wells was named Executive Vice President and Chief Administrative Officer on January 1, 2023. Mr. Wells served as Goodyear’s Executive Vice President and Chief Financial Officer from September 2018 to December 31, 2022. Mr. Wells has announced his retirement effective February 29, 2024.</w:t>
      </w:r>
    </w:p>
    <w:p>
      <w:pPr>
        <w:spacing w:after="0" w:line="118" w:lineRule="exact"/>
        <w:rPr>
          <w:sz w:val="20"/>
          <w:szCs w:val="20"/>
          <w:color w:val="auto"/>
        </w:rPr>
      </w:pPr>
    </w:p>
    <w:p>
      <w:pPr>
        <w:ind w:left="300"/>
        <w:spacing w:after="0"/>
        <w:tabs>
          <w:tab w:leader="none" w:pos="4640" w:val="left"/>
          <w:tab w:leader="none" w:pos="10820" w:val="left"/>
        </w:tabs>
        <w:rPr>
          <w:sz w:val="20"/>
          <w:szCs w:val="20"/>
          <w:color w:val="auto"/>
        </w:rPr>
      </w:pPr>
      <w:r>
        <w:rPr>
          <w:rFonts w:ascii="Times New Roman" w:cs="Times New Roman" w:eastAsia="Times New Roman" w:hAnsi="Times New Roman"/>
          <w:sz w:val="18"/>
          <w:szCs w:val="18"/>
          <w:b w:val="1"/>
          <w:bCs w:val="1"/>
          <w:color w:val="auto"/>
        </w:rPr>
        <w:t>Christina L. Zamarro</w:t>
      </w:r>
      <w:r>
        <w:rPr>
          <w:sz w:val="20"/>
          <w:szCs w:val="20"/>
          <w:color w:val="auto"/>
        </w:rPr>
        <w:tab/>
      </w:r>
      <w:r>
        <w:rPr>
          <w:rFonts w:ascii="Times New Roman" w:cs="Times New Roman" w:eastAsia="Times New Roman" w:hAnsi="Times New Roman"/>
          <w:sz w:val="18"/>
          <w:szCs w:val="18"/>
          <w:b w:val="1"/>
          <w:bCs w:val="1"/>
          <w:color w:val="auto"/>
        </w:rPr>
        <w:t>Executive Vice President and Chief Financial Officer</w:t>
      </w:r>
      <w:r>
        <w:rPr>
          <w:sz w:val="20"/>
          <w:szCs w:val="20"/>
          <w:color w:val="auto"/>
        </w:rPr>
        <w:tab/>
      </w:r>
      <w:r>
        <w:rPr>
          <w:rFonts w:ascii="Times New Roman" w:cs="Times New Roman" w:eastAsia="Times New Roman" w:hAnsi="Times New Roman"/>
          <w:sz w:val="18"/>
          <w:szCs w:val="18"/>
          <w:b w:val="1"/>
          <w:bCs w:val="1"/>
          <w:color w:val="auto"/>
        </w:rPr>
        <w:t>52</w:t>
      </w:r>
    </w:p>
    <w:p>
      <w:pPr>
        <w:spacing w:after="0" w:line="40" w:lineRule="exact"/>
        <w:rPr>
          <w:sz w:val="20"/>
          <w:szCs w:val="20"/>
          <w:color w:val="auto"/>
        </w:rPr>
      </w:pPr>
    </w:p>
    <w:p>
      <w:pPr>
        <w:jc w:val="both"/>
        <w:ind w:left="20" w:right="20"/>
        <w:spacing w:after="0" w:line="265" w:lineRule="auto"/>
        <w:rPr>
          <w:sz w:val="20"/>
          <w:szCs w:val="20"/>
          <w:color w:val="auto"/>
        </w:rPr>
      </w:pPr>
      <w:r>
        <w:rPr>
          <w:rFonts w:ascii="Times New Roman" w:cs="Times New Roman" w:eastAsia="Times New Roman" w:hAnsi="Times New Roman"/>
          <w:sz w:val="18"/>
          <w:szCs w:val="18"/>
          <w:color w:val="auto"/>
        </w:rPr>
        <w:t>Ms. Zamarro was named Executive Vice President and Chief Financial Officer on January 1, 2023. She is Goodyear’s principal financial officer. Ms. Zamarro joined Goodyear in 2007 and has served as Vice President, FP&amp;A and Investor Relations (April 2018 to April 2020) and Vice President, Finance and Treasurer (May 2020 to December 31, 2022).</w:t>
      </w:r>
    </w:p>
    <w:p>
      <w:pPr>
        <w:spacing w:after="0" w:line="133" w:lineRule="exact"/>
        <w:rPr>
          <w:sz w:val="20"/>
          <w:szCs w:val="20"/>
          <w:color w:val="auto"/>
        </w:rPr>
      </w:pPr>
    </w:p>
    <w:p>
      <w:pPr>
        <w:ind w:left="300"/>
        <w:spacing w:after="0"/>
        <w:tabs>
          <w:tab w:leader="none" w:pos="5900" w:val="left"/>
          <w:tab w:leader="none" w:pos="10820" w:val="left"/>
        </w:tabs>
        <w:rPr>
          <w:sz w:val="20"/>
          <w:szCs w:val="20"/>
          <w:color w:val="auto"/>
        </w:rPr>
      </w:pPr>
      <w:r>
        <w:rPr>
          <w:rFonts w:ascii="Times New Roman" w:cs="Times New Roman" w:eastAsia="Times New Roman" w:hAnsi="Times New Roman"/>
          <w:sz w:val="18"/>
          <w:szCs w:val="18"/>
          <w:b w:val="1"/>
          <w:bCs w:val="1"/>
          <w:color w:val="auto"/>
        </w:rPr>
        <w:t>Stephen R. McClellan</w:t>
      </w:r>
      <w:r>
        <w:rPr>
          <w:sz w:val="20"/>
          <w:szCs w:val="20"/>
          <w:color w:val="auto"/>
        </w:rPr>
        <w:tab/>
      </w:r>
      <w:r>
        <w:rPr>
          <w:rFonts w:ascii="Times New Roman" w:cs="Times New Roman" w:eastAsia="Times New Roman" w:hAnsi="Times New Roman"/>
          <w:sz w:val="18"/>
          <w:szCs w:val="18"/>
          <w:b w:val="1"/>
          <w:bCs w:val="1"/>
          <w:color w:val="auto"/>
        </w:rPr>
        <w:t>President, Americas</w:t>
      </w:r>
      <w:r>
        <w:rPr>
          <w:sz w:val="20"/>
          <w:szCs w:val="20"/>
          <w:color w:val="auto"/>
        </w:rPr>
        <w:tab/>
      </w:r>
      <w:r>
        <w:rPr>
          <w:rFonts w:ascii="Times New Roman" w:cs="Times New Roman" w:eastAsia="Times New Roman" w:hAnsi="Times New Roman"/>
          <w:sz w:val="18"/>
          <w:szCs w:val="18"/>
          <w:b w:val="1"/>
          <w:bCs w:val="1"/>
          <w:color w:val="auto"/>
        </w:rPr>
        <w:t>58</w:t>
      </w:r>
    </w:p>
    <w:p>
      <w:pPr>
        <w:spacing w:after="0" w:line="40" w:lineRule="exact"/>
        <w:rPr>
          <w:sz w:val="20"/>
          <w:szCs w:val="20"/>
          <w:color w:val="auto"/>
        </w:rPr>
      </w:pPr>
    </w:p>
    <w:p>
      <w:pPr>
        <w:jc w:val="both"/>
        <w:ind w:left="20" w:right="20"/>
        <w:spacing w:after="0" w:line="281" w:lineRule="auto"/>
        <w:rPr>
          <w:sz w:val="20"/>
          <w:szCs w:val="20"/>
          <w:color w:val="auto"/>
        </w:rPr>
      </w:pPr>
      <w:r>
        <w:rPr>
          <w:rFonts w:ascii="Times New Roman" w:cs="Times New Roman" w:eastAsia="Times New Roman" w:hAnsi="Times New Roman"/>
          <w:sz w:val="18"/>
          <w:szCs w:val="18"/>
          <w:color w:val="auto"/>
        </w:rPr>
        <w:t>Mr. McClellan was named President, Americas in January 2016. He is the executive officer responsible for Goodyear's operations in North, Central and South America. Mr. McClellan joined Goodyear in 1988. Mr. McClellan has announced his retirement effective April 1, 2024.</w:t>
      </w:r>
    </w:p>
    <w:p>
      <w:pPr>
        <w:spacing w:after="0" w:line="118" w:lineRule="exact"/>
        <w:rPr>
          <w:sz w:val="20"/>
          <w:szCs w:val="20"/>
          <w:color w:val="auto"/>
        </w:rPr>
      </w:pPr>
    </w:p>
    <w:p>
      <w:pPr>
        <w:ind w:left="300"/>
        <w:spacing w:after="0"/>
        <w:tabs>
          <w:tab w:leader="none" w:pos="5040" w:val="left"/>
          <w:tab w:leader="none" w:pos="10820" w:val="left"/>
        </w:tabs>
        <w:rPr>
          <w:sz w:val="20"/>
          <w:szCs w:val="20"/>
          <w:color w:val="auto"/>
        </w:rPr>
      </w:pPr>
      <w:r>
        <w:rPr>
          <w:rFonts w:ascii="Times New Roman" w:cs="Times New Roman" w:eastAsia="Times New Roman" w:hAnsi="Times New Roman"/>
          <w:sz w:val="18"/>
          <w:szCs w:val="18"/>
          <w:b w:val="1"/>
          <w:bCs w:val="1"/>
          <w:color w:val="auto"/>
        </w:rPr>
        <w:t>Christopher R. Delaney</w:t>
      </w:r>
      <w:r>
        <w:rPr>
          <w:sz w:val="20"/>
          <w:szCs w:val="20"/>
          <w:color w:val="auto"/>
        </w:rPr>
        <w:tab/>
      </w:r>
      <w:r>
        <w:rPr>
          <w:rFonts w:ascii="Times New Roman" w:cs="Times New Roman" w:eastAsia="Times New Roman" w:hAnsi="Times New Roman"/>
          <w:sz w:val="18"/>
          <w:szCs w:val="18"/>
          <w:b w:val="1"/>
          <w:bCs w:val="1"/>
          <w:color w:val="auto"/>
        </w:rPr>
        <w:t>President, Europe, Middle East and Africa</w:t>
      </w:r>
      <w:r>
        <w:rPr>
          <w:sz w:val="20"/>
          <w:szCs w:val="20"/>
          <w:color w:val="auto"/>
        </w:rPr>
        <w:tab/>
      </w:r>
      <w:r>
        <w:rPr>
          <w:rFonts w:ascii="Times New Roman" w:cs="Times New Roman" w:eastAsia="Times New Roman" w:hAnsi="Times New Roman"/>
          <w:sz w:val="18"/>
          <w:szCs w:val="18"/>
          <w:b w:val="1"/>
          <w:bCs w:val="1"/>
          <w:color w:val="auto"/>
        </w:rPr>
        <w:t>62</w:t>
      </w:r>
    </w:p>
    <w:p>
      <w:pPr>
        <w:spacing w:after="0" w:line="40" w:lineRule="exact"/>
        <w:rPr>
          <w:sz w:val="20"/>
          <w:szCs w:val="20"/>
          <w:color w:val="auto"/>
        </w:rPr>
      </w:pPr>
    </w:p>
    <w:p>
      <w:pPr>
        <w:jc w:val="both"/>
        <w:ind w:left="20" w:right="20"/>
        <w:spacing w:after="0" w:line="281" w:lineRule="auto"/>
        <w:rPr>
          <w:sz w:val="20"/>
          <w:szCs w:val="20"/>
          <w:color w:val="auto"/>
        </w:rPr>
      </w:pPr>
      <w:r>
        <w:rPr>
          <w:rFonts w:ascii="Times New Roman" w:cs="Times New Roman" w:eastAsia="Times New Roman" w:hAnsi="Times New Roman"/>
          <w:sz w:val="18"/>
          <w:szCs w:val="18"/>
          <w:color w:val="auto"/>
        </w:rPr>
        <w:t>Mr. Delaney was named President, Europe, Middle East and Africa in September 2017. He is the executive officer responsible for Goodyear’s operations in Europe, the Middle East and Africa. Mr. Delaney joined Goodyear in 2015.</w:t>
      </w:r>
    </w:p>
    <w:p>
      <w:pPr>
        <w:spacing w:after="0" w:line="118" w:lineRule="exact"/>
        <w:rPr>
          <w:sz w:val="20"/>
          <w:szCs w:val="20"/>
          <w:color w:val="auto"/>
        </w:rPr>
      </w:pPr>
    </w:p>
    <w:p>
      <w:pPr>
        <w:ind w:left="300"/>
        <w:spacing w:after="0"/>
        <w:tabs>
          <w:tab w:leader="none" w:pos="5800" w:val="left"/>
          <w:tab w:leader="none" w:pos="10820" w:val="left"/>
        </w:tabs>
        <w:rPr>
          <w:sz w:val="20"/>
          <w:szCs w:val="20"/>
          <w:color w:val="auto"/>
        </w:rPr>
      </w:pPr>
      <w:r>
        <w:rPr>
          <w:rFonts w:ascii="Times New Roman" w:cs="Times New Roman" w:eastAsia="Times New Roman" w:hAnsi="Times New Roman"/>
          <w:sz w:val="18"/>
          <w:szCs w:val="18"/>
          <w:b w:val="1"/>
          <w:bCs w:val="1"/>
          <w:color w:val="auto"/>
        </w:rPr>
        <w:t>Nathaniel Madarang</w:t>
      </w:r>
      <w:r>
        <w:rPr>
          <w:sz w:val="20"/>
          <w:szCs w:val="20"/>
          <w:color w:val="auto"/>
        </w:rPr>
        <w:tab/>
      </w:r>
      <w:r>
        <w:rPr>
          <w:rFonts w:ascii="Times New Roman" w:cs="Times New Roman" w:eastAsia="Times New Roman" w:hAnsi="Times New Roman"/>
          <w:sz w:val="18"/>
          <w:szCs w:val="18"/>
          <w:b w:val="1"/>
          <w:bCs w:val="1"/>
          <w:color w:val="auto"/>
        </w:rPr>
        <w:t>President, Asia Pacific</w:t>
      </w:r>
      <w:r>
        <w:rPr>
          <w:sz w:val="20"/>
          <w:szCs w:val="20"/>
          <w:color w:val="auto"/>
        </w:rPr>
        <w:tab/>
      </w:r>
      <w:r>
        <w:rPr>
          <w:rFonts w:ascii="Times New Roman" w:cs="Times New Roman" w:eastAsia="Times New Roman" w:hAnsi="Times New Roman"/>
          <w:sz w:val="18"/>
          <w:szCs w:val="18"/>
          <w:b w:val="1"/>
          <w:bCs w:val="1"/>
          <w:color w:val="auto"/>
        </w:rPr>
        <w:t>53</w:t>
      </w:r>
    </w:p>
    <w:p>
      <w:pPr>
        <w:spacing w:after="0" w:line="40" w:lineRule="exact"/>
        <w:rPr>
          <w:sz w:val="20"/>
          <w:szCs w:val="20"/>
          <w:color w:val="auto"/>
        </w:rPr>
      </w:pPr>
    </w:p>
    <w:p>
      <w:pPr>
        <w:jc w:val="both"/>
        <w:ind w:left="20" w:right="20"/>
        <w:spacing w:after="0" w:line="265" w:lineRule="auto"/>
        <w:rPr>
          <w:sz w:val="20"/>
          <w:szCs w:val="20"/>
          <w:color w:val="auto"/>
        </w:rPr>
      </w:pPr>
      <w:r>
        <w:rPr>
          <w:rFonts w:ascii="Times New Roman" w:cs="Times New Roman" w:eastAsia="Times New Roman" w:hAnsi="Times New Roman"/>
          <w:sz w:val="18"/>
          <w:szCs w:val="18"/>
          <w:color w:val="auto"/>
        </w:rPr>
        <w:t>Mr. Madarang was named President, Asia Pacific in March 2021. He is the executive officer responsible for Goodyear’s operations in Asia, Australia, New Zealand and the Western Pacific. Mr. Madarang joined Goodyear in 2008 and has served as Vice President, Finance, Asia Pacific (July 2018 to September 2019) and Managing Director, China (October 2019 to February 2021).</w:t>
      </w:r>
    </w:p>
    <w:p>
      <w:pPr>
        <w:spacing w:after="0" w:line="133" w:lineRule="exact"/>
        <w:rPr>
          <w:sz w:val="20"/>
          <w:szCs w:val="20"/>
          <w:color w:val="auto"/>
        </w:rPr>
      </w:pPr>
    </w:p>
    <w:p>
      <w:pPr>
        <w:ind w:left="300"/>
        <w:spacing w:after="0"/>
        <w:tabs>
          <w:tab w:leader="none" w:pos="4480" w:val="left"/>
          <w:tab w:leader="none" w:pos="10820" w:val="left"/>
        </w:tabs>
        <w:rPr>
          <w:sz w:val="20"/>
          <w:szCs w:val="20"/>
          <w:color w:val="auto"/>
        </w:rPr>
      </w:pPr>
      <w:r>
        <w:rPr>
          <w:rFonts w:ascii="Times New Roman" w:cs="Times New Roman" w:eastAsia="Times New Roman" w:hAnsi="Times New Roman"/>
          <w:sz w:val="18"/>
          <w:szCs w:val="18"/>
          <w:b w:val="1"/>
          <w:bCs w:val="1"/>
          <w:color w:val="auto"/>
        </w:rPr>
        <w:t>Laura P. Duda</w:t>
      </w:r>
      <w:r>
        <w:rPr>
          <w:sz w:val="20"/>
          <w:szCs w:val="20"/>
          <w:color w:val="auto"/>
        </w:rPr>
        <w:tab/>
      </w:r>
      <w:r>
        <w:rPr>
          <w:rFonts w:ascii="Times New Roman" w:cs="Times New Roman" w:eastAsia="Times New Roman" w:hAnsi="Times New Roman"/>
          <w:sz w:val="18"/>
          <w:szCs w:val="18"/>
          <w:b w:val="1"/>
          <w:bCs w:val="1"/>
          <w:color w:val="auto"/>
        </w:rPr>
        <w:t>Senior Vice President and Chief Communications Officer</w:t>
      </w:r>
      <w:r>
        <w:rPr>
          <w:sz w:val="20"/>
          <w:szCs w:val="20"/>
          <w:color w:val="auto"/>
        </w:rPr>
        <w:tab/>
      </w:r>
      <w:r>
        <w:rPr>
          <w:rFonts w:ascii="Times New Roman" w:cs="Times New Roman" w:eastAsia="Times New Roman" w:hAnsi="Times New Roman"/>
          <w:sz w:val="18"/>
          <w:szCs w:val="18"/>
          <w:b w:val="1"/>
          <w:bCs w:val="1"/>
          <w:color w:val="auto"/>
        </w:rPr>
        <w:t>54</w:t>
      </w:r>
    </w:p>
    <w:p>
      <w:pPr>
        <w:spacing w:after="0" w:line="40" w:lineRule="exact"/>
        <w:rPr>
          <w:sz w:val="20"/>
          <w:szCs w:val="20"/>
          <w:color w:val="auto"/>
        </w:rPr>
      </w:pPr>
    </w:p>
    <w:p>
      <w:pPr>
        <w:jc w:val="both"/>
        <w:ind w:left="20" w:right="20"/>
        <w:spacing w:after="0" w:line="281" w:lineRule="auto"/>
        <w:rPr>
          <w:sz w:val="20"/>
          <w:szCs w:val="20"/>
          <w:color w:val="auto"/>
        </w:rPr>
      </w:pPr>
      <w:r>
        <w:rPr>
          <w:rFonts w:ascii="Times New Roman" w:cs="Times New Roman" w:eastAsia="Times New Roman" w:hAnsi="Times New Roman"/>
          <w:sz w:val="18"/>
          <w:szCs w:val="18"/>
          <w:color w:val="auto"/>
        </w:rPr>
        <w:t>Ms. Duda was named Senior Vice President and Chief Communications Officer in January 2019. She is the executive officer responsible for Goodyear’s communications activities worldwide. Ms. Duda joined Goodyear in 2016.</w:t>
      </w:r>
    </w:p>
    <w:p>
      <w:pPr>
        <w:spacing w:after="0" w:line="118" w:lineRule="exact"/>
        <w:rPr>
          <w:sz w:val="20"/>
          <w:szCs w:val="20"/>
          <w:color w:val="auto"/>
        </w:rPr>
      </w:pPr>
    </w:p>
    <w:p>
      <w:pPr>
        <w:ind w:left="300"/>
        <w:spacing w:after="0"/>
        <w:tabs>
          <w:tab w:leader="none" w:pos="3940" w:val="left"/>
          <w:tab w:leader="none" w:pos="10820" w:val="left"/>
        </w:tabs>
        <w:rPr>
          <w:sz w:val="20"/>
          <w:szCs w:val="20"/>
          <w:color w:val="auto"/>
        </w:rPr>
      </w:pPr>
      <w:r>
        <w:rPr>
          <w:rFonts w:ascii="Times New Roman" w:cs="Times New Roman" w:eastAsia="Times New Roman" w:hAnsi="Times New Roman"/>
          <w:sz w:val="18"/>
          <w:szCs w:val="18"/>
          <w:b w:val="1"/>
          <w:bCs w:val="1"/>
          <w:color w:val="auto"/>
        </w:rPr>
        <w:t>Christopher P. Helsel</w:t>
      </w:r>
      <w:r>
        <w:rPr>
          <w:sz w:val="20"/>
          <w:szCs w:val="20"/>
          <w:color w:val="auto"/>
        </w:rPr>
        <w:tab/>
      </w:r>
      <w:r>
        <w:rPr>
          <w:rFonts w:ascii="Times New Roman" w:cs="Times New Roman" w:eastAsia="Times New Roman" w:hAnsi="Times New Roman"/>
          <w:sz w:val="18"/>
          <w:szCs w:val="18"/>
          <w:b w:val="1"/>
          <w:bCs w:val="1"/>
          <w:color w:val="auto"/>
        </w:rPr>
        <w:t>Senior Vice President, Global Operations and Chief Technology Officer</w:t>
      </w:r>
      <w:r>
        <w:rPr>
          <w:sz w:val="20"/>
          <w:szCs w:val="20"/>
          <w:color w:val="auto"/>
        </w:rPr>
        <w:tab/>
      </w:r>
      <w:r>
        <w:rPr>
          <w:rFonts w:ascii="Times New Roman" w:cs="Times New Roman" w:eastAsia="Times New Roman" w:hAnsi="Times New Roman"/>
          <w:sz w:val="18"/>
          <w:szCs w:val="18"/>
          <w:b w:val="1"/>
          <w:bCs w:val="1"/>
          <w:color w:val="auto"/>
        </w:rPr>
        <w:t>58</w:t>
      </w:r>
    </w:p>
    <w:p>
      <w:pPr>
        <w:spacing w:after="0" w:line="40" w:lineRule="exact"/>
        <w:rPr>
          <w:sz w:val="20"/>
          <w:szCs w:val="20"/>
          <w:color w:val="auto"/>
        </w:rPr>
      </w:pPr>
    </w:p>
    <w:p>
      <w:pPr>
        <w:jc w:val="both"/>
        <w:ind w:left="20" w:right="20"/>
        <w:spacing w:after="0" w:line="265" w:lineRule="auto"/>
        <w:rPr>
          <w:sz w:val="20"/>
          <w:szCs w:val="20"/>
          <w:color w:val="auto"/>
        </w:rPr>
      </w:pPr>
      <w:r>
        <w:rPr>
          <w:rFonts w:ascii="Times New Roman" w:cs="Times New Roman" w:eastAsia="Times New Roman" w:hAnsi="Times New Roman"/>
          <w:sz w:val="18"/>
          <w:szCs w:val="18"/>
          <w:color w:val="auto"/>
        </w:rPr>
        <w:t>Mr. Helsel was named Senior Vice President, Global Operations and Chief Technology Officer in March 2021. He is the executive officer responsible for Goodyear’s global operations and research and development activities. Mr. Helsel joined Goodyear in 1996 and has served as Vice President and Chief Technology Officer (September 2017 to February 2019) and Senior Vice President and Chief Technology Officer (February 2019 to February 2021).</w:t>
      </w:r>
    </w:p>
    <w:p>
      <w:pPr>
        <w:spacing w:after="0" w:line="133" w:lineRule="exact"/>
        <w:rPr>
          <w:sz w:val="20"/>
          <w:szCs w:val="20"/>
          <w:color w:val="auto"/>
        </w:rPr>
      </w:pPr>
    </w:p>
    <w:p>
      <w:pPr>
        <w:ind w:left="300"/>
        <w:spacing w:after="0"/>
        <w:tabs>
          <w:tab w:leader="none" w:pos="5020" w:val="left"/>
          <w:tab w:leader="none" w:pos="10820" w:val="left"/>
        </w:tabs>
        <w:rPr>
          <w:sz w:val="20"/>
          <w:szCs w:val="20"/>
          <w:color w:val="auto"/>
        </w:rPr>
      </w:pPr>
      <w:r>
        <w:rPr>
          <w:rFonts w:ascii="Times New Roman" w:cs="Times New Roman" w:eastAsia="Times New Roman" w:hAnsi="Times New Roman"/>
          <w:sz w:val="18"/>
          <w:szCs w:val="18"/>
          <w:b w:val="1"/>
          <w:bCs w:val="1"/>
          <w:color w:val="auto"/>
        </w:rPr>
        <w:t>David E. Phillips</w:t>
      </w:r>
      <w:r>
        <w:rPr>
          <w:sz w:val="20"/>
          <w:szCs w:val="20"/>
          <w:color w:val="auto"/>
        </w:rPr>
        <w:tab/>
      </w:r>
      <w:r>
        <w:rPr>
          <w:rFonts w:ascii="Times New Roman" w:cs="Times New Roman" w:eastAsia="Times New Roman" w:hAnsi="Times New Roman"/>
          <w:sz w:val="18"/>
          <w:szCs w:val="18"/>
          <w:b w:val="1"/>
          <w:bCs w:val="1"/>
          <w:color w:val="auto"/>
        </w:rPr>
        <w:t>Senior Vice President and General Counsel</w:t>
      </w:r>
      <w:r>
        <w:rPr>
          <w:sz w:val="20"/>
          <w:szCs w:val="20"/>
          <w:color w:val="auto"/>
        </w:rPr>
        <w:tab/>
      </w:r>
      <w:r>
        <w:rPr>
          <w:rFonts w:ascii="Times New Roman" w:cs="Times New Roman" w:eastAsia="Times New Roman" w:hAnsi="Times New Roman"/>
          <w:sz w:val="18"/>
          <w:szCs w:val="18"/>
          <w:b w:val="1"/>
          <w:bCs w:val="1"/>
          <w:color w:val="auto"/>
        </w:rPr>
        <w:t>48</w:t>
      </w:r>
    </w:p>
    <w:p>
      <w:pPr>
        <w:spacing w:after="0" w:line="40" w:lineRule="exact"/>
        <w:rPr>
          <w:sz w:val="20"/>
          <w:szCs w:val="20"/>
          <w:color w:val="auto"/>
        </w:rPr>
      </w:pPr>
    </w:p>
    <w:p>
      <w:pPr>
        <w:jc w:val="both"/>
        <w:ind w:left="20" w:right="20"/>
        <w:spacing w:after="0" w:line="281" w:lineRule="auto"/>
        <w:rPr>
          <w:sz w:val="20"/>
          <w:szCs w:val="20"/>
          <w:color w:val="auto"/>
        </w:rPr>
      </w:pPr>
      <w:r>
        <w:rPr>
          <w:rFonts w:ascii="Times New Roman" w:cs="Times New Roman" w:eastAsia="Times New Roman" w:hAnsi="Times New Roman"/>
          <w:sz w:val="18"/>
          <w:szCs w:val="18"/>
          <w:color w:val="auto"/>
        </w:rPr>
        <w:t>Mr. Phillips was named Senior Vice President and General Counsel in June 2019. He is Goodyear's chief legal officer. Mr. Phillips joined Goodyear in 2011 and has served as Associate General Counsel, Americas (September 2016 to June 2019).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44"/>
        </w:trPr>
        <w:tc>
          <w:tcPr>
            <w:tcW w:w="1020" w:type="dxa"/>
            <w:vAlign w:val="bottom"/>
            <w:tcBorders>
              <w:top w:val="single" w:sz="8" w:color="0000FF"/>
              <w:bottom w:val="single" w:sz="8" w:color="auto"/>
            </w:tcBorders>
          </w:tcPr>
          <w:p>
            <w:pPr>
              <w:spacing w:after="0"/>
              <w:rPr>
                <w:sz w:val="24"/>
                <w:szCs w:val="24"/>
                <w:color w:val="auto"/>
              </w:rPr>
            </w:pPr>
          </w:p>
        </w:tc>
        <w:tc>
          <w:tcPr>
            <w:tcW w:w="1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24"/>
                <w:szCs w:val="24"/>
                <w:color w:val="auto"/>
              </w:rPr>
            </w:pPr>
          </w:p>
        </w:tc>
        <w:tc>
          <w:tcPr>
            <w:tcW w:w="7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371"/>
        </w:trPr>
        <w:tc>
          <w:tcPr>
            <w:tcW w:w="29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Gary S. VanderLind</w:t>
            </w:r>
          </w:p>
        </w:tc>
        <w:tc>
          <w:tcPr>
            <w:tcW w:w="220" w:type="dxa"/>
            <w:vAlign w:val="bottom"/>
          </w:tcPr>
          <w:p>
            <w:pPr>
              <w:spacing w:after="0"/>
              <w:rPr>
                <w:sz w:val="24"/>
                <w:szCs w:val="24"/>
                <w:color w:val="auto"/>
              </w:rPr>
            </w:pPr>
          </w:p>
        </w:tc>
        <w:tc>
          <w:tcPr>
            <w:tcW w:w="7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Human Resources Officer</w:t>
            </w:r>
          </w:p>
        </w:tc>
        <w:tc>
          <w:tcPr>
            <w:tcW w:w="10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61</w:t>
            </w:r>
          </w:p>
        </w:tc>
      </w:tr>
    </w:tbl>
    <w:p>
      <w:pPr>
        <w:spacing w:after="0" w:line="9" w:lineRule="exact"/>
        <w:rPr>
          <w:sz w:val="20"/>
          <w:szCs w:val="20"/>
          <w:color w:val="auto"/>
        </w:rPr>
      </w:pPr>
    </w:p>
    <w:p>
      <w:pPr>
        <w:jc w:val="both"/>
        <w:ind w:left="40" w:right="40"/>
        <w:spacing w:after="0" w:line="265" w:lineRule="auto"/>
        <w:rPr>
          <w:sz w:val="20"/>
          <w:szCs w:val="20"/>
          <w:color w:val="auto"/>
        </w:rPr>
      </w:pPr>
      <w:r>
        <w:rPr>
          <w:rFonts w:ascii="Times New Roman" w:cs="Times New Roman" w:eastAsia="Times New Roman" w:hAnsi="Times New Roman"/>
          <w:sz w:val="18"/>
          <w:szCs w:val="18"/>
          <w:color w:val="auto"/>
        </w:rPr>
        <w:t>Mr. VanderLind was named Senior Vice President and Chief Human Resources Officer in February 2019. He is the executive officer responsible for Goodyear’s global human resources activities. Mr. VanderLind joined Goodyear in 1985 and has served as Vice President, Human Resources - Americas (September 2016 to January 2019).</w:t>
      </w:r>
    </w:p>
    <w:p>
      <w:pPr>
        <w:spacing w:after="0" w:line="133" w:lineRule="exact"/>
        <w:rPr>
          <w:sz w:val="20"/>
          <w:szCs w:val="20"/>
          <w:color w:val="auto"/>
        </w:rPr>
      </w:pPr>
    </w:p>
    <w:p>
      <w:pPr>
        <w:ind w:left="300"/>
        <w:spacing w:after="0"/>
        <w:tabs>
          <w:tab w:leader="none" w:pos="5540" w:val="left"/>
          <w:tab w:leader="none" w:pos="10820" w:val="left"/>
        </w:tabs>
        <w:rPr>
          <w:sz w:val="20"/>
          <w:szCs w:val="20"/>
          <w:color w:val="auto"/>
        </w:rPr>
      </w:pPr>
      <w:r>
        <w:rPr>
          <w:rFonts w:ascii="Times New Roman" w:cs="Times New Roman" w:eastAsia="Times New Roman" w:hAnsi="Times New Roman"/>
          <w:sz w:val="18"/>
          <w:szCs w:val="18"/>
          <w:b w:val="1"/>
          <w:bCs w:val="1"/>
          <w:color w:val="auto"/>
        </w:rPr>
        <w:t>Margaret V. Snyder</w:t>
      </w:r>
      <w:r>
        <w:rPr>
          <w:sz w:val="20"/>
          <w:szCs w:val="20"/>
          <w:color w:val="auto"/>
        </w:rPr>
        <w:tab/>
      </w:r>
      <w:r>
        <w:rPr>
          <w:rFonts w:ascii="Times New Roman" w:cs="Times New Roman" w:eastAsia="Times New Roman" w:hAnsi="Times New Roman"/>
          <w:sz w:val="18"/>
          <w:szCs w:val="18"/>
          <w:b w:val="1"/>
          <w:bCs w:val="1"/>
          <w:color w:val="auto"/>
        </w:rPr>
        <w:t>Vice President and Controller</w:t>
      </w:r>
      <w:r>
        <w:rPr>
          <w:sz w:val="20"/>
          <w:szCs w:val="20"/>
          <w:color w:val="auto"/>
        </w:rPr>
        <w:tab/>
      </w:r>
      <w:r>
        <w:rPr>
          <w:rFonts w:ascii="Times New Roman" w:cs="Times New Roman" w:eastAsia="Times New Roman" w:hAnsi="Times New Roman"/>
          <w:sz w:val="18"/>
          <w:szCs w:val="18"/>
          <w:b w:val="1"/>
          <w:bCs w:val="1"/>
          <w:color w:val="auto"/>
        </w:rPr>
        <w:t>39</w:t>
      </w:r>
    </w:p>
    <w:p>
      <w:pPr>
        <w:spacing w:after="0" w:line="40" w:lineRule="exact"/>
        <w:rPr>
          <w:sz w:val="20"/>
          <w:szCs w:val="20"/>
          <w:color w:val="auto"/>
        </w:rPr>
      </w:pPr>
    </w:p>
    <w:p>
      <w:pPr>
        <w:jc w:val="both"/>
        <w:ind w:left="40" w:right="20"/>
        <w:spacing w:after="0" w:line="260" w:lineRule="auto"/>
        <w:rPr>
          <w:sz w:val="20"/>
          <w:szCs w:val="20"/>
          <w:color w:val="auto"/>
        </w:rPr>
      </w:pPr>
      <w:r>
        <w:rPr>
          <w:rFonts w:ascii="Times New Roman" w:cs="Times New Roman" w:eastAsia="Times New Roman" w:hAnsi="Times New Roman"/>
          <w:sz w:val="18"/>
          <w:szCs w:val="18"/>
          <w:color w:val="auto"/>
        </w:rPr>
        <w:t>Ms. Snyder was named Vice President and Controller on March 31, 2023. She is Goodyear's principal accounting officer. Ms. Snyder joined Goodyear in 2020 and has served as Director, Corporate Accounting and Financial Reporting (April 2020 to November 2022) and Controller, Latin America (December 2022 to March 2023). Prior to joining Goodyear, Ms. Snyder was Senior Manager, Accounting &amp; Auditing, at Ernst &amp; Young LLP from October 2015 to April 2020.</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family relationship exists between any of the above executive officers or between the executive officers and any director of the Company.</w:t>
      </w:r>
    </w:p>
    <w:p>
      <w:pPr>
        <w:spacing w:after="0" w:line="11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Each executive officer is elected by the Board of Directors of the Company at its annual meeting to a term of one year or until his or her successor is duly elected. In those instances where the person is elected at other than an annual meeting, such person’s term will expire at the next annual meeting.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4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and other information contained in this Annual Report on Form 10-K when considering an investment decision with respect to our securities. Additional risks and uncertainties not presently known to us, or that we currently deem immaterial, may also impair our business operations. Any of the events discussed in the risk factors below may occur. If they do, our business, results of operations, financial condition or liquidity could be materially adversely affected. In such an instance, the trading price of our securities could decline, and you might lose all or part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Strategic Initiatives and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implement the Goodyear Forward plan and our other strategic initiatives, our operating results, financial condition and liquidity may be materially adversely affected.</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15, 2023, we announced a transformation plan, known as “Goodyear Forward,” that is intended to optimize our portfolio, deliver significant margin expansion and reduce leverage in order to drive sustainable and substantial shareholder value creation. We believe that the Goodyear Forward plan has ambitious, but achievable, goals. However, the successful implementation of the Goodyear Forward plan may face material challenges, including the ability of management and our employees to focus on implementing the Goodyear Forward plan as well as attending to our ongoing business; retaining key management and other employees; the possibility of faulty assumptions underlying the specific initiatives and goals included within the Goodyear Forward plan and the associated costs of implementing the plan; as well as potential unknown or unforeseen challenges, expenses or delays in implementing the Goodyear Forward plan. As a result, we cannot assure you that we will be able to successfully implement the cost reduction or top line actions in the Goodyear Forward plan or to realize or sustain the anticipated run-rate benefits within the time frames set out in the Goodyear Forward plan or at all.</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our ability to successfully market and sell our chemical business, the Dunlop brand and our OTR tire business is subject to prevailing general and industry-specific economic conditions and certain financial, business and other factors beyond our control. We cannot assure you that we will be able to sell these assets or operations within the time frames set out in the Goodyear Forward plan or at all or, even if we were able to take such actions, that we could do so at prices and on terms that are acceptable to us.</w:t>
      </w:r>
    </w:p>
    <w:p>
      <w:pPr>
        <w:spacing w:after="0" w:line="7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If we are unable to successfully implement the actions set forth in the Goodyear Forward plan or other strategic initiatives, we may not be able to improve our operating results, including our operating margin, generate additional cash flow, or reduce our debt levels and leverage.</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our manufacturing footprint is less cost-competitive than that of our principal competitors. To begin to address this competitive disadvantage, we are closing several high-cost manufacturing facilities and curtailing production of tires for declining, less profitable segments of the tire market. We are also undertaking significant capital investments in building, expanding and modernizing certain manufacturing facilities around the world to strengthen the competitiveness of our manufacturing footprint and increase production of premium, large-rim diameter consumer tires. In addition, plant closures, construction and modernization may temporarily disrupt our manufacturing operations and lead to temporary increases in our costs. The failure to implement successfully this or our other important strategic initiatives may materially adversely affect our operating results, financial condition and liquidity.</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pursuing other important strategic initiatives, such as our innovation excellence, sales and marketing excellence and operational excellence initiatives. Our innovation excellence initiatives are designed to create leading technologies, products and services that anticipate the mobility and sustainability needs of consumers and fleets. Our sales and marketing excellence initiatives are intended to capture the value of our brands and grow our market share, helping our customers win in their markets and ensuring we are the preferred choice of consumers. Our operational excellence initiatives are aimed at improving our safety, quality and efficiency and creating an advantaged supply chain that delivers the right tire, to the right place, at the right time, at the right cost. If we fail to execute these initiatives successfully or if the assumptions used in developing the initiatives vary significantly from actual conditions, we may fail to achieve our financial goals.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performance is also dependent on our ability to improve the volume and mix of higher margin tires we sell in our targeted market segments. In order to do so, we must be successful in developing, producing, marketing and selling products that consumers desire and that offer higher margins to us. Shifts in consumer demand away from higher margin tires could materially adversely affect our business. We have been capacity constrained from time to time with respect to the production of certain higher margin tires, particularly in the United States. When faced with these constraints, we try to alleviate them by utilizing our global manufacturing footprint to meet the demand for our tires and by adding manufacturing capacity. However,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spite of these initiatives, we may not be able to meet all of the demand for certain of our higher margin tires, which could harm our competitive position and limit our growth.</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cannot assure you that our strategic initiatives will be successful. If not, we may not be able to achieve or sustain future profitability, which would impair our ability to meet our debt and other obligations and would otherwise negatively affect our operating results, financial condition and liquidity.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global competition and our market share could decline.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 tires are sold under highly competitive conditions throughout the world. We compete with other tire manufacturers on the basis of product design, performance, price and terms, reputation, warranty terms, customer service and consumer convenience. On a worldwide basis, we have two major competitors, Bridgestone (based in Japan) and Michelin (based in France), that have large shares of the markets of the countries in which they are based and are aggressively seeking to maintain or improve their worldwide market share. Other significant competitors include Continental, Hankook, Kumho, Nexen, Pirelli, Sumitomo, Toyo, Yokohama and various regional tire manufacturers. Our competitors produce significant numbers of tires in low-cost countries, and have announced plans to further increase their production capacity in countries around the globe. Increasingly, our competitors are making decisions on where to produce tires based not only on production cost, but in combination with total delivery cost, supply chain reliability and sustainability considerations. These increases in production capacity may result in even greater competition in the United States and elsewhere.</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ability to compete successfully will depend, in significant part, on our ability to continue to innovate and manufacture the types of tires demanded by consumers, and to reduce costs by such means as reducing excess and high-cost capacity, leveraging global purchasing, improving productivity, eliminating redundancies and increasing production at low-cost supply sources. If we are unable to compete successfully, our market share may decline, materially adversely affecting our results of operations and financial condition.</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automotive industry may experience significant changes due to the introduction of new technologies, such as electric and autonomous vehicles, or new services, business models or methods of travel, such as ride sharing. As the automotive industry evolves, we may need to provide a wider range of products and services to remain competitive, including products that we do not currently have the capability to manufacture or services that we do not currently offer. The demand for our products may also decline if automotive production declines and/or total vehicle miles traveled declines, including as a result of increasing fuel costs. If we do not accurately predict, prepare for and respond to market developments, technological innovations and changing customer and consumer needs and preferences, our results of operations and financial condition could be materially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capital expenditures may not be adequate to maintain our competitive position and may not be implemented in a timely or cost-effective manner.</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capital expenditures are limited by our liquidity and capital resources and by the need to pay our other expenses and to maintain adequate cash reserves and borrowing capacity to meet unexpected demands that may arise. We believe that our ratio of capital expenditures to sales is lower than the comparable ratio for our principal competitors.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Productivity improvements and manufacturing cost improvements may be required to offset potential increases in labor and raw material costs, including inflationary increases, and competitive price pressures. In addition, as part of our strategy to reduce high-cost and excess manufacturing capacity and to increase our capacity to produce higher margin tires, we may need to modernize or expand our facilities. We may also need to make additional capital expenditures in order to achieve our global climate ambition and related goals. We are currently undertaking significant construction, expansion and modernization projects globally.</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may not have sufficient resources to implement planned capital expenditures with minimal disruption to our existing manufacturing operations, or within desired time frames and budgets. Any disruption to our operations, delay in implementing capital improvements or unexpected costs may materially adversely affect our business and results of operations.</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we are unable to make sufficient capital expenditures, or to maximize the efficiency of the capital expenditures we do make, we may be unable to achieve productivity improvements, which may harm our competitive position, to manufacture the products necessary to compete successfully in our targeted market segments, or to achieve our global climate ambition and related goals. In addition, plant construction and modernization may temporarily disrupt our manufacturing operations and lead to temporary increases in our costs.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prolonged economic downturn or economic uncertainty could adversely affect our business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Deterioration of global or regional economic conditions, including recession, financial instability, inflation, labor shortages or energy availability and costs (including fuel surcharges), could negatively impact our business and our results of operations. A prolonged economic downturn can adversely affect OE production levels and consumer spending habits on replacement tires, resulting in lower-than-expected net sales. Inflation, which has risen significantly, has and may continue to increase our operational costs, including labor, transportation and energy costs, and continued increases in interest rates in response to concerns about inflation may have the effect of further increasing economic uncertainty or creating recessionary economic conditions. As a result, instability and weakness of the U.S. and global economies, including due to recession, inflation, high unemployment, disruptions to financial markets, geopolitical events and public health crises, and the corresponding negative effects on consumer spending, may materially negatively affect our business and results of operations, including impairment charges relating to goodwill, intangible assets, investments and other long-lived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 energy and transportation costs may materially adversely affect our operating results and financial condition.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Raw material, energy and transportation costs can be volatile. Inflationary cost pressures, among other factors, may cause increases in the prices of natural and synthetic rubber, carbon black and petrochemical-based commodities. Market conditions, including actions by competitors, or contractual obligations may prevent us from passing any such increased costs on to our customers through timely price increases. Additionally, increased demand for consumer products and supply chain disruptions as a result of global events, including disruptions to transportation routes, port congestion and container shortages, has led to inflationary cost pressures on transportation. Higher raw material, energy and transportation costs around the world may offset our efforts to reduce our cost structure. High demand for and/or limited availability of raw materials and other energy sources could result in declining margins and operating results and adversely affect our financial condition. The volatility of raw material costs may cause our margins, operating results and liquidity to fluctuate. In addition, lower raw material costs may put downward pressure on the price of tires, which could ultimately reduce our margins and adversely affect our results of operations. If the Company is unable to obtain adequate sources of raw materials, energy or transportation, its operations could be interrupted. In addition, fluctuations in the price of gasoline for consumers can affect driving and purchasing habits and impact demand for tires.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extend or renegotiate significant collective bargaining contracts with our labor unions as they expire from time to time, or if our unionized employees were to engage in a strike or other work stoppage or interruption, our business, results of operations, financial condition and liquidity could be materially adversely affected.</w:t>
      </w:r>
    </w:p>
    <w:p>
      <w:pPr>
        <w:spacing w:after="0" w:line="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party to collective bargaining contracts with our labor unions, which represent a significant number of our employees, including our collective bargaining agreements with the USW. Our primary collective bargaining agreement with the USW, which covers approximately 5,300 of our associates in the United States at December 31, 2023, expires in July 2026. Approximately 2,200 of our associates at our Texarkana and Findlay plants in the United States at December 31, 2023 are covered by separate collective bargaining agreements with the USW, which expire in June 2024. In addition, approximately 20,000 of our associates outside of the United States are covered by union contracts that have expired or are expiring in 2024, primarily in Luxembourg, Poland, Brazil, Mexico, China, Slovenia, Turkey, India and Serbia. Although we believe that our relations with our associates are satisfactory, no assurance can be given that we will be able to successfully extend or renegotiate our collective bargaining agreements as they expire from time to time. If we fail to extend or renegotiate our collective bargaining agreements, if disputes with our unions arise, or if our unionized workers engage in a strike or other work stoppage or interruption, we could experience a significant disruption of, or inefficiencies in, our operations or incur higher labor costs, which could have a material adverse effect on our business, results of operations, financial condition and liquidity.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have certain risks that may materially adversely affect our operating results, financial condition and liquidity.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manufacturing and distribution facilities throughout the world. Our international operations are subject to certain inherent risks, including:</w:t>
      </w:r>
    </w:p>
    <w:p>
      <w:pPr>
        <w:spacing w:after="0" w:line="117"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local economic conditions;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foreign currency fluctuations;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currency exchange controls;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taxes and restrictions on the withdrawal of foreign investment and earnings;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policies and regulations;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regulations;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price and profit margin controls;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expropriations of property;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diplomatic relations of foreign countries with the United States;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instability of foreign governments;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hostility from local populations and insurrections or armed conflicts;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renegotiation or modification of existing agreements with governmental authorities;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and import restrictions;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laws or government policies.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likelihood of such occurrences and their potential effect on us vary from country to country and are unpredictable. Certain regions, including Latin America, Asia, Eastern Europe, the Middle East and Africa, are inherently more economically and politically volatile and, as a result, our business units that operate in these regions could be subject to significant fluctuations in sales and operating income from quarter to quarter. Because a significant percentage of our operating income in recent years has come from these regions, adverse fluctuations in the operating results in these regions could have a significant impact on our results of operations in future periods.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compliance with complex foreign and U.S. laws and regulations that apply to our international operations increases our cost of doing business in international jurisdictions. These numerous and sometimes conflicting laws and regulations include import and export laws, anti-competition laws, anti-corruption laws, such as the U.S. Foreign Corrupt Practices Act, the U.K. Bribery Act and other local laws prohibiting corrupt payments to governmental officials, data privacy laws such as the GDPR, labor laws, tax laws, and accounting, internal control and disclosure requirements. Violations of these laws and regulations could result in civil and criminal fines, penalties and sanctions against us, our officers or our employees, prohibitions on the conduct of our business and on our ability to offer our products and services in one or more countries, and could also materially affect our reputation, business and results of operations. In certain foreign jurisdictions, there is a higher risk of fraud or corruption and greater difficulty in maintaining effective internal controls and compliance programs. Although we have implemented policies and procedures designed to promote compliance with applicable laws and regulations, there can be no assurance that our employees, contractors or agents will not violate our policies or applicable laws and regulations.</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Russia’s invasion of Ukraine and the resulting government sanctions could result in significant macroeconomic consequences, including increased inflationary pressures, market volatility, economic restrictions and business disruptions, which could negatively impact our business, financial condition and results of operations.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suspended all shipments of tires to Russia during the first quarter of 2022 and discontinued our Russian operations in January 2023. The war between Russia and Ukraine has not had and is not expected to have a direct material impact on our financial results. Nonetheless, the ongoing conflict has aggravated already challenging macroeconomic trends, including global supply chain disruptions, higher costs for certain raw materials and higher energy and transportation costs. The conflict has led to increases in the cost of energy and the potential for energy shortages, especially in Europe. We have taken steps to offset the increased cost, but we cannot predict the degree to or the time period over which energy costs will increase.</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response to Russia’s invasion in Ukraine, a number of countries, including the United States, the United Kingdom and members of the European Union, have implemented economic sanctions on Russia and certain Russian enterprises and individuals. The conflict could result in further sanctions and embargoes, regional instability and potential retaliatory action by the Russian government, including cyber-attacks. While we continue to take actions to ensure the safety of our associates and the continuity of our business operations, the extent of the conflict’s impact on the global economy cannot be predicted, particularly if the conflict were to intensify or expand.</w:t>
      </w:r>
    </w:p>
    <w:p>
      <w:pPr>
        <w:spacing w:after="0" w:line="1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difficulties, work stoppages, supply disruptions or economic conditions affecting our major customers, dealers or suppliers could harm our business.</w:t>
      </w:r>
    </w:p>
    <w:p>
      <w:pPr>
        <w:spacing w:after="0" w:line="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Automotive vehicle production and global tire industry demand continues to be difficult to predict. Although sales to our OE customers accounted for approximately 17% of our net sales in 2023, demand for our products by OE customers and production levels at our facilities are impacted by automotive vehicle production. Automotive production and sales are highly cyclical 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sensitive to general economic conditions and other factors, such as credit availability, interest rates, fuel prices, and consumer preference and confidence. Economic declines that result in a significant reduction in automotive production would have an adverse effect on our sales to OE customers. We may experience future declines in sales volume due to declines in new vehicle production and sales, the performance, discontinuation or sale of certain OE brands, platforms or programs, increased competition, or weakness in the demand for replacement tires, which could result in us incurring under-absorbed fixed costs at our production facilities or slowing the rate at which we are able to recover those costs. At various times, some regions around the world may be more particularly impacted by these factors than other regions.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Automotive production can also be affected by labor relation issues or shortages, financial difficulties or supply disruptions. Our OE customers could experience production disruptions resulting from their own or supplier labor, financial or supply difficulties. Such events may cause an OE customer to reduce or suspend vehicle production. Other customers, such as dealers, retailers or distributors, may experience similar disruptions to their operations. As a result, a customer could halt or significantly reduce purchases of our products, which would harm our results of operations, financial condition and liquidity. We cannot predict when customers will decide to increase or decrease inventory levels or whether new inventory levels will approximate historical inventory levels. Uncertainty and other unexpected fluctuations could have a material adverse effect on our business and financial condition.</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suppliers could also experience production disruptions due to labor, financial, supply or transportation difficulties, or new environmental laws or stricter enforcement of existing environmental laws. Any such production disruptions may result in the unexpected closure of our suppliers' facilities or increases in the cost of our raw materials, which would adversely affect our results of operations and financial condition.</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the bankruptcy, restructuring or consolidation of one or more of our major customers, dealers or suppliers could result in the write-off of accounts receivable, a reduction in purchases of our products or a supply disruption to our facilities, which could negatively affect our results of operations, financial condition and liquidity.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personnel our business could be materially adversely affected.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substantially depends on the continued service of key members of our management. The loss of the services of a significant number of members of our management could have a material adverse effect on our business. Our future success will also depend on our ability to attract and retain highly skilled personnel, such as engineering, marketing and senior management professionals. Competition for these employees is intense, and we could experience difficulty from time to time in hiring and retaining the personnel necessary to support our business. Our ability to attract and retain employees may also be hampered by downturns in the automotive and tire industries, which could result in reduced payments under our incentive compensation plans, as well as by greater competition due to the increase in use of remote working environments. If we do not succeed in retaining our current employees and attracting new high quality employees, our business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competition for highly skilled and talented workers, as well as labor shortages, could adversely affect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number of factors may adversely affect the labor force available to us or increase labor costs, including high employment levels and government regulations. Although we have not experienced any material labor shortages to date, we have observed an increasingly competitive labor market. The increasing competition for highly skilled and talented employees has resulted, and could in the future result, in higher compensation costs and could result in difficulties in maintaining a capable workforce. If we are unable to hire and retain employees capable of performing at a high-level, or if mitigation measures we may take to respond to a decrease in labor availability, such as overtime and third-party outsourcing, have unintended negative effects, our business could be adversely affected. A sustained labor shortage, lack of skilled labor, increased turnover or labor cost inflation as a result of general macroeconomic factors could lead to increased costs, such as increased overtime to meet demand and increased wage rates to attract and retain employees, which could negatively affect our ability to efficiently operate our manufacturing and distribution facilities and overall business and have other adverse effects on our results of operations and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substantial fixed costs and, as a result, our operating income fluctuates disproportionately with changes in our net sales.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operate with significant operating and financial leverage. Significant portions of our manufacturing, selling, administrative and general expenses are fixed costs that neither increase nor decrease proportionately with sales. In addition, a significant portion of our interest expense is fixed. There can be no assurance that we would be able to reduce our fixed costs proportionately in response to a decline in our net sales and therefore our competitiveness could be significantly impacted. As a result, a decline in our net sales could result in a higher percentage decline in our income from operations and net income.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5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issues, including climate change, or legal, regulatory or market measures to address environmental issues, may negatively affect our business and operations and cause us to incur significant costs.</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manufacturing and distribution facilities are subject to numerous federal, state, local and foreign laws and regulations designed to protect the environment, including increased government regulations to limit carbon dioxide and other greenhouse gas emissions as a result of concern over climate change, and we expect that additional requirements with respect to environmental matters, including reporting requirements, will be imposed on us in the future. In addition, we have contractual indemnification obligations for environmental remediation costs and liabilities that may arise relating to certain divested operations.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also growing concern that carbon dioxide and other greenhouse gases in the atmosphere may have an adverse impact on global temperatures, weather patterns, and the frequency and severity of extreme weather and natural disasters. In the event that issues related to such climate change have a negative effect on our business, we may be subjected to decreased availability or less favorable pricing for certain raw materials, including natural rubber. Natural disasters and extreme weather conditions may also disrupt the productivity of our facilities, our supply chain or the operations of our customers. If the frequency or severity of extreme weather and natural disasters increases over time, we may experience a greater number of losses at certain of our facilities. Such losses could lead to an increase in the deductibles or cost of insurance for those facilities, a reduction of insurance available to us, or the unavailability of insurance on terms that are acceptable to us.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manufacturing facilities may become subject to further limitations on the emission of greenhouse gases due to public policy concerns regarding climate change issues or other environmental or health and safety concerns. While the form of any additional regulations cannot be predicted, a “cap-and-trade” system similar to the one adopted in the European Union could be adopted in the United States. Any such “cap-and-trade” system (including the system currently in place in the European Union) or other limitations imposed on the emission of greenhouse gases could require us to increase our capital expenditures, use our cash to acquire emission credits or restructure our manufacturing operations, which could have a material adverse effect on our operating results, financial condition and liquidity.</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 future expenditures may be necessary if compliance standards change, if material unknown conditions that require remediation are discovered, or if required remediation of known conditions becomes more extensive than expected. If we fail to comply with present and future environmental laws and regulations, we could be subject to future liabilities or the suspension of production, which could harm our business or results of operations. Environmental laws could also restrict our ability to expand our facilities or could require us to acquire costly equipment or to incur other significant expenses in connection with our manufacturing processes.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ability to meet our obligations, to repay maturing indebtedness or to implement strategic initiatives may be dependent on our ability to access capital markets in the future and to improve our operating results.</w:t>
      </w:r>
    </w:p>
    <w:p>
      <w:pPr>
        <w:spacing w:after="0" w:line="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adequacy of our liquidity depends on our ability to achieve an appropriate combination of operating improvements, financing from third parties and access to capital markets. We may need to undertake additional financing actions in the capital markets in order to ensure that our future liquidity requirements are addressed or to implement strategic initiatives. These actions may include the issuance of additional debt or equity, or the factoring of our accounts receivable.</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access to the capital markets cannot be assured and is dependent on, among other things, the ability and willingness of financial institutions to extend credit on terms that are acceptable to us or our suppliers, or to honor future draws on our existing lines of credit, and the degree of success we have in implementing our strategic initiatives. We have continued our use of supplier financing programs and the factoring of our accounts receivable in order to improve our working capital efficiency and reduce our costs. If these programs become unavailable or less attractive to us or our suppliers, our liquidity could be adversely affected.</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Future liquidity requirements, or our inability to access cash deposits or make draws on our lines of credit, also may make it necessary for us to incur additional debt. A substantial portion of our assets is subject to liens securing our indebtedness. As a result, we are limited in our ability to pledge our remaining assets as security for additional secured indebtedness.</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inability to access the capital markets or incur additional debt in the future could have a material adverse effect on our liquidity and operations, and could require us to consider further measures, including deferring planned capital expenditures, reducing discretionary spending, selling additional assets and restructuring existing debt.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5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debt, which could restrict our growth, place us at a competitive disadvantage or otherwise materially adversely affect our financial health.</w:t>
      </w:r>
    </w:p>
    <w:p>
      <w:pPr>
        <w:spacing w:after="0" w:line="5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We have a substantial amount of debt. As of December 31, 2023, our debt (including finance leases) on a consolidated basis was approximately $7.6 billion. Our substantial amount of debt and other obligations could have important consequences. For example, it could:</w:t>
      </w:r>
    </w:p>
    <w:p>
      <w:pPr>
        <w:spacing w:after="0" w:line="55"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our ability to obtain financing in the future for working capital, capital expenditures, research and development, acquisitions or general corporate requirements;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and industry conditions;</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use cash flows from operating activities in other areas of our business or to return cash to shareholders because we would need to dedicate a substantial portion of these funds for payments on our indebtedness;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agreements governing our debt, including our credit agreements, limit, but do not prohibit, us from incurring additional debt and we may incur a significant amount of additional debt in the future, including additional secured debt. If new debt is added to our current debt levels, our ability to satisfy our debt obligations may become more limited.</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and other obligations will depend on our financial and operating performance, which, in turn, is subject to our ability to implement our strategic initiatives, prevailing economic conditions and certain financial, business and other factors beyond our control. If our cash flow and capital resources are insufficient to fund our debt service and other obligations, we may be forced to reduce or delay expansion plans and capital expenditures, sell material assets or operations, obtain additional capital or restructure our debt. We cannot assure you that our operating performance, cash flow and capital resources will be sufficient to pay our debt obligations when they become due. We cannot assure you that we would be able to dispose of material assets or operations, obtain additional capital or restructure our debt or other obligations if necessary or, even if we were able to take such actions, that we could do so on terms that are acceptable to us.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spacing w:after="0" w:line="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agreements governing our secured credit facilities, senior unsecured notes and our other outstanding indebtedness impose significant operating and financial restrictions on us. These restrictions may affect our ability to operate our business or implement strategic initiatives, such as the Goodyear Forward plan, and may limit our ability to take advantage of potential business opportunities as they arise. These restrictions limit our ability to, among other things:</w:t>
      </w:r>
    </w:p>
    <w:p>
      <w:pPr>
        <w:spacing w:after="0" w:line="74"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or issue redeemable preferred stock;</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repurchase shares or make certain other restricted payments or investments;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restrictions on the ability of our subsidiaries to pay dividends or to make other payments to us;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affiliate transactions;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sale/leaseback transactions;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mergers or consolidations or transfers of substantially all of our assets.</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Certain of the strategic alternatives that we may pursue for our chemical business, the Dunlop brand or our OTR tire business may, depending on the terms of any particular transaction, require a waiver or an amendment of our credit facilities. We cannot assure you that we will be able to obtain waivers from our lenders or amend the relevant covenants in our credit facilities.</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Availability under our first lien revolving credit facility is subject to a borrowing base, which is based on eligible accounts receivable and inventory, the value of our principal trademarks, the value of eligible machinery and equipment, and certain cash in an amount not to exceed $275 million. To the extent that our eligible accounts receivable and inventory and other components of the borrowing base decline in value, our borrowing base will decrease and the availability under that facility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may decrease below its stated amount. In addition, if at any time the amount of outstanding borrowings and letters of credit under that facility exceeds the borrowing base, we are required to prepay borrowings and/or cash collateralize letters of credit sufficient to eliminate the excess.</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ability to comply with these covenants or to maintain our borrowing base may be affected by events beyond our control, including deteriorating economic conditions, and these events could require us to seek waivers or amendments of covenants or alternative sources of financing or to reduce expenditures. We cannot assure you that such waivers, amendments or alternative financing could be obtained, or if obtained, would be on terms acceptable to us.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breach of any of the covenants or restrictions contained in any of our existing or future financing agreements, including the financial covenants in our secured credit facilities, could result in an event of default under those agreements. Such a default could allow the lenders under our financing agreements, if the agreements so provide, to discontinue lending, to accelerate the related debt as well as any other debt to which a cross-acceleration or cross-default provision applies, and/or to declare all borrowings outstanding thereunder to be due and payable. In addition, the lenders could terminate any commitments they have to provide us with further funds. If any of these events occur, we cannot assure you that we will have sufficient funds available to pay in full the total amount of obligations that become due as a result of any such acceleration, or that we will be able to find additional or alternative financing to refinance any such accelerated obligations. Even if we obtain additional or alternative financing, we cannot assure you that it would be on terms that would be acceptable to us.</w:t>
      </w:r>
    </w:p>
    <w:p>
      <w:pPr>
        <w:spacing w:after="0" w:line="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cannot assure you that we will be able to remain in compliance with the covenants to which we are subject in the future and, if we fail to do so, that we will be able to obtain waivers from our lenders or amend the covenants.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debt service obligations to increase significantly.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borrowings are at variable rates of interest and expose us to interest rate risk. If interest rates increase, our debt service obligations on the variable rate indebtedness would increase even though the amount borrowed remained the same, which would require us to use more of our available cash to service our indebtedness. There can also be no assurance that we will be able to enter into swap agreements or other hedging arrangements in the future if we desire to do so, or that any existing or future hedging arrangements will offset increases in interest rates. As of December 31, 2023, we had approximately $1.5 billion of variable rate debt outstanding.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any disruption in, or failure of, our information technology systems.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upon the capacity, reliability and security of our information technology ("IT") systems across all of our major business functions, including our research and development, manufacturing, retail, financial and administrative functions. We also face the challenge of supporting our older systems and implementing upgrades when necessary. Our security measures are focused on the prevention, detection and remediation of damage from computer viruses, unauthorized access, cyber-attack, natural disasters and other similar disruptions. We may incur significant costs in order to implement the security measures that we feel are necessary to protect our IT systems. However, our IT systems may remain vulnerable to damage despite our implementation of security measures that we deem to be appropriate. In addition, we are also dependent on third parties to provide important IT services relating to, among other things, human resources, electronic communications and certain finance functions.</w:t>
      </w:r>
    </w:p>
    <w:p>
      <w:pPr>
        <w:spacing w:after="0" w:line="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collect and store sensitive data, including intellectual property, proprietary business information and the proprietary business information of our customers and suppliers, as well as personally identifiable information of our customers and associates, in data centers and on IT networks.</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are subject to privacy, data protection, and information security laws and regulations (“Data Protection Laws”) in the United States and in jurisdictions around the globe that restrict the use, disclosure, transfer and processing of personal data. For example, we are subject to the GDPR, the California Consumer Privacy Act (“CCPA”), and the Brazilian Lei Geral de Proteção de Dados. Costs to comply with these Data Protection Laws are significant and the failure to comply with these laws could result in material legal exposure and business impact. The GDPR, for example, imposes onerous accountability obligations on companies, with penalties for non-compliance of up to the greater of €20 million or four percent of annual global revenue. The GDPR, and other Data Protection Laws, also grant corrective powers to supervisory authorities, including the ability to impose a limit on processing personal data or to order companies to cease operations.</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Data Protection Laws are part of an evolving global data protection landscape in which the number, complexity, requirements and consequences of non-compliance with these laws are increasing. This landscape includes legislative proposals recently adopted or currently pending in the United States, at both the federal and state levels, as well as in other jurisdictions,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implementing new or additional requirements for data protection that could further increase compliance costs, the cost and complexity of delivering our products and services, and significantly affect our business.</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system failure, accident or security breach involving our or our third party's IT systems could result in disruptions to our operations. A breach in the security of our IT systems could include the theft of our intellectual property or trade secrets, negatively impact our manufacturing or retail operations, or result in the compromise of personal information of our employees, customers or suppliers. While we have, from time to time, experienced system failures, accidents and security and privacy breaches involving our IT systems, these incidents have not had a material impact on our operations, and we are not aware of any resulting theft, loss or disclosure of, or damage to, material data or confidential information. To the extent that any system failure, accident or security or privacy breach results in material disruptions to our operations or the theft, loss or disclosure of, or damage to, material data or confidential information, our reputation, business, results of operations and financial condition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adequately.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in part upon our ability to use and protect our proprietary technology and other intellectual property, which generally covers various aspects of the design and manufacture of our products and processes. We own and use tradenames and trademarks worldwide. We rely upon a combination of trade secrets, confidentiality policies, nondisclosure and other contractual arrangements and patent, copyright and trademark laws to protect our intellectual property rights. The steps we take in this regard may not be adequate to protect our intellectual property or to prevent or deter challenges or infringement or other violations of our intellectual property, and we may not be able to detect unauthorized use or take appropriate and timely steps to enforce our intellectual property rights.</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addition, the laws of some countries may not protect and enforce our intellectual property rights to the same extent as the laws of the U.S. Further, while we believe we have rights to use all of the intellectual property we use, if we are found to infringe on the rights of others, we could be adversely impacted.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brand and reputation could have an adverse effect on our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well-known and trusted brand names are a key competitive advantage. We believe that our future success depends, in part, on preserving, enhancing, and leveraging the value of our brands and executing our brand strategies, which are designed to drive end-user demand for our products. A decline in the reputation of one or more of our brands as a result of deficiencies or defects in the design or manufacture of our products, or from legal proceedings, product recalls or warranty claims resulting from such deficiencies or defects, may harm our reputation, reduce demand for our products and adversely affect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Litigation, Laws and Regulations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changes in tariffs, trade agreements or other trade restrictions on imported tires, raw materials and other goods or equipment.</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imposition of new tariffs, changes in existing tariff rates, changes in or the repeal of trade agreements or other trade restrictions may reduce our flexibility to utilize our global manufacturing footprint to meet demand for our tires around the world. In addition, the imposition of tariffs in the United States may result in the tires subject to such tariffs being diverted to other regions of the world, such as Europe, Latin America or Asia, or in retaliatory tariffs or other actions by affected countries. Broad-based tariffs and other trade restrictions could also increase costs for our suppliers who may increase prices to us. Finally, tariffs and other trade restrictions may weaken the economies of key markets for us, such as China, resulting in lower economic growth rates and weakened demand for our products and services. These factors, individually or together, could materially adversely affect our results of operations, financial condition and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in connection with our contingent liabilities and tax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significant reserves for contingent liabilities and tax matters. The major categories of our contingent liabilities include workers' compensation and other employment-related claims, product liability and other tort claims, including asbestos claims, and environmental matters. Our recorded liabilities and estimates of reasonably possible losses for our contingent liabilities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that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including with respect to transfer pricing. While we apply consistent transfer pricing policies and practices globally, support transfer prices through economic studies, seek advance pricing agreements and joint audits to the extent possible and believe our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we wish to appeal any future adverse judgment in any of these proceedings, we may be required to post an appeal bond with the relevant court. If we were subject to a significant adverse judgment or experienced an interruption or reduction in the availability of bonding capacity, we may be required to provide letters of credit or post cash collateral, which may have a material adverse effect on our liquidity.</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have significant deferred tax assets. We must generate sufficient earnings of the appropriate character in order to utilize our deferred tax assets. If our earnings remain flat or decline over an extended period of time, we may not be able to utilize our deferred tax assets and we may need to record a valuation allowance against them that could materially adversely affect our results of operations in the period in which the valuation allowance is recorded.</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further information regarding our contingent liabilities and tax matters, refer to Notes to the Consolidated Financial Statements No. 20, Commitments and Contingent Liabilities, and No. 7, Income Taxes. For further information regarding our accounting policies with respect to certain of our contingent liabilities and uncertain income tax positions, refer to “Item 7. Management's Discussion and Analysis of Financial Condition and Results of Operations — Critical Accounting Policies.”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extensive government regulations that may materially adversely affect our operating results.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subject to regulation by the Department of Transportation through NHTSA, which has established various standards and regulations applicable to tires sold in the United States and tires sold in a foreign country that are identical or substantially similar to tires sold in the United States. NHTSA has the authority to order the recall of automotive products, including tires, having safety-related defects or that do not comply with a motor vehicle safety standard, and, in some cases, to assess penalties.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TREAD Act imposes numerous requirements with respect to the early warning reporting of warranty claims, property damage claims, and bodily injury and fatality claims and also requires tire manufacturers, among other things, to comply with revised and more rigorous tire testing standards. Compliance with the TREAD Act regulations has increased the cost of producing and distributing tires in the United States. We have been subject to recalls in the past and it is possible that a recall of our tires, including under the TREAD Act or in other countries under similar regulations, could occur in the future. A substantial recall or related penalties could have a material adverse effect on our reputation, operating results and financial condition.</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pursuant to the Energy Independence and Security Act of 2007, NHTSA may establish a national tire fuel efficiency consumer information program. If a related rule-making process is completed, certain tires sold in the United States would be required to be rated for rolling resistance, traction and tread wear. While the federal law preempts state tire fuel efficiency laws adopted after January 1, 2006, we may become subject to additional tire fuel efficiency legislation, either in the United States or other countries.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European operations are subject to regulation by the European Union. Two regulations, the Tire Safety Regulation and the Tire Labeling Regulation, applicable to tires sold in the European Union have been adopted. The Tire Safety Regulation sets performance standards that tires for cars and light and commercial trucks need to meet for rolling resistance, wet grip braking (passenger car tires only) and noise in order to be sold in the European Union. The Tire Labeling Regulation applies to all passenger car, light truck and commercial truck tires and requires that consumers be informed about the tire's fuel efficiency, wet grip and noise characteristics. Other countries, such as Brazil, have also adopted tire labeling regulations, and additional countries may also introduce similar regulations in the future.</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Tires produced or sold in Europe also have to comply with various other standards, including environmental laws such as REACH (Registration, Evaluation, Authorisation and Restriction of Chemical Substances), which regulates the use of chemicals in the European Union. For example, REACH prohibits the use of highly aromatic oils in tires, which were used as compounding components to improve certain performance characteristics.</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These U.S. and European regulations, rules adopted to implement these regulations, or other similar regulations that may be adopted in the United States, Europe or elsewhere in the future may require us to alter or increase our capital spending and research and development plans or cease the production of certain tires, which could have a material adverse effect on our operating results.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Laws and regulations governing environmental and occupational safety and health are complicated, change frequently and have tended to become stricter over time. As a manufacturing company, we are subject to these laws and regulations both inside and outside the United States. We may not be in complete compliance with such laws and regulations at all times. Our costs or liabilities relating to them may be more than the amount we have reserved, and that difference may be material.</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Compliance with the laws and regulations described above or any of the myriad of applicable foreign, federal, state and local laws and regulations currently in effect or that may be adopted in the future could materially adversely affect our competitive position, operating results, financial condition and liquidity.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foreign currency translation and transaction risks that may materially adversely affect our operating results, financial condition and liquidity.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position and results of operations of many of our international subsidiaries are initially recorded in various foreign currencies and then translated into U.S. dollars at the applicable exchange rate for inclusion in our financial statements. The strengthening of the U.S. dollar against these foreign currencies ordinarily has a negative impact on our reported sales and operating margin (and conversely, the weakening of the U.S. dollar against these foreign currencies has a positive impact). For the year ended December 31, 2023, foreign currency translation unfavorably affected sales by $169 million and unfavorably affected segment operating income by $23 million compared to the year ended December 31, 2022. The volatility of currency exchange rates may materially adversely affect our operating results. For the year ended December 31, 2023, net foreign currency exchange losses were $87 million.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impacted by economic and supply disruptions associated with events beyond our control, such as war, including the current conflicts between Russia and Ukraine and between Israel and Hamas, acts of terror, political unrest, public health concerns, labor disputes or natural disasters.</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manage businesses and facilities worldwide. Our facilities and operations, and the facilities and operations of our suppliers and customers, could be disrupted by events beyond our control, such as war, acts of terror, political unrest, public health concerns, labor disputes, or severe weather conditions or natural disasters. In addition, our operations could be adversely affected as a result of other disruptions at our facilities due to fire, electrical blackouts, power losses, telecommunications failures or other similar effects. Any such disruption could cause delays in the production and distribution of our products and the loss of sales and customers. We may not be insured against all such potential losses and, if insured, the insurance proceeds that we receive may not adequately compensate us for all of our losses. Such losses could lead to an increase in the deductibles or cost of insurance for those facilities, a reduction of insurance available to us, or the unavailability of insurance on terms that are acceptable to us.</w:t>
      </w:r>
    </w:p>
    <w:p>
      <w:pPr>
        <w:spacing w:after="0" w:line="18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2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Management is responsible for identifying, monitoring and mitigating the material risks facing the Company, including cybersecurity risks. The Board of Directors oversees management’s processes related to those risks. The Audit Committee of the Board of Directors is responsible for overseeing the risks associated with information technology and cybersecurity threats, and reports on its activities to the full Board following each committee meeting.</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Audit Committee exercises its risk oversight function by carefully evaluating information and cybersecurity reports they receive from management; assessing the priorities and roadmap of the cybersecurity program; and making inquiries of management with respect to areas of particular interest to the Board. Senior leadership, including our chief information officer (“CIO”) and our chief information security officer, periodically briefs the Audit Committee on our cybersecurity and information security programs and reviews cybersecurity incidents.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global information technology organization, led by our CIO, is responsible for our overall information security strategy, policies, operations and threat detection and response. Our current CIO has more than two decades of experience in positions of increasing authority at the Company. The global information technology organization manages and maintains the cybersecurity program with the goal of preventing, detecting and remediating incidents, and works to increase our system resilience to minimize the business impact should an incident occur. Our cybersecurity program is informed by the National Institute of Standards and Technology Cyber Security Framework (NIST-CSF). Consistent with that framework, our cybersecurity program addresses the need to identify, protect, detect, respond and recover from cyber risks. The process includes notification of potentially significant incidents to the Cybersecurity Disclosure Committee and the Audit Committee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of the Board, as appropriate. Our Cybersecurity Disclosure Committee is comprised of senior leadership across multiple functional areas and is responsible for reviewing and evaluating potentially significant cybersecurity incidents and for determining whether any notification or disclosure is required under applicable laws.</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Third parties are also incorporated into our approach to cybersecurity. We engage third-party services to conduct evaluations of our security controls, whether through penetration testing, independent audits, cybersecurity maturity assessments or consulting on best practices to address current and new challenges. These evaluations include testing both the design and operational effectiveness of security controls.</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recognize a cybersecurity incident experienced by a supplier or joint venture partner could materially impact us. We assess third party cybersecurity controls as part of our third party IT risk due diligence and engage in cybersecurity consultant-led solution design reviews when integrating new tools or third parties. We contractually require third parties to report cybersecurity incidents to us so we can assess the impact of the incident and any necessary regulatory reporting obligations that may be required.</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Notwithstanding our risk management efforts related to cybersecurity, we may not be successful in preventing or mitigating a cybersecurity incident that could have a material or other adverse effect on us. See Item 1A. “Risk Factors” for a discussion of our information technology and cybersecurity risks.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manufacture our products in 55 manufacturing facilities located around the world, including 18 plants in the United States.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AMERICAS MANUFACTURING FACILITIES. </w:t>
      </w:r>
      <w:r>
        <w:rPr>
          <w:rFonts w:ascii="Times New Roman" w:cs="Times New Roman" w:eastAsia="Times New Roman" w:hAnsi="Times New Roman"/>
          <w:sz w:val="18"/>
          <w:szCs w:val="18"/>
          <w:color w:val="auto"/>
        </w:rPr>
        <w:t>Americas owns or leases and operates 28 manufacturing facilities in 7 countries, including:</w:t>
      </w:r>
    </w:p>
    <w:p>
      <w:pPr>
        <w:spacing w:after="0" w:line="121"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tire plants,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chemical plants,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tire manufacturing equipment plants,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tire retread plants,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aviation retread plants,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mix plant.</w:t>
      </w:r>
    </w:p>
    <w:p>
      <w:pPr>
        <w:spacing w:after="0" w:line="11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EUROPE, MIDDLE EAST AND AFRICA MANUFACTURING FACILITIES. </w:t>
      </w:r>
      <w:r>
        <w:rPr>
          <w:rFonts w:ascii="Times New Roman" w:cs="Times New Roman" w:eastAsia="Times New Roman" w:hAnsi="Times New Roman"/>
          <w:sz w:val="18"/>
          <w:szCs w:val="18"/>
          <w:color w:val="auto"/>
        </w:rPr>
        <w:t>EMEA owns or leases and operates 17 manufacturing facilities in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countries, including:</w:t>
      </w:r>
    </w:p>
    <w:p>
      <w:pPr>
        <w:spacing w:after="0" w:line="50"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tire plants,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tire retread plant,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aviation retread plant.</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ASIA PACIFIC MANUFACTURING FACILITIES. </w:t>
      </w:r>
      <w:r>
        <w:rPr>
          <w:rFonts w:ascii="Times New Roman" w:cs="Times New Roman" w:eastAsia="Times New Roman" w:hAnsi="Times New Roman"/>
          <w:sz w:val="18"/>
          <w:szCs w:val="18"/>
          <w:color w:val="auto"/>
        </w:rPr>
        <w:t>Asia Pacific owns and operates 10 manufacturing facilities in 6 countries, including 9 tire plants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1 aviation retread plant.</w:t>
      </w:r>
    </w:p>
    <w:p>
      <w:pPr>
        <w:spacing w:after="0" w:line="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PLANT UTILIZATION. </w:t>
      </w:r>
      <w:r>
        <w:rPr>
          <w:rFonts w:ascii="Times New Roman" w:cs="Times New Roman" w:eastAsia="Times New Roman" w:hAnsi="Times New Roman"/>
          <w:sz w:val="18"/>
          <w:szCs w:val="18"/>
          <w:color w:val="auto"/>
        </w:rPr>
        <w:t>Our worldwide tire capacity utilization rate was approximately 81% during 2023 compared to approximately 89% in 2022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87% in 2021. Our utilization rate can vary significantly between product lines, depending on the complexity of the tires, and between consumer and commercial tires, and can also vary between business segments. The reported capacity utilization is an overall average for the Company. In addition to the impact of a storm on production at our tire manufacturing facility in Tupelo, Mississippi ("Tupelo"), we reduced utilization in 2023 to address softening industry demand and prevent the buildup of excess inventory.</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OTHER FACILITIES. </w:t>
      </w:r>
      <w:r>
        <w:rPr>
          <w:rFonts w:ascii="Times New Roman" w:cs="Times New Roman" w:eastAsia="Times New Roman" w:hAnsi="Times New Roman"/>
          <w:sz w:val="18"/>
          <w:szCs w:val="18"/>
          <w:color w:val="auto"/>
        </w:rPr>
        <w:t>We also own and operate three research and development facilities and technical centers, three development centers,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innovation lab, and seven tire proving grounds. We lease our Corporate and Americas headquarters and our research and development facility and technical center in Akron, Ohio. We operate approximately 950 retail outlets for the sale of our tires to consumer and commercial customers, approximately 40 tire retreading facilities and approximately 300 warehouse distribution facilities. Substantially all of these facilities are leased. We do not consider any one of these leased properties to be material to our operations. For additional information regarding leased properties, refer to Notes to the Consolidated Financial Statements No. 14, Property, Plant and Equipment, and No. 15, Leases. Certain of our manufacturing facilities are mortgaged as collateral for our secured credit facilities. Refer to Note to the Consolidated Financial Statements No. 16, Financing Arrangements and Derivative Financial Instruments.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4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 Litigation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currently one of numerous defendants in legal proceedings in certain state and federal courts involving approximately 35,800 claimants at December 31, 2023 relating to their alleged exposure to materials containing asbestos in products allegedly manufactured by us or asbestos materials present at our facilities. We manufactured, among other things, rubber coated asbestos sheet gasket materials from 1914 through 1973 and aircraft brake assemblies containing asbestos materials prior to 1987. Some of the claimants are independent contractors or their employees who allege exposure to asbestos while working at certain of our facilities. It is expected that in a substantial portion of these cases there will be no evidence of exposure to a Goodyear manufactured product containing asbestos or asbestos in our facilities. The amount expended by us and our insurers on defense and claim resolution was $15 million during 2023. The plaintiffs in the pending cases allege that they were exposed to asbestos and, as a result of such exposure, suffer from various respiratory diseases, including in some cases mesothelioma and lung cancer. The plaintiffs are seeking unspecified actual and punitive damages and other relief. For additional information on asbestos litigation, refer to Note to the Consolidated Financial Statements No. 20, Commitments and Contingent Liabilities.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Commission Antitrust Investigation</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January 30, 2024, the European Commission carried out unannounced inspections at the premises of companies active in the tire industry in several Member States in the European Union in connection with an investigation into potential violations of European Union antitrust rules with respect to new replacement tires for passenger cars, vans, trucks and busses sold in the European Economic Area. Goodyear was one of the companies that was inspected. We are cooperating with the European Commission’s investigation.</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several civil lawsuits have been subsequently filed in the United States and elsewhere against companies active in the tire industry, including the Company, alleging violations of antitrust laws with respect to new replacement tires for passenger cars, vans, trucks and busses sold in the relevant jurisdictions, and similar additional lawsuits could be brought against us in the future. We intend to defend these lawsuits, the ultimate outcome of which cannot be predicted at this time.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legal proceedings described above, various other legal actions, indirect tax assessments, claims and governmental investigations and proceedings covering a wide range of matters are pending against us, including claims and proceedings relating to several waste disposal sites that have been identified by the United States Environmental Protection Agency and similar agencies of various states for remedial investigation and cleanup, which sites were allegedly used by us in the past for the disposal of industrial waste materials. Based on available information, we do not consider any such action, assessment, claim, investigation or proceeding to be material, within the meaning of that term as used in Item 103 of Regulation S-K and the instructions thereto. For additional information regarding our legal proceedings, refer to Note to the Consolidated Financial Statements No. 20, Commitments and Contingent Liabilities.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5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principal market for our common stock is the Nasdaq Global Select Market (Stock Exchange Symbol: GT). At December 31, 2023, there were 10,337 holders of record of the 283,786,263 shares of our common stock then outstanding.</w:t>
      </w:r>
    </w:p>
    <w:p>
      <w:pPr>
        <w:spacing w:after="0" w:line="5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Set forth in the table below is certain information regarding the number of shares of our common stock that were subject to outstanding stock options or other compensation plan awards at December 31, 2023.</w:t>
      </w:r>
    </w:p>
    <w:p>
      <w:pPr>
        <w:sectPr>
          <w:pgSz w:w="11900" w:h="16838" w:orient="portrait"/>
          <w:cols w:equalWidth="0" w:num="1">
            <w:col w:w="11240"/>
          </w:cols>
          <w:pgMar w:left="320" w:top="764" w:right="339" w:bottom="1440" w:gutter="0" w:footer="0" w:header="0"/>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Number of Shares</w:t>
            </w: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Remaining Available for</w:t>
            </w: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 of Shares to be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206"/>
              <w:spacing w:after="0" w:line="135" w:lineRule="exact"/>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120" w:type="dxa"/>
            <w:vAlign w:val="bottom"/>
          </w:tcPr>
          <w:p>
            <w:pPr>
              <w:spacing w:after="0"/>
              <w:rPr>
                <w:sz w:val="11"/>
                <w:szCs w:val="11"/>
                <w:color w:val="auto"/>
              </w:rPr>
            </w:pPr>
          </w:p>
        </w:tc>
        <w:tc>
          <w:tcPr>
            <w:tcW w:w="182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Future Issuance under</w:t>
            </w: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6"/>
              </w:rPr>
              <w:t>Issued upon Exercise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206"/>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Exercise Price of</w:t>
            </w:r>
          </w:p>
        </w:tc>
        <w:tc>
          <w:tcPr>
            <w:tcW w:w="120" w:type="dxa"/>
            <w:vAlign w:val="bottom"/>
          </w:tcPr>
          <w:p>
            <w:pPr>
              <w:spacing w:after="0"/>
              <w:rPr>
                <w:sz w:val="11"/>
                <w:szCs w:val="11"/>
                <w:color w:val="auto"/>
              </w:rPr>
            </w:pPr>
          </w:p>
        </w:tc>
        <w:tc>
          <w:tcPr>
            <w:tcW w:w="182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Compensation</w:t>
            </w: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w w:val="96"/>
              </w:rPr>
              <w:t>Outstanding Options,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226"/>
              <w:spacing w:after="0" w:line="135" w:lineRule="exact"/>
              <w:rPr>
                <w:sz w:val="20"/>
                <w:szCs w:val="20"/>
                <w:color w:val="auto"/>
              </w:rPr>
            </w:pPr>
            <w:r>
              <w:rPr>
                <w:rFonts w:ascii="Times New Roman" w:cs="Times New Roman" w:eastAsia="Times New Roman" w:hAnsi="Times New Roman"/>
                <w:sz w:val="13"/>
                <w:szCs w:val="13"/>
                <w:b w:val="1"/>
                <w:bCs w:val="1"/>
                <w:color w:val="auto"/>
                <w:w w:val="96"/>
              </w:rPr>
              <w:t>Outstanding Options,</w:t>
            </w:r>
          </w:p>
        </w:tc>
        <w:tc>
          <w:tcPr>
            <w:tcW w:w="120" w:type="dxa"/>
            <w:vAlign w:val="bottom"/>
          </w:tcPr>
          <w:p>
            <w:pPr>
              <w:spacing w:after="0"/>
              <w:rPr>
                <w:sz w:val="11"/>
                <w:szCs w:val="11"/>
                <w:color w:val="auto"/>
              </w:rPr>
            </w:pPr>
          </w:p>
        </w:tc>
        <w:tc>
          <w:tcPr>
            <w:tcW w:w="182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Plans (Excluding Shares</w:t>
            </w:r>
          </w:p>
        </w:tc>
        <w:tc>
          <w:tcPr>
            <w:tcW w:w="0" w:type="dxa"/>
            <w:vAlign w:val="bottom"/>
          </w:tcPr>
          <w:p>
            <w:pPr>
              <w:spacing w:after="0"/>
              <w:rPr>
                <w:sz w:val="1"/>
                <w:szCs w:val="1"/>
                <w:color w:val="auto"/>
              </w:rPr>
            </w:pPr>
          </w:p>
        </w:tc>
      </w:tr>
      <w:tr>
        <w:trPr>
          <w:trHeight w:val="167"/>
        </w:trPr>
        <w:tc>
          <w:tcPr>
            <w:tcW w:w="526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20" w:type="dxa"/>
            <w:vAlign w:val="bottom"/>
          </w:tcPr>
          <w:p>
            <w:pPr>
              <w:spacing w:after="0"/>
              <w:rPr>
                <w:sz w:val="14"/>
                <w:szCs w:val="14"/>
                <w:color w:val="auto"/>
              </w:rPr>
            </w:pPr>
          </w:p>
        </w:tc>
        <w:tc>
          <w:tcPr>
            <w:tcW w:w="18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6"/>
              </w:rPr>
              <w:t>Warrants and Rights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206"/>
              <w:spacing w:after="0"/>
              <w:rPr>
                <w:sz w:val="20"/>
                <w:szCs w:val="20"/>
                <w:color w:val="auto"/>
              </w:rPr>
            </w:pPr>
            <w:r>
              <w:rPr>
                <w:rFonts w:ascii="Times New Roman" w:cs="Times New Roman" w:eastAsia="Times New Roman" w:hAnsi="Times New Roman"/>
                <w:sz w:val="13"/>
                <w:szCs w:val="13"/>
                <w:b w:val="1"/>
                <w:bCs w:val="1"/>
                <w:color w:val="auto"/>
                <w:w w:val="96"/>
              </w:rPr>
              <w:t>Warrants and Rights</w:t>
            </w:r>
          </w:p>
        </w:tc>
        <w:tc>
          <w:tcPr>
            <w:tcW w:w="120" w:type="dxa"/>
            <w:vAlign w:val="bottom"/>
          </w:tcPr>
          <w:p>
            <w:pPr>
              <w:spacing w:after="0"/>
              <w:rPr>
                <w:sz w:val="14"/>
                <w:szCs w:val="14"/>
                <w:color w:val="auto"/>
              </w:rPr>
            </w:pPr>
          </w:p>
        </w:tc>
        <w:tc>
          <w:tcPr>
            <w:tcW w:w="18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6"/>
              </w:rPr>
              <w:t>Reflected in Column (a))</w:t>
            </w:r>
          </w:p>
        </w:tc>
        <w:tc>
          <w:tcPr>
            <w:tcW w:w="0" w:type="dxa"/>
            <w:vAlign w:val="bottom"/>
          </w:tcPr>
          <w:p>
            <w:pPr>
              <w:spacing w:after="0"/>
              <w:rPr>
                <w:sz w:val="1"/>
                <w:szCs w:val="1"/>
                <w:color w:val="auto"/>
              </w:rPr>
            </w:pPr>
          </w:p>
        </w:tc>
      </w:tr>
      <w:tr>
        <w:trPr>
          <w:trHeight w:val="161"/>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120" w:type="dxa"/>
            <w:vAlign w:val="bottom"/>
          </w:tcPr>
          <w:p>
            <w:pPr>
              <w:spacing w:after="0"/>
              <w:rPr>
                <w:sz w:val="13"/>
                <w:szCs w:val="13"/>
                <w:color w:val="auto"/>
              </w:rPr>
            </w:pPr>
          </w:p>
        </w:tc>
        <w:tc>
          <w:tcPr>
            <w:tcW w:w="18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5260" w:type="dxa"/>
            <w:vAlign w:val="bottom"/>
            <w:vMerge w:val="continue"/>
          </w:tcPr>
          <w:p>
            <w:pPr>
              <w:spacing w:after="0"/>
              <w:rPr>
                <w:sz w:val="21"/>
                <w:szCs w:val="21"/>
                <w:color w:val="auto"/>
              </w:rPr>
            </w:pPr>
          </w:p>
        </w:tc>
        <w:tc>
          <w:tcPr>
            <w:tcW w:w="198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5,064,815</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46"/>
              <w:spacing w:after="0"/>
              <w:rPr>
                <w:sz w:val="20"/>
                <w:szCs w:val="20"/>
                <w:color w:val="auto"/>
              </w:rPr>
            </w:pPr>
            <w:r>
              <w:rPr>
                <w:rFonts w:ascii="Times New Roman" w:cs="Times New Roman" w:eastAsia="Times New Roman" w:hAnsi="Times New Roman"/>
                <w:sz w:val="18"/>
                <w:szCs w:val="18"/>
                <w:color w:val="auto"/>
              </w:rPr>
              <w:t>17.74</w:t>
            </w:r>
          </w:p>
        </w:tc>
        <w:tc>
          <w:tcPr>
            <w:tcW w:w="1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18,710,713</w:t>
            </w:r>
          </w:p>
        </w:tc>
        <w:tc>
          <w:tcPr>
            <w:tcW w:w="0" w:type="dxa"/>
            <w:vAlign w:val="bottom"/>
          </w:tcPr>
          <w:p>
            <w:pPr>
              <w:spacing w:after="0"/>
              <w:rPr>
                <w:sz w:val="1"/>
                <w:szCs w:val="1"/>
                <w:color w:val="auto"/>
              </w:rPr>
            </w:pPr>
          </w:p>
        </w:tc>
      </w:tr>
      <w:tr>
        <w:trPr>
          <w:trHeight w:val="25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20" w:type="dxa"/>
            <w:vAlign w:val="bottom"/>
          </w:tcPr>
          <w:p>
            <w:pPr>
              <w:spacing w:after="0"/>
              <w:rPr>
                <w:sz w:val="22"/>
                <w:szCs w:val="22"/>
                <w:color w:val="auto"/>
              </w:rPr>
            </w:pPr>
          </w:p>
        </w:tc>
        <w:tc>
          <w:tcPr>
            <w:tcW w:w="1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b w:val="1"/>
                <w:bCs w:val="1"/>
                <w:color w:val="auto"/>
              </w:rPr>
              <w:t>5,064,815</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ind w:right="46"/>
              <w:spacing w:after="0"/>
              <w:rPr>
                <w:sz w:val="20"/>
                <w:szCs w:val="20"/>
                <w:color w:val="auto"/>
              </w:rPr>
            </w:pPr>
            <w:r>
              <w:rPr>
                <w:rFonts w:ascii="Times New Roman" w:cs="Times New Roman" w:eastAsia="Times New Roman" w:hAnsi="Times New Roman"/>
                <w:sz w:val="18"/>
                <w:szCs w:val="18"/>
                <w:b w:val="1"/>
                <w:bCs w:val="1"/>
                <w:color w:val="auto"/>
              </w:rPr>
              <w:t>17.74</w:t>
            </w:r>
          </w:p>
        </w:tc>
        <w:tc>
          <w:tcPr>
            <w:tcW w:w="120" w:type="dxa"/>
            <w:vAlign w:val="bottom"/>
          </w:tcPr>
          <w:p>
            <w:pPr>
              <w:spacing w:after="0"/>
              <w:rPr>
                <w:sz w:val="20"/>
                <w:szCs w:val="20"/>
                <w:color w:val="auto"/>
              </w:rPr>
            </w:pPr>
          </w:p>
        </w:tc>
        <w:tc>
          <w:tcPr>
            <w:tcW w:w="1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18,710,713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5"/>
          <w:szCs w:val="5"/>
          <w:color w:val="auto"/>
        </w:rPr>
        <w:t>(1 )</w:t>
      </w:r>
    </w:p>
    <w:p>
      <w:pPr>
        <w:spacing w:after="0" w:line="936" w:lineRule="exact"/>
        <w:rPr>
          <w:sz w:val="20"/>
          <w:szCs w:val="20"/>
          <w:color w:val="auto"/>
        </w:rPr>
      </w:pPr>
    </w:p>
    <w:p>
      <w:pPr>
        <w:sectPr>
          <w:pgSz w:w="11900" w:h="16838" w:orient="portrait"/>
          <w:cols w:equalWidth="0" w:num="2">
            <w:col w:w="11100" w:space="20"/>
            <w:col w:w="120"/>
          </w:cols>
          <w:pgMar w:left="320" w:top="764" w:right="339" w:bottom="1440" w:gutter="0" w:footer="0" w:header="0"/>
          <w:type w:val="continuous"/>
        </w:sectPr>
      </w:pPr>
    </w:p>
    <w:p>
      <w:pPr>
        <w:jc w:val="both"/>
        <w:ind w:left="760" w:hanging="752"/>
        <w:spacing w:after="0" w:line="26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equity compensation plans, up to a maximum of 1,718,593 performance shares in respect of performance periods ending on or subsequent to December 31, 2023, 103,492 shares of restricted stock and 1,402,131 restricted stock units have been awarded. In addition, up to 593 shares of common stock may be issued in respect of the deferred payout of awards made under our equity compensation plans. The number of performance shares indicated assumes the maximum possible payout that may be earned during the relevant performance periods.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4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per share amounts are diluted and refer to Goodyear net income.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Goodyear Tire &amp; Rubber Company is one of the world’s leading manufacturers of tires, with one of the most recognizable brand names in the world and operations in most regions of the world. We have a broad global footprint with 55 manufacturing facilities in 22 countries, including the United States. We operate our business through three operating segments representing our regional tire businesses: Americas; Europe, Middle East and Africa ("EMEA"); and Asia Pacific.</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This management's discussion and analysis provides comparisons of material changes in the consolidated financial statements for the years ended December 31, 2023 and 2022. For a comparison of the years ended December 31, 2022 and 2021, refer to Management's Discussion and Analysis of Financial Condition and Results of Operations included in our annual report on Form 10-K for the year ended December 31, 2022.</w:t>
      </w:r>
    </w:p>
    <w:p>
      <w:pPr>
        <w:spacing w:after="0" w:line="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15, 2023, we announced a transformation plan, Goodyear Forward, that is intended to optimize our portfolio of products, deliver segment margin expansion and reduce our leverage in order to drive sustainable, long-term shareholder value creation. Optimization of our portfolio consists of a strategic review of three major asset groups: our chemical operations which produces synthetic rubber and other chemical products from four plants in our Americas segment, the Dunlop brand for which we own rights in certain markets throughout the world, but is primarily used in our EMEA segment, and our off-the-road tire product operations. Our plans for margin expansion include brand optimization and tiering to capitalize on premium tire pricing and volume and a reduction of our overall exposure related to lower-tiered products either through margin expansion or product line rationalization. Our plans for margin expansion also include a reduction of our cost structure by $1 billion, including actions related to our manufacturing footprint, plant optimization, further improvement of our purchasing leverage, reduction of Selling Administrative and General expenses (“SAG”) and improvements in our supply chain planning and logistics. We anticipate the accumulated benefit of these actions will improve our segment operating margin to 10% by the end of 2025.</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Goodyear Forward transformation plan, on November 15, 2023, we approved a rationalization plan in EMEA to permanently close our Fulda, Germany tire manufacturing facility (“Fulda”) and our Fürstenwalde, Germany tire manufacturing facility (“Fürstenwalde”). This plan amends and replaces the plan that was previously approved on May 31, 2023 to permanently reduce production at Fulda by approximately 50%. The proposed actions would lead to a reduction of approximately 1,750 positions at Fulda and Fürstenwalde. We expect the closure of Fulda will be substantially complete in 2025 and the closure of Fürstenwalde will be substantially complete by the end of 2027. Relevant portions of the plan remain subject to consultation with employee representative bodies.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as part of our transformation efforts, on September 5, 2023, we approved a rationalization and workforce reorganization plan in EMEA to improve our cost structure. The proposed actions would lead to a reduction of approximately 1,200 positions across multiple countries within EMEA while also creating approximately 500 new roles principally in our existing shared services organization in Romania, resulting in an overall net reduction of approximately 700 positions. In certain countries, relevant portions of the plan remain subject to consultation with employee representative bodies. We expect these actions will be substantially complete in 2025.</w:t>
      </w:r>
    </w:p>
    <w:p>
      <w:pPr>
        <w:spacing w:after="0" w:line="7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We anticipate the closure of Fulda and Fürstenwalde and the rationalization and workforce reorganization plan will improve EMEA’s segment operating income by achieving annual run rate savings of approximately $160 million by the end of 2025 and a full run rate savings of approximately $220 million by the end of 2027.</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2023, our operating results reflected the impact of the ongoing effects of inflation and increases in interest rates on the global economy. While global tire industry demand remains below 2019, the weakness in the replacement market we experienced during the first half of 2023 improved during the second half of the year. Industry volumes grew in several of our markets, including the U.S., where industry volume increased during the second half of the year. We saw continued improvement in demand from our OE customers throughout 2023, including growth in China. These trends can be seen in our operating results as operating margins improved for each of our segments during the second half of 2023, exceeding the margins achieved during the second half of 2022.</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inflationary cost pressures we experienced in the first half of 2023 eased in the second half as decreases in raw material and transportation costs offset inflation. However, cost pressures remain on wages and benefits as we continue to experience increased labor-related costs and manufacturing inefficiencies associated with the ongoing tight labor supply, particularly in the U.S. Additionally, energy costs remain elevated in EMEA, driven by the indirect impacts of the war in Ukraine.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2023, a severe storm in the U.S. significantly damaged and caused the temporary shut-down of our tire manufacturing facility and adjacent warehouse in Tupelo, Mississippi. The damage to Tupelo was significant; however, we were able to restart production earlier than expected and returned to full production in the beginning of the third quarter. We estimate the negative impact of the Tupelo storm on sales in Americas for 2023 was $110 million. We estimate that the negative impact on our earnings for 2023 was $69 million ($56 million after-tax and minority). The negative impact on our earnings for 2023 included $55 million in Americas segment operating income and $14 million of corporate expense for an insurance deductible.</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third quarter of 2023, a fire significantly damaged a portion of the tire curing area and caused the temporary shutdown of our tire manufacturing facility in Debica, Poland (“Debica”). Tire production at Debica resumed in August at approximately 55% of capacity and is currently at approximately 70% of capacity. We estimate the negative impact on our earnings during 2023 was approximately $28 million ($24 million after-tax and minority), including $10 million of corporate expense for an insurance deductible and an $18 million impact on EMEA’s segment operating income, primarily comprised of fixed costs incurred during the plant shutdown and subsequent ramp-up. There was no significant impact from lost sales during 2023 as a result of leveraging existing inventory and increasing production at other facilities.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maintain third-party insurance coverage for property damage, repair expenses and business interruption, subject to a $15 million deductible for each of the events at Tupelo and Debica. While we expect to be reimbursed for a significant portion of our business interruption impacts for Tupelo and Debica by our third-party insurance coverage, consistent with past practice, we will record a receivable related to the business interruption once the claim is substantially complete.</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2023, in order to address softening industry demand and prevent the buildup of excess inventory, we reduced production at many of our tire manufacturing facilities, resulting in a reduction of 14.2 million units compared to production in 2022, primarily in Americas and EMEA. Decisions to change production levels in the future will be based on an evaluation of market demand signals and inventory and supply levels, as well as the availability of sufficient qualified labor.</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results for 2023 include a 6.1% decrease in tire unit shipments compared to 2022, primarily due to lower global replacement tire volume, partially offset by growth in OE, primarily in Asia Pacific and EMEA. In 2023, we realized approximately $394 million of additional costs related to inflation and other cost pressures.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were $20,066 million in 2023, compared to $20,805 million in 2022. Net sales decreased in 2023 due to lower tire volume, primarily in Americas and EMEA, partially offset by higher tire volume in Asia Pacific, unfavorable foreign currency translation, driven by the strengthening of the U.S. dollar, a decrease in sales in other tire-related businesses, primarily related to a decrease in third-party chemical sales in Americas and retread sales in EMEA, partially offset by higher global aviation sales and growth in EMEA's Fleet Solutions, and the negative impact of the Tupelo storm on sales. These decreases were partially offset by global improvements in price and product mix.</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Goodyear net loss in 2023 was $689 million, or $2.42 per share, compared to net income of $202 million, or $0.71 per share, in 2022. The change in Goodyear net income (loss) was primarily due to higher rationalization charges, lower segment operating income, a non-cash goodwill impairment charge, higher interest expense and higher other expense. These decreases were partially offset by lower U.S. and Foreign Tax Expense driven by the pre-tax loss.</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total segment operating income for 2023 was $968 million, compared to $1,276 million in 2022. The $308 million decrease was primarily due to increased conversion costs of $599 million driven by the effect of decreased tire production on fixed cost absorption, inflation and higher energy costs, lower tire volume of $250 million, primarily in Americas and EMEA, a $55 million negative impact due to the Tupelo storm, an increase in SAG of $30 million, unfavorable foreign currency translation of $23 million driven by the strengthening of the U.S. dollar, and an $18 million negative impact due to the Debica fire. These decreases were partially offset by global improvements in price and product mix of $579 million, lower raw material costs of $67 million, and lower research and development costs of $25 million. Refer to "Results of Operations — Segment Information" for additional information.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2023, we had $902 million of Cash and Cash Equivalents as well as $4,247 million of unused availability under our various credit agreements, compared to $1,227 million and $4,035 million, respectively, at December 31, 2022. The decrease in cash and cash equivalents of $325 million was primarily due to capital expenditures of $1,050 million, net debt repayment of $343 million and loans to TireHub, LLC of $79 million, partially offset by cash provided by operating activities of $1,032 million and cash proceeds from asset sales of $115 million, primarily related to sale and leaseback transactions in Americas. Cash provided by operating activities reflects the net loss for the period of $687 million, which includes non-cash charges for depreciation and amortization of $1,001 million, non-cash rationalization charges of $502 million and a non-cash goodwill impairment charge of $230 million, partially offset by a non-cash gain on asset sales of $104 million, primarily related to the Americas sale and leaseback transactions. Operating activities also includes cash provided by working capital of $299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ind w:firstLine="57"/>
        <w:spacing w:after="0" w:line="281" w:lineRule="auto"/>
        <w:rPr>
          <w:sz w:val="20"/>
          <w:szCs w:val="20"/>
          <w:color w:val="auto"/>
        </w:rPr>
      </w:pPr>
      <w:r>
        <w:rPr>
          <w:rFonts w:ascii="Times New Roman" w:cs="Times New Roman" w:eastAsia="Times New Roman" w:hAnsi="Times New Roman"/>
          <w:sz w:val="18"/>
          <w:szCs w:val="18"/>
          <w:color w:val="auto"/>
        </w:rPr>
        <w:t>million, partially offset by rationalization payments of $99 million and pension contributions of $54 million. Refer to "Liquidity and Capital Resources" for additional information.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November 2023, we announced a transformation plan, Goodyear Forward, to optimize our portfolio, deliver significant margin expansion and reduce leverage to drive substantial shareholder value creation. During 2023, we began laying the foundation to drive the execution of that plan. We expect this plan to benefit segment operating income by approximately $350 million in 2024.</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the first quarter of 2024, we expect our tire volume will be down slightly, driven by consumer and commercial replacement in Americas and EMEA. This volume decrease will be partially offset by growth in Asia Pacific replacement and OE volume, driven by the continued benefits of new OE fitment wins.</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our raw material costs to be lower by approximately $245 million in the first quarter of 2024 compared to the first quarter of 2023. We anticipate price and product mix, when netted with the lower raw material costs, will be a benefit of approximately $115 million in the first quarter of 2024. Price and product mix are expected to reflect lower selling prices to customers with contractual raw material index adjustments and the continuing negative impact of lower commercial tire volume. Natural and synthetic rubber prices and other commodity prices historically have been volatile, and our raw material costs could change based on future cost fluctuations and changes in foreign exchange rates. We continue to focus on price and product mix, to substitute lower cost materials where possible, to work to identify additional substitution opportunities, to reduce the amount of material required in each tire, and to pursue alternative raw materials to minimize the impact of higher raw material costs.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expect cost pressures to persist in the first quarter of 2024. We expect the negative impact on segment operating income from non-raw material inflation and other costs will be approximately $25 million compared with the first quarter of 2023. Separate from the impact of inflation on our first quarter 2024 results, we expect savings of approximately $50 million from initiatives underway as part of our Goodyear Forward plan. We also expect the lower production levels in the fourth quarter of 2023 as a result of the fire in Debica will negatively impact our EMEA segment operating results by approximately $15 million in the first quarter of 2024.</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continue to focus on actions to offset costs other than raw materials through cost savings initiatives, including initiatives related to the Goodyear Forward plan, rationalization actions, and improvements in price and product mix. For the full year of 2024, we anticipate incurring approximately $100 million of advisory, legal and consulting fees and other costs associated with asset sales in connection with our Goodyear Forward plan.</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full year of 2024, we expect working capital to be flat as compared to 2023. We anticipate our capital expenditures will be $1.2 billion to $1.3 billion, excluding repairs related to the Tupelo tornado and the Debica fire, which we expect to be funded by insurance claim recoveries. We anticipate our cash flows will include rationalization payments of approximately $300 million, as we continue to implement elements of our Goodyear Forward plan and improve our cost structure.</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Refer to "Item 1A. Risk Factors" for a discussion of the factors that may impact our business, results of operations, financial condition or liquidity and "Forward-Looking Information — Safe Harbor Statement" for a discussion of our use of forward-looking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CONSOLIDATED</w:t>
      </w:r>
    </w:p>
    <w:p>
      <w:pPr>
        <w:spacing w:after="0" w:line="121"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Goodyear net loss in 2023 was $689 million, or $2.42 per share, compared to net income of $202 million, or $0.71 per share, in 2022. The change in Goodyear net income (loss) was primarily due to higher rationalization charges, lower segment operating income, a non-cash goodwill impairment charge, higher interest expense and higher other expense. These decreases were partially offset by lower U.S. and Foreign Tax Expense driven by the pre-tax loss.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Net sales in 2023 of $20,066 million decreased $739 million, or 3.6%, compared to $20,805 million in 2022, primarily due to lower tire volume of $1,053 million, representing lower tire volume in Americas and EMEA, partially offset by higher tire volume in Asia Pacific, unfavorable foreign currency translation of $169 million, driven by the strengthening of the U.S. dollar, a decrease in sales in other tire-related businesses of $110 million, primarily due to a decrease in third-party chemical sales in Americas and lower retread sales in EMEA, partially offset by higher global aviation sales and growth in EMEA's Fleet Solutions, and the unfavorable impact of the Tupelo storm of $110 million. These decreases were partially offset by global improvements in price and product mix of $696 million. Goodyear worldwide tire unit net sales were $17,288 million and $17,886 million in 2023 and 2022, respectively. Consumer and commercial net sales were $12,894 million and $3,731 million in 2023, respectively. Consumer and commercial net sales were $13,163 million and $4,205 million in 2022,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tire unit sales for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14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2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15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4"/>
                <w:szCs w:val="14"/>
                <w:color w:val="auto"/>
              </w:rPr>
            </w:pPr>
          </w:p>
        </w:tc>
      </w:tr>
      <w:tr>
        <w:trPr>
          <w:trHeight w:val="23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Replacement Units</w:t>
            </w:r>
          </w:p>
        </w:tc>
        <w:tc>
          <w:tcPr>
            <w:tcW w:w="14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58.1</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51"/>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72.1</w:t>
            </w:r>
          </w:p>
        </w:tc>
        <w:tc>
          <w:tcPr>
            <w:tcW w:w="140" w:type="dxa"/>
            <w:vAlign w:val="bottom"/>
          </w:tcPr>
          <w:p>
            <w:pPr>
              <w:spacing w:after="0"/>
              <w:rPr>
                <w:sz w:val="21"/>
                <w:szCs w:val="21"/>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81.6</w:t>
            </w:r>
          </w:p>
        </w:tc>
        <w:tc>
          <w:tcPr>
            <w:tcW w:w="14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36"/>
        </w:trPr>
        <w:tc>
          <w:tcPr>
            <w:tcW w:w="65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130.2</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143.9</w:t>
            </w:r>
          </w:p>
        </w:tc>
        <w:tc>
          <w:tcPr>
            <w:tcW w:w="14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0"/>
        </w:trPr>
        <w:tc>
          <w:tcPr>
            <w:tcW w:w="65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OE Units</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9.4</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51"/>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tcPr>
          <w:p>
            <w:pPr>
              <w:spacing w:after="0"/>
              <w:rPr>
                <w:sz w:val="21"/>
                <w:szCs w:val="21"/>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21"/>
                <w:szCs w:val="21"/>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11.2 %</w:t>
            </w:r>
          </w:p>
        </w:tc>
      </w:tr>
      <w:tr>
        <w:trPr>
          <w:trHeight w:val="236"/>
        </w:trPr>
        <w:tc>
          <w:tcPr>
            <w:tcW w:w="65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43.1</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40.6</w:t>
            </w:r>
          </w:p>
        </w:tc>
        <w:tc>
          <w:tcPr>
            <w:tcW w:w="14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r>
      <w:tr>
        <w:trPr>
          <w:trHeight w:val="20"/>
        </w:trPr>
        <w:tc>
          <w:tcPr>
            <w:tcW w:w="65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Goodyear worldwide tire units</w:t>
            </w: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173.3</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184.5</w:t>
            </w:r>
          </w:p>
        </w:tc>
        <w:tc>
          <w:tcPr>
            <w:tcW w:w="14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0"/>
        </w:trPr>
        <w:tc>
          <w:tcPr>
            <w:tcW w:w="65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-1172210</wp:posOffset>
            </wp:positionV>
            <wp:extent cx="7132320"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3"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The decrease in worldwide tire unit sales of 11.2 million units, or 6.1%, compared to 2022, included a decrease of 13.7 million replacement tire units, or 9.5%, reflecting decreases in each region. OE tire units increased by 2.5 million units, or 6.3%, reflecting share gains from new OE fitments in Asia Pacific and EMEA and continued recovery of OE vehicle production in 2023. Consumer and commercial unit sales in 2023 were 159.4 million and 12.1 million, respectively. Consumer and commercial unit sales in 2022 were 169.0 million and 13.6 million,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121"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Cost of Goods Sold ("CGS") was $16,557 million in 2023, decreasing $396 million, or 2.3%, from $16,953 million in 2022. CGS was 82.5% of sales in 2023 compared to 81.5% of sales in 2022. CGS in 2023 decreased primarily due to lower tire volume of $803 million, lower costs in other tire-related businesses of $136 million, driven by a decrease in third-party chemical sales in Americas, foreign currency translation of $129 million, driven by the strengthening of the U.S. dollar, lower raw material costs of $67 million, primarily in Americas, a $55 million net reduction as a result of the Tupelo storm, and a $5 million ($4 million after-tax and minority) reversal of a portion of the estimated cleanup costs associated with the permanent closure of Gadsden. These decreases were partially offset by higher conversion costs of $599 million driven by the effect of decreased tire production on fixed cost absorption, inflation and higher energy costs, higher costs related to product mix of $117 million, primarily in Americas, an increase in accelerated depreciation and asset write-offs of $37 million primarily for rationalization activities, and a $7 million ($5 million after-tax and minority) estimated cleanup charge associated with a previously closed Goodyear location.</w:t>
      </w:r>
    </w:p>
    <w:p>
      <w:pPr>
        <w:spacing w:after="0" w:line="78"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CGS in 2023 included pension expense of $15 million compared to $22 million in 2022. CGS in 2023 also included the favorable impact of a successful legal claim of $3 million ($3 million after-tax and minority) related to a 2005 warehouse fire in Spain. CGS in 2022 also included a gain of $7 million ($6 million after-tax and minority) in Americas related to insurance recoveries.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Administrative and General Expense</w:t>
      </w:r>
    </w:p>
    <w:p>
      <w:pPr>
        <w:spacing w:after="0" w:line="121"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SAG was $2,814 million in 2023, increasing $16 million, or 0.6%, from $2,798 million in 2022. SAG was 14.0% of sales in 2023 compared to 13.4% of sales in 2022. SAG increased primarily due to the impact of inflation on costs and $35 million ($26 million after-tax and minority) of costs related to the Goodyear Forward plan, primarily consisting of advisory, legal and</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4"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consulting fees incurred to support development and execution of the plan, including costs associated with planned asset sales. These increases were partially offset by lower advertising costs of $28 million, lower accelerated depreciation and asset write-off charges of $28 million, foreign currency translation of $17 million, primarily in EMEA and Asia Pacific, driven by the strengthening of the U.S. dollar, and recoveries of previously written-off accounts receivable and other assets related to our exited business in Russia of $10 million. SAG in 2023 included pension expense of $11 million compared to $15 million in 2022. SAG in 2023 included incremental savings from rationalization plans of $50 million compared to $12 million in 2022.</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CGS and SAG in 2023 included $46 million ($42 million after-tax and minority) of accelerated depreciation and asset write-offs and $10 million ($10 million after-tax and minority) of recoveries of previously written-off accounts receivable and other assets related to our exited business in Russia, respectively, which related to rationalization activities.</w:t>
      </w:r>
    </w:p>
    <w:p>
      <w:pPr>
        <w:spacing w:after="0" w:line="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CGS and SAG in 2022 included $9 million and $28 million, respectively, of accelerated depreciation and asset write-offs, of which $30 million ($27 million after-tax and minority) related to rationalization activities.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Rationalizations</w:t>
      </w:r>
    </w:p>
    <w:p>
      <w:pPr>
        <w:spacing w:after="0" w:line="12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recorded net rationalization charges of $502 million ($436 million after-tax and minority) in 2023. Net rationalization charges include $250 million related to the proposed plan to close Fulda and Fürstenwalde, $166 million for the proposed rationalization and workforce reorganization plan in EMEA, $21 million for the plan to improve profitability in our Australia and New Zealand operations, and $18 million related to the plan to streamline our EMEA distribution network.</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net rationalization charges of $129 million ($120 million after-tax and minority) in 2022. Net rationalization charges include $37 million for the plan primarily to reduce salaried staff globally, $34 million for the plan to close Cooper Tire's Melksham, United Kingdom facility, $24 million for a plan to reduce duplicative global SAG headcount and close redundant warehouse locations in Americas as part of the integration of Cooper Tire, $16 million related to the permanent closure of our tire manufacturing facility in Gadsden, Alabama, and $14 million related to the exit of our retail operations in South Africa.</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Upon completion of new plans initiated in 2023, we estimate that annual segment operating income will improve by approximately $320 million (approximately $200 million SAG and approximately $120 million CGS). The savings realized in 2023 from rationalization plans totaled approximately $50 million (primarily SAG).</w:t>
      </w:r>
    </w:p>
    <w:p>
      <w:pPr>
        <w:spacing w:after="0" w:line="69" w:lineRule="exact"/>
        <w:rPr>
          <w:sz w:val="20"/>
          <w:szCs w:val="20"/>
          <w:color w:val="auto"/>
        </w:rPr>
      </w:pPr>
    </w:p>
    <w:p>
      <w:pPr>
        <w:ind w:right="1500"/>
        <w:spacing w:after="0" w:line="375" w:lineRule="auto"/>
        <w:rPr>
          <w:sz w:val="20"/>
          <w:szCs w:val="20"/>
          <w:color w:val="auto"/>
        </w:rPr>
      </w:pPr>
      <w:r>
        <w:rPr>
          <w:rFonts w:ascii="Times New Roman" w:cs="Times New Roman" w:eastAsia="Times New Roman" w:hAnsi="Times New Roman"/>
          <w:sz w:val="18"/>
          <w:szCs w:val="18"/>
          <w:color w:val="auto"/>
        </w:rPr>
        <w:t xml:space="preserve">For further information, refer to Note to the Consolidated Financial Statements No. 4, Costs Associated with Rationalization Programs. </w:t>
      </w:r>
      <w:r>
        <w:rPr>
          <w:rFonts w:ascii="Times New Roman" w:cs="Times New Roman" w:eastAsia="Times New Roman" w:hAnsi="Times New Roman"/>
          <w:sz w:val="18"/>
          <w:szCs w:val="18"/>
          <w:b w:val="1"/>
          <w:bCs w:val="1"/>
          <w:color w:val="auto"/>
        </w:rPr>
        <w:t>Goodwill Impairment</w:t>
      </w: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During 2023, we recorded a non-cash impairment charge of $230 million ($216 million after-tax and minority) to write off all of the goodwill of our EMEA reporting unit. For further information, refer to "Critical Accounting Policies - Goodwill and Intangible Assets" and Notes to the Consolidated Financial Statements No. 12, Goodwill and Intangible Assets, in this Form 10-K.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Interest expense was $532 million in 2023, increasing $81 million from $451 million in 2022. The increase was primarily due to a higher average debt balance of $8,561 million in 2023 compared to $8,266 million in 2022 and a higher average interest rate of 6.21% in 2023 compared to 5.46% in 2022.</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(Income) Expense was $108 million and $75 million of expense in 2023 and 2022, respectively. The $33 million increase in expense was primarily due to a $75 million net increase in foreign currency exchange losses, primarily due to the weakening of the Argentine peso, partially offset by an increase in interest income of $50 million, primarily in Argentina, and a $19 million increase in fees related to accounts receivable factoring programs driven by higher interest rates. Additionally, the change in Other (Income) Expense reflects $31 million ($24 million after-tax and minority) of expense in 2023 for non-indemnified costs for product liability claims related to products manufactured by a formerly consolidated joint venture entity and net gains on asset and other sales in 2023 of $94 million ($69 million after-tax and minority), primarily related to sale and leaseback transactions in Americas, compared to a gain of $115 million ($87 million after-tax and minority) in 2022, primarily related to a sale and leaseback transaction in Americas. These increases were partially offset by a net decrease in non-service related pension and other postretirement benefits cost of $30 million primarily due to lower pension settlement charges of $40 million ($30 million after-tax and minority) in 2023 compared to pension settlement charges of $124 million ($93 million after-tax and minority) in 2022, partially offset by an increase in net periodic cost due to higher interest rates, and $5 million ($5 million after-tax and minority) of income for the write-off of accumulated foreign currency translation related to our exited business in Russia. Other (Income) Expense in 2023 includes $11 million ($8 million after-tax and minority) of income related to 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favorable court decision setting aside a previous unfavorable verdict on intellectual property-related legal claims. The impact of that verdict and other fees in 2022 related to these claims was $15 million of expense ($11 after-tax and minority).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refer to Note to the Consolidated Financial Statements No. 6, Other (Income) Expense.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Income tax expense in 2023 was $10 million on a loss before income taxes of $677 million. In 2023, income tax expense includes net discrete tax benefits totaling $9 million ($10 million after minority interest), primarily related to additional prior year withholding tax creditable in the U.S. as a result of a tax law change.</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Income tax expense in 2022 was $190 million on income before income taxes of $399 million. In 2022, income tax expense includes net discrete tax expense totaling $23 million ($23 million after minority interest), including a charge of $14 million to write off deferred tax assets related to tax loss carryforwards in the U.K. and a charge of $11 million to establish a full valuation allowance on our net deferred tax assets in Russia, partially offset by a net benefit of $2 million for various other items.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difference between our effective tax rate and the U.S. statutory rate of 21% for both 2023 and 2022 primarily relates to losses in certain foreign jurisdictions in which no tax benefits are recorded, income in certain foreign jurisdictions taxed at rates higher than the U.S. statutory rate, and the discrete items described above.</w:t>
      </w:r>
    </w:p>
    <w:p>
      <w:pPr>
        <w:spacing w:after="0" w:line="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December 31, 2023 and December 31, 2022, we had approximately $1.2 billion and $1.1 billion of U.S. federal, state and local net deferred tax assets, respectively, inclusive of valuation allowances totaling $22 million and $26 million in each period, respectively, primarily for state tax loss carryforwards with limited lives. As of December 31, 2023, approximately $1.0 billion of these U.S. net deferred tax assets have unlimited lives and approximately $200 million have limited lives, including $22 million of foreign tax credits, and the majority do not start to expire until 2031. As of December 31, 2022, approximately $700 million of these U.S. net deferred tax assets had unlimited lives and approximately $400 million had limited lives, including $230 million of foreign tax credits, and had expiration dates between 2023 and 2042. In the U.S., as of December 31, 2023, we emerged from a three-year cumulative loss which was driven by business disruptions created by the COVID-19 pandemic. Our U.S. cumulative income for the three-years ended December 31, 2023 is primarily a result of gains from other comprehensive income rather than consistently profitable U.S. operating results. Our 2023 U.S. operating results in the first six months of the year were negatively impacted by lower sales volumes due to commercial replacement tire channel destocking, reduced consumer industry demand and the Tupelo storm. However, our second half of 2023 showed improvement and profitability in our U.S. operating results.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assessing our ability to utilize our net deferred tax assets, we primarily considered objectively verifiable information, including the improvement in our U.S. operating results during the second half of 2023 as a result of improved tire volume and lower raw material and transportation costs compared to the first half of 2023. In addition, we consider our current forecasts of future profitability in assessing our ability to realize our deferred tax assets as well as the impact of tax planning strategies. These forecasts include the impact of recent trends and various macroeconomic factors such as the impact of raw material, transportation, labor and energy costs on our profitability. Our tax planning strategies include accelerating income on cross border transactions, including sales of inventory or raw materials to our subsidiaries, reducing U.S. interest expense by, for example, reducing intercompany loans through repatriating current year earnings of foreign subsidiaries, repatriation of certain foreign royalty income, and other financing transactions, all of which would increase our domestic profitability.</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our improvement in U.S. operating results during the second half of 2023 and forecasts of future profitability provide us sufficient positive evidence to conclude that it is more likely than not that, at December 31, 2023, our U.S. net deferred tax assets will be fully utilized. However, macroeconomic factors such as raw material, transportation, labor and energy costs possess a high degree of volatility and can significantly impact our profitability. In addition, certain tax provisions, such as the annual interest expense limitation under Section 163(j) of the Internal Revenue Code of 1986, if amended, could impact our analysis of the realizability of our U.S. deferred tax assets. If our U.S. operating results significantly decline in the future, we may need to record a valuation allowance which could adversely impact our operating results. As such, we will closely monitor our U.S. operations as well as any tax law changes to assess the realizability of our U.S. deferred tax assets.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2023 and December 31, 2022, we also had approximately $1.5 billion and $1.2 billion of foreign net deferred tax assets, respectively, and related valuation allowances of approximately $1.2 billion and $1.0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$1.0 billion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foreign deferred tax assets having a significant impact on our financial position or results of operations will exist within the next twelve months.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refer to "Critical Accounting Policies" and Note to the Consolidated Financial Statements No. 7, Income Taxes.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Minority Shareholders’ Net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Minority shareholders’ net income was $2 million in 2023, compared to $7 million in 2022.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INFORMATION</w:t>
      </w:r>
    </w:p>
    <w:p>
      <w:pPr>
        <w:spacing w:after="0" w:line="121"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and are segmented on a regional basis.</w:t>
      </w:r>
    </w:p>
    <w:p>
      <w:pPr>
        <w:spacing w:after="0" w:line="55"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asset sales, goodwill and other asset impairment charges and certain other items.</w:t>
      </w:r>
    </w:p>
    <w:p>
      <w:pPr>
        <w:spacing w:after="0" w:line="78"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Total segment operating income in 2023 was $968 million, a decrease of $308 million, or 24.1%, from $1,276 million in 2022. Total segment operating margin (segment operating income divided by segment sales) in 2023 was 4.8% compared to 6.1% in 2022.</w:t>
      </w:r>
    </w:p>
    <w:p>
      <w:pPr>
        <w:spacing w:after="0" w:line="55"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9, Business Segments, for further information and for a reconciliation of total segment operating income to Income (Loss) before Income Taxes.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3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85.9</w:t>
            </w:r>
          </w:p>
        </w:tc>
        <w:tc>
          <w:tcPr>
            <w:tcW w:w="60" w:type="dxa"/>
            <w:vAlign w:val="bottom"/>
          </w:tcPr>
          <w:p>
            <w:pPr>
              <w:spacing w:after="0"/>
              <w:rPr>
                <w:sz w:val="20"/>
                <w:szCs w:val="20"/>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12,766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10,051</w:t>
            </w:r>
          </w:p>
        </w:tc>
        <w:tc>
          <w:tcPr>
            <w:tcW w:w="60" w:type="dxa"/>
            <w:vAlign w:val="bottom"/>
          </w:tcPr>
          <w:p>
            <w:pPr>
              <w:spacing w:after="0"/>
              <w:rPr>
                <w:sz w:val="20"/>
                <w:szCs w:val="20"/>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914</w:t>
            </w:r>
          </w:p>
        </w:tc>
        <w:tc>
          <w:tcPr>
            <w:tcW w:w="60" w:type="dxa"/>
            <w:vAlign w:val="bottom"/>
          </w:tcPr>
          <w:p>
            <w:pPr>
              <w:spacing w:after="0"/>
              <w:rPr>
                <w:sz w:val="21"/>
                <w:szCs w:val="21"/>
                <w:color w:val="auto"/>
              </w:rPr>
            </w:pPr>
          </w:p>
        </w:tc>
      </w:tr>
      <w:tr>
        <w:trPr>
          <w:trHeight w:val="23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40" w:type="dxa"/>
            <w:vAlign w:val="bottom"/>
          </w:tcPr>
          <w:p>
            <w:pPr>
              <w:spacing w:after="0"/>
              <w:rPr>
                <w:sz w:val="20"/>
                <w:szCs w:val="20"/>
                <w:color w:val="auto"/>
              </w:rPr>
            </w:pP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6.2 %</w:t>
            </w:r>
          </w:p>
        </w:tc>
        <w:tc>
          <w:tcPr>
            <w:tcW w:w="3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8.6 %</w:t>
            </w: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r>
    </w:tbl>
    <w:p>
      <w:pPr>
        <w:spacing w:after="0" w:line="219"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Americas unit sales in 2023 decreased 7.7 million units, or 8.0%, to 87.3 million units. Replacement tire volume decreased 7.3 million units, or 9.1%, primarily due to a decrease in our consumer business, driven by increased competitiveness in the U.S. market, the impact of the Tupelo storm, and lower share in Mexico and Brazil as a result of increased imports. OE tire volume decreased 0.4 million units, or 2.3%, primarily due to our commercial business, driven by reduced industry demand in the U.S.</w:t>
      </w:r>
    </w:p>
    <w:p>
      <w:pPr>
        <w:spacing w:after="0" w:line="7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Net sales in 2023 were $11,993 million, decreasing $773 million, or 6.1%, from $12,766 million in 2022. The decrease in net sales was primarily due to lower tire volume of $705 million, decreased sales in other tire-related businesses of $114 million, primarily due to lower third-party chemical sales, partially offset by higher aviation and retail sales, and the unfavorable impact of the Tupelo storm of $110 million. These decreases were partially offset by improvements in price and product mix of $121 million, driven by price increases, and favorable foreign currency translation of $32 million, primarily related to strengthening of the Mexican peso and the Brazilian real, partially offset by weakening in the Canadian dollar.</w:t>
      </w:r>
    </w:p>
    <w:p>
      <w:pPr>
        <w:spacing w:after="0" w:line="74"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Operating income in 2023 was $749 million, decreasing $345 million, or 31.5%, from $1,094 million in 2022. The decrease in operating income was due to higher conversion costs of $327 million, driven by the effect of decreased tire production on fixed cost absorption and inflation, lower tire volume of $171 million, and a $55 million negative impact as a result of the Tupelo storm. These decreases were partially offset by lower raw material costs of $154 million, higher earnings in other tire-related businesses of $28 million, primarily due to higher aviation sales, partially offset by lower third-party chemical sales, lower SAG of $11 million, and improvements in price and product mix of $6 million. SAG includes incremental savings from rationalization plans of $36 million. Operating income in 2022 includes a gain of $7 million related to insurance recoveries from a plant fire.</w:t>
      </w:r>
    </w:p>
    <w:p>
      <w:pPr>
        <w:spacing w:after="0" w:line="78"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Operating income in 2023 excluded net gains on asset sales of $104 million, primarily related to sale and leaseback transactions, net rationalization charges of $19 million, and accelerated depreciation and asset write-offs of $19 million. Operating income in 2022 excluded net gains on asset sales of $122 million, primarily related to a sale and leaseback transaction and a sale and exit of certain retail locations, and net rationalization charges of $32 million.</w:t>
      </w:r>
    </w:p>
    <w:p>
      <w:pPr>
        <w:spacing w:after="0" w:line="69"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Americas' results are highly dependent upon the United States, which accounted for 83% of Americas' net sales in 2023 and 84% in 2022. Results of operations in the United States are expected to continue to have a significant impact on Americas' future performance.</w:t>
      </w:r>
    </w:p>
    <w:p>
      <w:pPr>
        <w:spacing w:after="0" w:line="1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Middle East and Africa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3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52.7</w:t>
            </w:r>
          </w:p>
        </w:tc>
        <w:tc>
          <w:tcPr>
            <w:tcW w:w="60" w:type="dxa"/>
            <w:vAlign w:val="bottom"/>
          </w:tcPr>
          <w:p>
            <w:pPr>
              <w:spacing w:after="0"/>
              <w:rPr>
                <w:sz w:val="20"/>
                <w:szCs w:val="20"/>
                <w:color w:val="auto"/>
              </w:rPr>
            </w:pPr>
          </w:p>
        </w:tc>
      </w:tr>
      <w:tr>
        <w:trPr>
          <w:trHeight w:val="23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5,645</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5,243</w:t>
            </w:r>
          </w:p>
        </w:tc>
        <w:tc>
          <w:tcPr>
            <w:tcW w:w="60" w:type="dxa"/>
            <w:vAlign w:val="bottom"/>
          </w:tcPr>
          <w:p>
            <w:pPr>
              <w:spacing w:after="0"/>
              <w:rPr>
                <w:sz w:val="20"/>
                <w:szCs w:val="20"/>
                <w:color w:val="auto"/>
              </w:rPr>
            </w:pPr>
          </w:p>
        </w:tc>
      </w:tr>
      <w:tr>
        <w:trPr>
          <w:trHeight w:val="247"/>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239</w:t>
            </w:r>
          </w:p>
        </w:tc>
        <w:tc>
          <w:tcPr>
            <w:tcW w:w="60" w:type="dxa"/>
            <w:vAlign w:val="bottom"/>
          </w:tcPr>
          <w:p>
            <w:pPr>
              <w:spacing w:after="0"/>
              <w:rPr>
                <w:sz w:val="21"/>
                <w:szCs w:val="21"/>
                <w:color w:val="auto"/>
              </w:rPr>
            </w:pP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4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0.3 %</w:t>
            </w:r>
          </w:p>
        </w:tc>
        <w:tc>
          <w:tcPr>
            <w:tcW w:w="3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1.1 %</w:t>
            </w: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r>
    </w:tbl>
    <w:p>
      <w:pPr>
        <w:spacing w:after="0" w:line="21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Europe, Middle East and Africa unit sales in 2023 decreased 5.2 million units, or 9.5%, to 49.9 million units. Replacement tire volume decreased 6.2 million units, or 14.4%, primarily in our consumer business, reflecting the impacts of continued industry declines. OE tire volume increased 1.0 million units, or 7.9%, reflecting stabilization of OE production.</w:t>
      </w:r>
    </w:p>
    <w:p>
      <w:pPr>
        <w:spacing w:after="0" w:line="6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Net sales in 2023 were $5,606 million, decreasing $39 million, or 0.7%, from $5,645 million in 2022. The decrease in net sales was driven by lower tire volume of $458 million and unfavorable foreign currency translation of $97 million, driven by a weaker Turkish lira and South African rand, partially offset by a stronger euro and Polish zloty. These decreases were partially offset by improvements in price and product mix of $501 million, driven by price increases, and higher sales in other tire-related businesses of $14 million, primarily due to growth in Fleet Solutions, partially offset by lower retread and retail sales.</w:t>
      </w:r>
    </w:p>
    <w:p>
      <w:pPr>
        <w:spacing w:after="0" w:line="74"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Operating income in 2023 was $17 million, decreasing $44 million, or 72.1%, from $61 million in 2022. The decrease in operating income was primarily due to higher conversion costs of $261 million, driven by inflation, the effect of decreased tire production on fixed cost absorption and higher energy costs, lower tire volume of $100 million, higher SAG of $42 million, primarily due to inflation and higher consulting costs, higher transportation costs of $29 million, unfavorable foreign currency translation of $18 million, $18 million as a result of the Debica fire, and lower earnings in other tire-related businesses of $6 million, primarily due to lower Fleet Solutions earnings. These decreases were partially offset by improvements in price and product mix of $496 million, which more than offset higher raw material costs of $78 million, and lower research and development costs of $12 million. SAG for 2023 includes incremental savings from rationalization plans of $15 million.</w:t>
      </w:r>
    </w:p>
    <w:p>
      <w:pPr>
        <w:spacing w:after="0" w:line="7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Operating income in 2023 excluded a non-cash goodwill impairment charge of $230 million, net rationalization charges of $409 million, accelerated depreciation of $27 million and recoveries of previously written-off accounts receivable and other assets of $10 million in Russia. Operating income in 2022 excluded net rationalization charges of $92 million and accelerated depreciation and asset write-offs of $20 million.</w:t>
      </w:r>
    </w:p>
    <w:p>
      <w:pPr>
        <w:spacing w:after="0" w:line="69"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EMEA’s results are highly dependent upon Germany, which accounted for 15% of EMEA’s net sales in both 2023 and 2022. Results of operations in Germany are expected to continue to have a significant impact on EMEA’s future performance.</w:t>
      </w:r>
    </w:p>
    <w:p>
      <w:pPr>
        <w:spacing w:after="0" w:line="1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 Pacific</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3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30.7</w:t>
            </w:r>
          </w:p>
        </w:tc>
        <w:tc>
          <w:tcPr>
            <w:tcW w:w="60" w:type="dxa"/>
            <w:vAlign w:val="bottom"/>
          </w:tcPr>
          <w:p>
            <w:pPr>
              <w:spacing w:after="0"/>
              <w:rPr>
                <w:sz w:val="20"/>
                <w:szCs w:val="20"/>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2,394</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2,184</w:t>
            </w:r>
          </w:p>
        </w:tc>
        <w:tc>
          <w:tcPr>
            <w:tcW w:w="60" w:type="dxa"/>
            <w:vAlign w:val="bottom"/>
          </w:tcPr>
          <w:p>
            <w:pPr>
              <w:spacing w:after="0"/>
              <w:rPr>
                <w:sz w:val="20"/>
                <w:szCs w:val="20"/>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tcPr>
          <w:p>
            <w:pPr>
              <w:spacing w:after="0"/>
              <w:rPr>
                <w:sz w:val="21"/>
                <w:szCs w:val="21"/>
                <w:color w:val="auto"/>
              </w:rPr>
            </w:pPr>
          </w:p>
        </w:tc>
      </w:tr>
      <w:tr>
        <w:trPr>
          <w:trHeight w:val="23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40" w:type="dxa"/>
            <w:vAlign w:val="bottom"/>
          </w:tcPr>
          <w:p>
            <w:pPr>
              <w:spacing w:after="0"/>
              <w:rPr>
                <w:sz w:val="20"/>
                <w:szCs w:val="20"/>
                <w:color w:val="auto"/>
              </w:rPr>
            </w:pP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8.2 %</w:t>
            </w:r>
          </w:p>
        </w:tc>
        <w:tc>
          <w:tcPr>
            <w:tcW w:w="3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5.1 %</w:t>
            </w: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r>
    </w:tbl>
    <w:p>
      <w:pPr>
        <w:spacing w:after="0" w:line="21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Asia Pacific unit sales in 2023 increased 1.7 million units, or 4.9%, to 36.1 million units. OE tire volume increased 1.9 million units, or 13.8%, primarily driven by new consumer fitments in China and India. Replacement tire volume decreased 0.2 million units, or 1.2%, primarily in our consumer business, driven by decreased demand in most of our markets, partially offset by recovery in China.</w:t>
      </w:r>
    </w:p>
    <w:p>
      <w:pPr>
        <w:spacing w:after="0" w:line="6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Net sales in 2023 were $2,467 million, increasing $73 million, or 3.0%, from $2,394 million in 2022. Net sales increased due to higher tire volume of $110 million and improvements in price and product mix of $74 million, driven by price increases. These increases were partially offset by unfavorable foreign currency translation of $104 million, primarily related to the strengthening of the U.S. dollar.</w:t>
      </w:r>
    </w:p>
    <w:p>
      <w:pPr>
        <w:spacing w:after="0" w:line="6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Operating income in 2023 was $202 million, increasing $81 million, or 66.9%, from $121 million in 2022. The increase in operating income was primarily due to improvements in price and product mix of $77 million and higher tire volume of $21 million, partially offset by higher raw material costs of $9 million and unfavorable foreign currency translation of $9 million related to the strengthening of the U.S. dollar.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in 2023 excluded net rationalization charges of $25 million.</w:t>
      </w:r>
    </w:p>
    <w:p>
      <w:pPr>
        <w:spacing w:after="0" w:line="117"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Asia Pacific’s results are highly dependent upon China and Australia. China accounted for 33% and 29% of Asia Pacific’s net sales in 2023 and 2022, respectively. Australia accounted for 21% and 24% of Asia Pacific’s net sales in 2023 and 2022, respectively. Results of operations in China and Australia are expected to continue to have a significant impact on Asia Pacific's future performance.</w:t>
      </w: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2023, we had $902 million of Cash and Cash Equivalents, compared to $1,227 million at December 31, 2022. The decrease in cash and cash equivalents of $325 million was primarily due to capital expenditures of $1,050 million, net debt repayment of $343 million and loans to TireHub, LLC of $79 million, partially offset by cash provided by operating activities of $1,032 million and cash proceeds from asset sales of $115 million, primarily related to the sale and leaseback transactions in Americas. Cash provided by operating activities reflects the net loss for the period of $687 million, which includes non-cash charges for depreciation and amortization of $1,001 million, non-cash rationalization charges of $502 million, a non-cash goodwill impairment charge of $230 million and a non-cash gain on asset sales of $104 million, primarily related to the Americas sale and leaseback transactions. Operating activities also include cash provided by working capital of $299 million, partially offset by rationalization payments of $99 million and pension contributions of $54 million.</w:t>
      </w:r>
    </w:p>
    <w:p>
      <w:pPr>
        <w:spacing w:after="0" w:line="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At December 31, 2023 and 2022, we had $4,247 million and $4,035 million, respectively, of unused availability under our various credit agreements. The table below provides unused availability by our significant credit facilities as of December 31:</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lien revolving credit facility</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2,241</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2,747</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revolving credit facility</w:t>
            </w:r>
          </w:p>
        </w:tc>
        <w:tc>
          <w:tcPr>
            <w:tcW w:w="38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884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480</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657</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516</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38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3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349</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292</w:t>
            </w:r>
          </w:p>
        </w:tc>
      </w:tr>
      <w:tr>
        <w:trPr>
          <w:trHeight w:val="238"/>
        </w:trPr>
        <w:tc>
          <w:tcPr>
            <w:tcW w:w="77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4,247</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4,035</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-187960</wp:posOffset>
            </wp:positionV>
            <wp:extent cx="1200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expect our 2024 cash flow needs to include capital expenditures of $1.2 billion to $1.3 billion. We also expect interest expense to be $520 million to $540 million; rationalization payments to be approximately $300 million; income tax payments to be approximately $200 million, excluding one-time items; and contributions to our funded pension plans to be $25 million to $50 million. We expect working capital to be flat as compared to 2023.</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actively monitor our liquidity and intend to operate our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Serbian and Argentinian subsidiaries, which are subject to such requirements or limitations to be integral to our liquidity or our ability to service our debt and operational requirements. At December 31, 2023, approximately $875 million of net assets, including approximately $194 million of cash and cash equivalents, were subject to such requirements. The requirements we must comply with to transfer funds out of China, South Africa, Serbia and Argentina have not adversely impacted our ability to make transfers out of those countries.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Position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significant concentrations of cash and cash equivalents held by our international subsidiaries included the following amounts:</w:t>
      </w:r>
    </w:p>
    <w:p>
      <w:pPr>
        <w:spacing w:after="0" w:line="117"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$297 million or 33% in EMEA, primarily France, England and Poland ($361 million or 29% at December 31, 2022),</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$244 million or 27% in Asia Pacific, primarily China, India and Australia ($301 million or 25% at December 31, 2022),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$237 million or 26% in Americas, primarily Brazil, Mexico and Argentina ($316 million or 26% at December 31, 2022).</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default probabilities,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Net cash provided by operating activities was $1,032 million in 2023, increasing $511 million compared to net cash provided by operating activities of $521 million in 2022.</w:t>
      </w:r>
    </w:p>
    <w:p>
      <w:pPr>
        <w:spacing w:after="0" w:line="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increase in net cash provided by operating activities reflects a net increase in cash provided by working capital of $988 million, partially offset by lower earnings in our SBUs of $308 million and higher cash taxes of $26 million.</w:t>
      </w:r>
    </w:p>
    <w:p>
      <w:pPr>
        <w:spacing w:after="0" w:line="5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net increase in cash provided by working capital reflects an increase in cash provided by Inventory of $1,950 million and Accounts Receivable of $274 million and cash used for Accounts Payable - Trade of $1,236 million. These changes were driven by the decision to reduce inventory during 2023 to address industry demand trends.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for investing activities was $1,035 million in 2023, compared to $914 million in 2022. The $121 million increase in cash used for investing activities primarily relates to a net increase in loans to TireHub of $63 million and a net decrease in cash received from asset sale transactions of $45 million. Capital expenditures were $1,050 million in 2023, decreasing $11 million, compared to $1,061 million in 2022. Beyond expenditures required to sustain our facilities, capital expenditures in 2023 and 2022 primarily related to the modernization and expansion of tire manufacturing facilities around the world.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Net cash used for financing activities was $333 million in 2023, compared to cash provided by financing activities of $575 million in 2022. The $908 million increase in cash used by financing activities reflects lower net borrowings due to utilization of cash flows from operations and cash on hand at the beginning of 2023 to fund increased cash for investing activities and to reduce our overall debt balance.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aggregate, we had total credit arrangements of $11,743 million available at December 31, 2023, of which $4,247 million were unused, compared to $11,806 million available at December 31, 2022, of which $4,035 million were unused. At December 31, 2023, we had long term credit arrangements totaling $10,983 million, of which $3,867 million were unused, compared to $10,925 million and $3,566 million, respectively, at December 31, 2022. At December 31, 2023, we had short term committed and uncommitted credit arrangements totaling $760 million, of which $380 million were unused, compared to $881 million and $469 million, respectively, at December 31, 2022. The continued availability of the short term uncommitted arrangements is at the discretion of the relevant lender and may be terminated at any time.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Outstanding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we had $5,571 million of outstanding notes, compared to $5,560 million at December 31,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2026</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first lien revolving credit facility matures on June 8, 2026 and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 Based on our current liquidity, amounts drawn under this facility bear interest at SOFR plus 125 basis points. Undrawn amounts under the facility are subject to an annual commitment fee of 25 basis points.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December 31, 2023, our borrowing base, and therefore our availability, under this facility was $123 million below the facility's stated amount of $2.75 billion.</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At December 31, 2023, we had $385 million of borrowings and $1 million of letters of credit issued under the revolving credit facility. At December 31, 2022, we had no borrowings and $3 million of letters of credit issued under the revolving credit facility.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2023, we had no borrowings and no letters of credit outstanding under the European revolving credit facility. At December 31, 2022, there were no borrowings outstanding under the German tranche, $374 million (€350 million) of borrowings outstanding under the all-borrower tranche and no letters of credit outstanding under the European revolving credit facility.</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Each of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under the first lien facility and December 31, 2021 under the European facility.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20, 2022 through October 18, 2023, the designated maximum amount of the facility was €300 million. For the period from October 19, 2023 through October 16, 2024, the designated maximum amount of the facility will remain €300 million.</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16, 2024.</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2023, the amounts available and utilized under this program totaled $244 million (€221 million). At December 31, 2022, the amounts available and utilized under this program totaled $267 million (€250 million). The program does not qualify for sale accounting, and accordingly, these amounts are included in Long Term Debt and Finance Leases.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December 31, 2023, the gross amount of receivables sold was $693 million, compared to $744 million at December 31, 2022.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Letters of Credit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we had $223 million in letters of credit issued under bilateral letter of credit agreements and other foreign credit facilities.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payment processing agreements with several financial institutions. Under these agreements, the financial institutions act as our paying agents with respect to accounts payable due to our suppliers. These agreements also allow our suppliers to sell their receivables to the financial institutions at the sole discretion of both the supplier and the financial institution on terms that are negotiated between them. We are not always notified when our suppliers sell receivables under these programs. Our obligations to our suppliers, including the amounts due and scheduled payment dates, are not impacted by our suppliers' decisions to sell their receivables under these programs. Agreements for such supplier financing programs totaled up to $892 million and $920 million at December 31, 2023 and 2022, respectively. The amounts confirmed to the financial institutions were $580 million and $710 million at December 31, 2023 and December 31, 2022, respectively, and are included in Accounts Payable — Trade in our Consolidated Balance Sheets. All activity related to these obligations is presented within operating activities on the Consolidated Statements of 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Further Information</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a further description of the terms of our outstanding notes, first lien revolving credit facility, European revolving credit facility and pan-European accounts receivable securitization facility, refer to Note to the Consolidated Financial Statements No. 16, Financing Arrangements and Derivative Financial Instruments.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Covenant Compliance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first lien revolving credit facility and some of the indentures governing our notes contain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These covenants are subject to significant exceptions and qualifications. Our first lien revolving credit facility and the indentures governing our notes also have customary defaults, including cross-defaults to material indebtedness of Goodyear and its subsidiaries.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an additional financial covenant in our first lien revolving credit facility that is currently not applicable. We become subject to that financial covenant when the aggregate amount of our Parent Company (The Goodyear Tire &amp; Rubber Company) and guarantor subsidiaries cash and cash equivalents (“Available Cash”) plus our availability under our first lien revolving credit facility is less than $275 million. If this were to occur, our ratio of EBITDA to Consolidated Interest Expense may not be less than 2.0 to 1.0 for the most recent period of four consecutive fiscal quarters. As of December 31, 2023, our unused availability under this facility of $2,241 million plus our Available Cash of $121 million totaled $2,362 million, which is in excess of $275 million.</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European revolving credit facility contains non-financial covenants similar to the non-financial covenants in our first lien revolving credit facility that are described above, similar non-financial covenants specifically applicable to GEBV and its subsidiaries,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December 31, 2023, we were in compliance with this financial covenant.</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Certain of our senior note indentures have substantially similar limitations on incurring debt and making restricted payments. Our credit facilities and indentures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Covenants could change based upon a refinancing or amendment of an existing facility, or additional covenants may be added in connection with the incurrence of new debt.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were in compliance with the currently applicable material covenants imposed by our principal credit facilities and indentures.</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terms “Available Cash,” “EBITDA,” “Consolidated Interest Expense,” “Consolidated Net GEBV Indebtedness” and “Consolidated GEBV EBITDA” have the meanings given them in the respective credit facilities.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Future Financings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future liquidity requirements may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Common Stock Repurchase Program</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Under our primary credit facilities and some of our note indentures, we are permitted to pay dividends on and repurchase our capital stock (which constitute restricted payments) as long as no default will have occurred and be continuing, additional indebtedness can be incurred under the credit facilities or indentures following the payment, and certain financial tests are satisfied.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cash dividends were paid on our common stock in 2023, 2022 or 2021.</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2023, 2022 and 2021, we did not repurchase any shares from our employees.</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restrictions imposed by our credit facilities and indentures are not expected to affect our ability to pay dividends or repurchase our capital stock in the future.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Dispositions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restrictions on asset sales imposed by our material indebtedness have not affected our ability to divest non-core businesses. We may undertake additional asset sales and sale and leaseback transactions in the future. The restrictions imposed by our material indebtedness may require us to seek waivers or amendments of covenants or alternative sources of financing to proceed with future transactions. We cannot assure you that such waivers, amendments or alternative financing could be obtained, or if obtained, would be on terms acceptable to us.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subsidiaries, which are listed on Exhibit 22.1 to this Annual Report on Form 10-K and are generally holding or operating companies, have guaranteed our obligations under the $800 million outstanding principal amount of 9.5% senior notes due 2025, the $900 million outstanding principal amount of 5% senior notes due 2026, the $700 million outstanding principal amount of 4.875% senior notes due 2027, the $850 million outstanding principal amount of 5% senior notes due 2029, the $550 million outstanding principal amount of 5.25% senior notes due April 2031, the $600 million outstanding principal amount of 5.25% senior notes due July 2031 and the $450 million outstanding principal amount of 5.625% senior notes due 2033 (collectively, the “Notes”).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our first lien revolving credit facility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due to required foreign government and/or currency exchange board approvals or limitations in credit agreements or other debt instruments of those subsidiaries.</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69"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insolvent or rendered insolvent by reason of the incurrence;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engaged in a business or transaction for which its remaining assets constituted unreasonably small capital; or</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intended to incur, or believed (or reasonably should have believed) that it would incur, debts beyond its ability to pay as those debts matured.</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74"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intended to defeat, hinder, delay, defraud or prejudice creditors or others;</w:t>
      </w:r>
    </w:p>
    <w:p>
      <w:pPr>
        <w:spacing w:after="0" w:line="116" w:lineRule="exact"/>
        <w:rPr>
          <w:rFonts w:ascii="Times New Roman" w:cs="Times New Roman" w:eastAsia="Times New Roman" w:hAnsi="Times New Roman"/>
          <w:sz w:val="18"/>
          <w:szCs w:val="18"/>
          <w:color w:val="auto"/>
        </w:rPr>
      </w:pPr>
    </w:p>
    <w:p>
      <w:pPr>
        <w:jc w:val="both"/>
        <w:ind w:left="760" w:hanging="378"/>
        <w:spacing w:after="0" w:line="26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3"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69"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court canceled a Guarantee, the holders of Notes would no longer have a claim against that Subsidiary Guarantor or its assets.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Each Subsidiary Guarantor is a consolidated subsidiary of the Parent Company at the date of the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rPr>
              <w:t>Summarized Balance Sheet</w:t>
            </w:r>
          </w:p>
        </w:tc>
      </w:tr>
      <w:tr>
        <w:trPr>
          <w:trHeight w:val="131"/>
        </w:trPr>
        <w:tc>
          <w:tcPr>
            <w:tcW w:w="7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40" w:type="dxa"/>
            <w:vAlign w:val="bottom"/>
          </w:tcPr>
          <w:p>
            <w:pPr>
              <w:jc w:val="center"/>
              <w:ind w:right="43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6"/>
        </w:trPr>
        <w:tc>
          <w:tcPr>
            <w:tcW w:w="798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Total Current Assets</w:t>
            </w:r>
            <w:r>
              <w:rPr>
                <w:rFonts w:ascii="Times New Roman" w:cs="Times New Roman" w:eastAsia="Times New Roman" w:hAnsi="Times New Roman"/>
                <w:sz w:val="24"/>
                <w:szCs w:val="24"/>
                <w:color w:val="auto"/>
                <w:vertAlign w:val="superscript"/>
              </w:rPr>
              <w:t>(1)</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8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6,276</w:t>
            </w:r>
          </w:p>
        </w:tc>
      </w:tr>
      <w:tr>
        <w:trPr>
          <w:trHeight w:val="238"/>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420" w:type="dxa"/>
            <w:vAlign w:val="bottom"/>
          </w:tcPr>
          <w:p>
            <w:pPr>
              <w:spacing w:after="0"/>
              <w:rPr>
                <w:sz w:val="20"/>
                <w:szCs w:val="20"/>
                <w:color w:val="auto"/>
              </w:rPr>
            </w:pPr>
          </w:p>
        </w:tc>
        <w:tc>
          <w:tcPr>
            <w:tcW w:w="28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8,669</w:t>
            </w:r>
          </w:p>
        </w:tc>
      </w:tr>
      <w:tr>
        <w:trPr>
          <w:trHeight w:val="247"/>
        </w:trPr>
        <w:tc>
          <w:tcPr>
            <w:tcW w:w="79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840" w:type="dxa"/>
            <w:vAlign w:val="bottom"/>
            <w:shd w:val="clear" w:color="auto" w:fill="CFF0FC"/>
          </w:tcPr>
          <w:p>
            <w:pPr>
              <w:spacing w:after="0"/>
              <w:rPr>
                <w:sz w:val="21"/>
                <w:szCs w:val="21"/>
                <w:color w:val="auto"/>
              </w:rPr>
            </w:pPr>
          </w:p>
        </w:tc>
      </w:tr>
      <w:tr>
        <w:trPr>
          <w:trHeight w:val="238"/>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8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3,615</w:t>
            </w:r>
          </w:p>
        </w:tc>
      </w:tr>
      <w:tr>
        <w:trPr>
          <w:trHeight w:val="247"/>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420" w:type="dxa"/>
            <w:vAlign w:val="bottom"/>
            <w:shd w:val="clear" w:color="auto" w:fill="CFF0FC"/>
          </w:tcPr>
          <w:p>
            <w:pPr>
              <w:spacing w:after="0"/>
              <w:rPr>
                <w:sz w:val="21"/>
                <w:szCs w:val="21"/>
                <w:color w:val="auto"/>
              </w:rPr>
            </w:pPr>
          </w:p>
        </w:tc>
        <w:tc>
          <w:tcPr>
            <w:tcW w:w="28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8,675</w:t>
            </w:r>
          </w:p>
        </w:tc>
      </w:tr>
    </w:tbl>
    <w:p>
      <w:pPr>
        <w:spacing w:after="0" w:line="90" w:lineRule="exact"/>
        <w:rPr>
          <w:sz w:val="20"/>
          <w:szCs w:val="20"/>
          <w:color w:val="auto"/>
        </w:rPr>
      </w:pPr>
    </w:p>
    <w:p>
      <w:pPr>
        <w:ind w:left="760" w:hanging="75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receivables due from Non-Guarantor Subsidiaries of $2,214 million as of December 31, 2023.</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Summarized Statement of Operations</w:t>
            </w:r>
          </w:p>
        </w:tc>
      </w:tr>
      <w:tr>
        <w:trPr>
          <w:trHeight w:val="131"/>
        </w:trPr>
        <w:tc>
          <w:tcPr>
            <w:tcW w:w="8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0" w:type="dxa"/>
            <w:vAlign w:val="bottom"/>
          </w:tcPr>
          <w:p>
            <w:pPr>
              <w:jc w:val="center"/>
              <w:ind w:right="275"/>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11,166</w:t>
            </w:r>
          </w:p>
        </w:tc>
      </w:tr>
      <w:tr>
        <w:trPr>
          <w:trHeight w:val="23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3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9,355</w:t>
            </w:r>
          </w:p>
        </w:tc>
      </w:tr>
      <w:tr>
        <w:trPr>
          <w:trHeight w:val="247"/>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40" w:type="dxa"/>
            <w:vAlign w:val="bottom"/>
            <w:shd w:val="clear" w:color="auto" w:fill="CFF0FC"/>
          </w:tcPr>
          <w:p>
            <w:pPr>
              <w:spacing w:after="0"/>
              <w:rPr>
                <w:sz w:val="21"/>
                <w:szCs w:val="21"/>
                <w:color w:val="auto"/>
              </w:rPr>
            </w:pPr>
          </w:p>
        </w:tc>
        <w:tc>
          <w:tcPr>
            <w:tcW w:w="3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1,524</w:t>
            </w:r>
          </w:p>
        </w:tc>
      </w:tr>
      <w:tr>
        <w:trPr>
          <w:trHeight w:val="23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w:t>
            </w:r>
          </w:p>
        </w:tc>
        <w:tc>
          <w:tcPr>
            <w:tcW w:w="240" w:type="dxa"/>
            <w:vAlign w:val="bottom"/>
          </w:tcPr>
          <w:p>
            <w:pPr>
              <w:spacing w:after="0"/>
              <w:rPr>
                <w:sz w:val="20"/>
                <w:szCs w:val="20"/>
                <w:color w:val="auto"/>
              </w:rPr>
            </w:pPr>
          </w:p>
        </w:tc>
        <w:tc>
          <w:tcPr>
            <w:tcW w:w="3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67</w:t>
            </w:r>
          </w:p>
        </w:tc>
      </w:tr>
      <w:tr>
        <w:trPr>
          <w:trHeight w:val="247"/>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21"/>
                <w:szCs w:val="21"/>
                <w:color w:val="auto"/>
              </w:rPr>
            </w:pPr>
          </w:p>
        </w:tc>
        <w:tc>
          <w:tcPr>
            <w:tcW w:w="3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418</w:t>
            </w:r>
          </w:p>
        </w:tc>
      </w:tr>
      <w:tr>
        <w:trPr>
          <w:trHeight w:val="23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40"/>
        </w:trPr>
        <w:tc>
          <w:tcPr>
            <w:tcW w:w="8000" w:type="dxa"/>
            <w:vAlign w:val="bottom"/>
            <w:shd w:val="clear" w:color="auto" w:fill="CFF0FC"/>
          </w:tcPr>
          <w:p>
            <w:pPr>
              <w:ind w:left="20"/>
              <w:spacing w:after="0" w:line="241" w:lineRule="exact"/>
              <w:rPr>
                <w:sz w:val="20"/>
                <w:szCs w:val="20"/>
                <w:color w:val="auto"/>
              </w:rPr>
            </w:pPr>
            <w:r>
              <w:rPr>
                <w:rFonts w:ascii="Times New Roman" w:cs="Times New Roman" w:eastAsia="Times New Roman" w:hAnsi="Times New Roman"/>
                <w:sz w:val="18"/>
                <w:szCs w:val="18"/>
                <w:color w:val="auto"/>
              </w:rPr>
              <w:t>Loss before Income Taxes</w:t>
            </w:r>
            <w:r>
              <w:rPr>
                <w:rFonts w:ascii="Times New Roman" w:cs="Times New Roman" w:eastAsia="Times New Roman" w:hAnsi="Times New Roman"/>
                <w:sz w:val="24"/>
                <w:szCs w:val="24"/>
                <w:color w:val="auto"/>
                <w:vertAlign w:val="superscript"/>
              </w:rPr>
              <w:t>(2)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43"/>
        </w:trPr>
        <w:tc>
          <w:tcPr>
            <w:tcW w:w="8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243"/>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Goodyear 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bl>
    <w:p>
      <w:pPr>
        <w:spacing w:after="0" w:line="98" w:lineRule="exact"/>
        <w:rPr>
          <w:sz w:val="20"/>
          <w:szCs w:val="20"/>
          <w:color w:val="auto"/>
        </w:rPr>
      </w:pPr>
    </w:p>
    <w:p>
      <w:pPr>
        <w:ind w:left="760" w:hanging="752"/>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intercompany transactions with Non-Guarantor Subsidiaries of $711 million for the year ended December 31, 2023, primarily from royalties, dividends, interest and intercompany product sales.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contractual obligations and commitments to make future payments as of December 31, 2023: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Beyond</w:t>
            </w:r>
          </w:p>
        </w:tc>
      </w:tr>
      <w:tr>
        <w:trPr>
          <w:trHeight w:val="187"/>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2028</w:t>
            </w:r>
          </w:p>
        </w:tc>
      </w:tr>
      <w:tr>
        <w:trPr>
          <w:trHeight w:val="236"/>
        </w:trPr>
        <w:tc>
          <w:tcPr>
            <w:tcW w:w="432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7,381</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784</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1,081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1,296</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1,072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694</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2,454</w:t>
            </w:r>
          </w:p>
        </w:tc>
      </w:tr>
      <w:tr>
        <w:trPr>
          <w:trHeight w:val="243"/>
        </w:trPr>
        <w:tc>
          <w:tcPr>
            <w:tcW w:w="43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43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Interest Payments</w:t>
            </w:r>
            <w:r>
              <w:rPr>
                <w:rFonts w:ascii="Times New Roman" w:cs="Times New Roman" w:eastAsia="Times New Roman" w:hAnsi="Times New Roman"/>
                <w:sz w:val="24"/>
                <w:szCs w:val="24"/>
                <w:color w:val="auto"/>
                <w:vertAlign w:val="superscript"/>
              </w:rPr>
              <w:t>(3)</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2,051</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710</w:t>
            </w:r>
          </w:p>
        </w:tc>
      </w:tr>
      <w:tr>
        <w:trPr>
          <w:trHeight w:val="243"/>
        </w:trPr>
        <w:tc>
          <w:tcPr>
            <w:tcW w:w="43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4"/>
                <w:szCs w:val="24"/>
                <w:color w:val="auto"/>
                <w:vertAlign w:val="superscript"/>
              </w:rPr>
              <w:t>(4)</w:t>
            </w: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413</w:t>
            </w:r>
          </w:p>
        </w:tc>
      </w:tr>
      <w:tr>
        <w:trPr>
          <w:trHeight w:val="243"/>
        </w:trPr>
        <w:tc>
          <w:tcPr>
            <w:tcW w:w="43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Pension Benefits</w:t>
            </w:r>
            <w:r>
              <w:rPr>
                <w:rFonts w:ascii="Times New Roman" w:cs="Times New Roman" w:eastAsia="Times New Roman" w:hAnsi="Times New Roman"/>
                <w:sz w:val="24"/>
                <w:szCs w:val="24"/>
                <w:color w:val="auto"/>
                <w:vertAlign w:val="superscript"/>
              </w:rPr>
              <w:t>(5)</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43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 Postretirement Benefits</w:t>
            </w:r>
            <w:r>
              <w:rPr>
                <w:rFonts w:ascii="Times New Roman" w:cs="Times New Roman" w:eastAsia="Times New Roman" w:hAnsi="Times New Roman"/>
                <w:sz w:val="24"/>
                <w:szCs w:val="24"/>
                <w:color w:val="auto"/>
                <w:vertAlign w:val="superscript"/>
              </w:rPr>
              <w:t>(6)</w:t>
            </w: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43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Workers’ Compensation</w:t>
            </w:r>
            <w:r>
              <w:rPr>
                <w:rFonts w:ascii="Times New Roman" w:cs="Times New Roman" w:eastAsia="Times New Roman" w:hAnsi="Times New Roman"/>
                <w:sz w:val="24"/>
                <w:szCs w:val="24"/>
                <w:color w:val="auto"/>
                <w:vertAlign w:val="superscript"/>
              </w:rPr>
              <w:t>(7)</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121</w:t>
            </w:r>
          </w:p>
        </w:tc>
      </w:tr>
      <w:tr>
        <w:trPr>
          <w:trHeight w:val="243"/>
        </w:trPr>
        <w:tc>
          <w:tcPr>
            <w:tcW w:w="43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Binding Commitments</w:t>
            </w:r>
            <w:r>
              <w:rPr>
                <w:rFonts w:ascii="Times New Roman" w:cs="Times New Roman" w:eastAsia="Times New Roman" w:hAnsi="Times New Roman"/>
                <w:sz w:val="24"/>
                <w:szCs w:val="24"/>
                <w:color w:val="auto"/>
                <w:vertAlign w:val="superscript"/>
              </w:rPr>
              <w:t>(8)</w:t>
            </w: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2,789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1,641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4320" w:type="dxa"/>
            <w:vAlign w:val="bottom"/>
            <w:tcBorders>
              <w:bottom w:val="single" w:sz="8" w:color="CFF0FC"/>
            </w:tcBorders>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Uncertain Income Tax Positions</w:t>
            </w:r>
            <w:r>
              <w:rPr>
                <w:rFonts w:ascii="Times New Roman" w:cs="Times New Roman" w:eastAsia="Times New Roman" w:hAnsi="Times New Roman"/>
                <w:sz w:val="24"/>
                <w:szCs w:val="24"/>
                <w:color w:val="auto"/>
                <w:vertAlign w:val="superscript"/>
              </w:rPr>
              <w:t>(9)</w:t>
            </w:r>
          </w:p>
        </w:tc>
        <w:tc>
          <w:tcPr>
            <w:tcW w:w="1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14,627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3,242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2,241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2,144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1,688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1,221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4,091</w:t>
            </w:r>
          </w:p>
        </w:tc>
      </w:tr>
      <w:tr>
        <w:trPr>
          <w:trHeight w:val="20"/>
        </w:trPr>
        <w:tc>
          <w:tcPr>
            <w:tcW w:w="4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3318510</wp:posOffset>
            </wp:positionH>
            <wp:positionV relativeFrom="paragraph">
              <wp:posOffset>-187960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-187960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-187960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-187960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-187960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-187960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83" w:lineRule="exact"/>
        <w:rPr>
          <w:sz w:val="20"/>
          <w:szCs w:val="20"/>
          <w:color w:val="auto"/>
        </w:rPr>
      </w:pPr>
    </w:p>
    <w:p>
      <w:pPr>
        <w:ind w:left="760" w:right="20" w:hanging="752"/>
        <w:spacing w:after="0" w:line="260"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obligations include Notes Payable and Overdrafts, and excludes the impact of deferred financing fees, unamortized discounts, and a fair value step-up related to the Cooper Tire acquisition.</w:t>
      </w:r>
    </w:p>
    <w:p>
      <w:pPr>
        <w:spacing w:after="0" w:line="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lease payments for finance lease obligations are $755 million.</w:t>
      </w:r>
    </w:p>
    <w:p>
      <w:pPr>
        <w:spacing w:after="0" w:line="8" w:lineRule="exact"/>
        <w:rPr>
          <w:rFonts w:ascii="Times New Roman" w:cs="Times New Roman" w:eastAsia="Times New Roman" w:hAnsi="Times New Roman"/>
          <w:sz w:val="18"/>
          <w:szCs w:val="18"/>
          <w:color w:val="auto"/>
        </w:rPr>
      </w:pPr>
    </w:p>
    <w:p>
      <w:pPr>
        <w:jc w:val="both"/>
        <w:ind w:left="760" w:hanging="752"/>
        <w:spacing w:after="0" w:line="250"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future interest payments related to our existing debt obligations and finance leases based on fixed and variable interest rates specified in the associated debt and lease agreements. The amounts provided relate only to existing debt obligations and do not assume the refinancing or replacement of such debt or future changes in variable interest rates.</w:t>
      </w:r>
    </w:p>
    <w:p>
      <w:pPr>
        <w:jc w:val="both"/>
        <w:ind w:left="760" w:right="20" w:hanging="752"/>
        <w:spacing w:after="0" w:line="250"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obligations have not been reduced by minimum sublease rentals of $8 million, $8 million, $5 million, $3 million, $2 million and $3 million in each of the periods above, respectively, for a total of $29 million. Payments, net of minimum sublease rentals, total $1,305 million. The present value of the net operating lease payments, including sublease rentals, is $1,001 million. The operating leases relate to, among other things, real estate, vehicles, data processing equipment and miscellaneous other assets. No asset is leased from any related party.</w:t>
      </w:r>
    </w:p>
    <w:p>
      <w:pPr>
        <w:jc w:val="both"/>
        <w:ind w:left="760" w:hanging="752"/>
        <w:spacing w:after="0" w:line="255"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related to pension benefits is actuarially determined and is reflective of obligations as of December 31, 2023. Although subject to change, the amounts set forth in the table represent the mid-point of the range of our expected contributions for funded U.S. and non-U.S. pension plans, plus expected cash funding of direct participant payments to our U.S. and non-U.S. pension plans.</w:t>
      </w:r>
    </w:p>
    <w:p>
      <w:pPr>
        <w:spacing w:after="0" w:line="76" w:lineRule="exact"/>
        <w:rPr>
          <w:rFonts w:ascii="Times New Roman" w:cs="Times New Roman" w:eastAsia="Times New Roman" w:hAnsi="Times New Roman"/>
          <w:sz w:val="18"/>
          <w:szCs w:val="18"/>
          <w:color w:val="auto"/>
        </w:rPr>
      </w:pPr>
    </w:p>
    <w:p>
      <w:pPr>
        <w:jc w:val="both"/>
        <w:ind w:left="7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significant contributions to fully fund our U.S. pension plans in 2013 and 2014. We have no minimum funding requirements for our funded U.S. pension plans under current ERISA law or the provisions of our USW collective bargaining agreement, including a provision which requires us to maintain an annual ERISA funded status for the Goodyear hourly U.S. pension plan of at least 97%.</w:t>
      </w:r>
    </w:p>
    <w:p>
      <w:pPr>
        <w:spacing w:after="0" w:line="69" w:lineRule="exact"/>
        <w:rPr>
          <w:rFonts w:ascii="Times New Roman" w:cs="Times New Roman" w:eastAsia="Times New Roman" w:hAnsi="Times New Roman"/>
          <w:sz w:val="18"/>
          <w:szCs w:val="18"/>
          <w:color w:val="auto"/>
        </w:rPr>
      </w:pPr>
    </w:p>
    <w:p>
      <w:pPr>
        <w:jc w:val="both"/>
        <w:ind w:left="7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U.S. pension contributions will be affected by our ability to offset changes in future interest rates with returns from our asset portfolios and any changes to ERISA law. For further information on the U.S. pension investment strategy, refer to Note to the Consolidated Financial Statements No. 18, Pension, Other Postretirement Benefits and Savings Plans.</w:t>
      </w:r>
    </w:p>
    <w:p>
      <w:pPr>
        <w:spacing w:after="0" w:line="69"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non-U.S. contributions are affected by factors such as:</w:t>
      </w:r>
    </w:p>
    <w:p>
      <w:pPr>
        <w:spacing w:after="0" w:line="116"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interest rate levels,</w:t>
      </w:r>
    </w:p>
    <w:p>
      <w:pPr>
        <w:spacing w:after="0" w:line="116"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asset returns, and</w:t>
      </w:r>
    </w:p>
    <w:p>
      <w:pPr>
        <w:spacing w:after="0" w:line="116"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contributions in excess of the minimum requirements could impact the amount and timing of future contributions.</w:t>
      </w:r>
    </w:p>
    <w:p>
      <w:pPr>
        <w:spacing w:after="0" w:line="116" w:lineRule="exact"/>
        <w:rPr>
          <w:rFonts w:ascii="Times New Roman" w:cs="Times New Roman" w:eastAsia="Times New Roman" w:hAnsi="Times New Roman"/>
          <w:sz w:val="18"/>
          <w:szCs w:val="18"/>
          <w:color w:val="auto"/>
        </w:rPr>
      </w:pPr>
    </w:p>
    <w:p>
      <w:pPr>
        <w:jc w:val="both"/>
        <w:ind w:left="760" w:hanging="752"/>
        <w:spacing w:after="0" w:line="257"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presented above are expected payments for the next 10 years. The payments for other postretirement benefits reflect the estimated benefit payments of the plans using the provisions currently in effect. Under the relevant summary plan descriptions or plan documents, we have the right to modify or terminate the plans. The obligation related to other postretirement benefits is actuarially determined on an annual basis.</w:t>
      </w:r>
    </w:p>
    <w:p>
      <w:pPr>
        <w:ind w:left="760" w:hanging="752"/>
        <w:spacing w:after="0" w:line="250"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for workers’ compensation obligations are based upon recent historical payment patterns on claims. The present value of anticipated claims payments for workers’ compensation is $167 million.</w:t>
      </w:r>
    </w:p>
    <w:p>
      <w:pPr>
        <w:jc w:val="both"/>
        <w:ind w:left="760" w:hanging="752"/>
        <w:spacing w:after="0" w:line="255"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commitments are for raw materials, capital expenditures, utilities, and various other types of contracts. The obligations to purchase raw materials include supply contracts at both fixed and variable prices. Those with variable prices are based on index rates for those commodities at December 31, 2023.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47" w:lineRule="exact"/>
        <w:rPr>
          <w:sz w:val="20"/>
          <w:szCs w:val="20"/>
          <w:color w:val="auto"/>
        </w:rPr>
      </w:pPr>
    </w:p>
    <w:p>
      <w:pPr>
        <w:ind w:left="760" w:hanging="752"/>
        <w:spacing w:after="0" w:line="28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primarily represent expected payments with interest for uncertain income tax positions as of December 31, 2023. We have reflected them in the period in which we believe they will be ultimately settled based upon our experience with these matters.</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Additional other long term liabilities include items such as general and product liabilities, environmental liabilities and miscellaneous other long term liabilities. These other liabilities are not contractual obligations by nature. We cannot, with any degree of reliability, determine the years in which these liabilities might ultimately be settled. Accordingly, these other long term liabilities are not included in the above table.</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pursuant to certain long term agreements, we will purchase varying amounts of certain raw materials and finished goods at agreed upon base prices that may be subject to periodic adjustments for changes in raw material costs and market price adjustments, or in quantities that may be subject to periodic adjustments for changes in our or our suppliers' production levels. These contingent contractual obligations, the amounts of which cannot be estimated, are not included in the table above.</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do not engage in the trading of commodity contracts or any related derivative contracts. We generally purchase raw materials and energy through short term, intermediate and long term supply contracts at fixed prices or at formula prices related to market prices or negotiated prices. We may, however, from time to time, enter into contracts to hedge our energy costs.</w:t>
      </w:r>
    </w:p>
    <w:p>
      <w:pPr>
        <w:spacing w:after="0" w:line="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have an agreement to provide a revolving loan commitment to TireHub, LLC of up to $100 million. At December 31, 2023, $96 million was drawn on this commitment, which includes $2 million of interest.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An off-balance sheet arrangement is any transaction, agreement or other contractual arrangement involving an unconsolidated entity under which a company has:</w:t>
      </w:r>
    </w:p>
    <w:p>
      <w:pPr>
        <w:spacing w:after="0" w:line="55"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guarantees,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retained or held a contingent interest in transferred assets,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undertaken an obligation under certain derivative instruments, or</w:t>
      </w:r>
    </w:p>
    <w:p>
      <w:pPr>
        <w:spacing w:after="0" w:line="116"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undertaken any obligation arising out of a material variable interest in an unconsolidated entity that provides financing, liquidity, market risk or credit risk support to the company, or that engages in leasing, hedging or research and development arrangements with the company.</w:t>
      </w:r>
    </w:p>
    <w:p>
      <w:pPr>
        <w:spacing w:after="0" w:line="5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We have entered into certain arrangements under which we have provided guarantees that are off-balance sheet arrangements. Those guarantees totaled $31 million at December 31, 2023. For further information about our guarantees, refer to Note to the Consolidated Financial Statements No. 20, Commitments and Contingent Liabilities.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related notes to the financial statements. On an ongoing basis, management reviews its estimates based on currently available information. Changes in facts and circumstances may alter such estimates and affect our results of operations and financial position in future periods. Our critical accounting policies relate to:</w:t>
      </w:r>
    </w:p>
    <w:p>
      <w:pPr>
        <w:spacing w:after="0" w:line="74"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intangible assets,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product liability and other litigation,</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 valuation allowances and uncertain income tax positions,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pensions and other postretirement benefits.</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Goodwill and indefinite-lived intangible assets are tested for impairment annually or more frequently if an indicator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is present. Intangible assets with finite lives are amortized over their useful lives and are reviewed for impairment whenever events or circumstances warrant such review. Goodwill and intangible assets are written down to fair value if considered impaired. Goodwill and Intangible Assets totaled $781 million and $969 million, respectively, at December 31, 2023, compared to $1,014 million and $1,004 million, respectively, at December 31, 2022. At December 31, 2023, the goodwill associated with reporting units in our Americas and Asia Pacific segments was $724 million and $57 million, respectively. Goodwill totaling $230 million previously associated with our EMEA reporting unit was fully impaired during the fourth quarter of 2023.</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and intangible assets with indefinite useful lives are not amortized but are assessed for impairment annually on October 31st with the option to perform a qualitative assessment to determine whether further impairment testing is necessary or to perform a quantitative assessment by comparing the fair value of the reporting unit or indefinite-lived intangible asset to its carrying value. In addition to the annual assessment, impairment evaluation is considered during interim periods when events occur or circumstances change that would more likely than not reduce the fair value of the asset below its carrying value. During our annual impairment assessment and in subsequent interim periods, we review events that occur or circumstances that change, including the macroeconomic environment, our business performance and our market capitalization, to determine if a quantitative impairment assessment is necessary. We review our business performance and the macroeconomic environment against our recent expectations and evaluate book value compared to market capitalization, including fluctuations in our stock price, to determine if this could be an indicator of potential impairment. Consideration is given as to whether a fluctuation in our stock price is a result of current market conditions, due to a transitory event or an event that is expected to continue to affect us, or is consistent with our historical stock price volatility. We also consider these factors compared to the results of our most recent quantitative goodwill impairment assessment.</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qualitative assessment, we assess whether it is more likely than not (defined as a likelihood of more than 50%) that the fair value of our goodwill or indefinite-lived intangible assets is less than the respective carrying values. If it is more likely than not that an impairment exists, then a quantitative impairment assessment is performed. If under the quantitative assessment the fair value is less than the carrying value, an impairment loss will be recorded for the difference between the carrying value and the fair value. Under the quantitative assessment, we estimate the fair value of goodwill of a reporting unit using a combined discounted cash flows and market approach. For indefinite-lived intangible assets we estimate the fair value using discounted cash flows following a relief-from-royalty method utilizing a market-based royalty rate. Forecasts of future cash flows are based on our best estimate of projected revenue and projected operating margin, based primarily on sales and production volume, pricing, raw material costs, market share, industry outlook, general economic conditions, and certain strategic actions we plan to implement. Cash flows are discounted using our weighted average cost of capital. Under the market approach, market multiples are derived from market prices of stocks of companies that are in the tire or similar manufacturing industry. The appropriate multiple is applied to the forecasted revenues and earnings before interest, taxes, depreciation and amortization of the reporting unit to obtain an estimated fair value.</w:t>
      </w:r>
    </w:p>
    <w:p>
      <w:pPr>
        <w:spacing w:after="0" w:line="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part of our annual impairment analysis as of October 31, 2023, we completed a quantitative impairment analysis at our North America, Asia Pacific and EMEA reporting units to determine if their fair values were less than their carrying amounts. Based on the quantitative test, the fair values of the North America and Asia Pacific reporting units substantially exceeded their carrying values.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during the third quarter of 2023, we reduced the near-term and long-term outlook of our EMEA segment based on recent business performance and the industry outlook. As a result, we performed a quantitative analysis as of September 30, 2023 of the fair value of the EMEA reporting unit which resulted in an estimated fair value that exceeded its carrying value, including goodwill. During the fourth quarter of 2023, the industry continued to decline, which resulted in a further reduction in our near-term and long-term outlook to include the updated industry outlook and additional strategic actions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and rationalizations. The forecast resulted in lower than previously projected cash flows for the EMEA reporting unit, which negatively affected the valuation compared to the previous valuation. As a result, the fair value of the EMEA reporting unit as of October 31, 2023 was less than its carrying value resulting in a non-cash impairment charge of $230 million during the fourth quarter of 2023.</w:t>
      </w:r>
    </w:p>
    <w:p>
      <w:pPr>
        <w:spacing w:after="0" w:line="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determined the estimated fair value for the reporting units based on discounted cash flow projections and market values for comparable businesses. The most critical assumptions used in the calculation of the fair value of each reporting unit are the projected revenue, projected operating margin, discount rate and the selection of market multiples. Our forecast of future cash flows is based on our best estimate of projected revenue and projected operating margin, based primarily on pricing, raw material costs, market share, industry outlook, general economic conditions and strategic actions to improve our operating margin. The fair value of the reporting unit’s goodwill is sensitive to differences between estimated and actual cash flows, including changes in the projected revenue, projected operating margin, discount rate and the selection of market multiples used to evaluate the fair value of the reporting unit. Although we believe our estimate of fair value is reasonable, the reporting unit’s future financial performance is dependent on our ability to execute our business plan and to successfully implement certain strategic actions which we expect will improve our long-term operating margin. Future changes in the judgments, assumptions and estimates that are used in our impairment testing for goodwill, including discount rates and cash flow projections, could result in significantly different estimates of the fair values. A significant reduction in the estimated fair values could result in impairment charges that could adversely affect our results of operations.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part of our annual impairment analysis as of October 31, 2023, we completed a quantitative impairment analysis of our indefinite-lived intangible assets to determine if their fair values were less than their carrying amounts. Based on the results of the quantitative impairment assessments, the Company determined that no impairment was required as the estimated fair values of our indefinite-lived intangible assets exceeded or approximated their respective carrying values. We determined the fair value of the indefinite-lived intangible assets using the relief from royalty method, which calculates the cost savings associated with owning rather than licensing the assets. The most critical assumptions used in the calculation of the fair value are projected revenue, discount rate and royalty rate. The fair value of the indefinite-lived intangible assets is sensitive to differences between estimated and actual revenue, including changes in the discount rate and royalty rate used to evaluate the fair value of these assets. We identified $530 million of indefinite-lived intangibles assets related to the recent Cooper Tire acquisition, for which the fair value exceeds the carrying value by approximately 5% and therefore, no impairment was required. For these indefinite-lived intangible assets a 50 basis point increase in our discount rate assumptions or 50 basis point decrease in projected revenue would not have resulted in an impairment and a 25 basis point decrease in our royalty rate assumptions would result in a carrying value which exceeds fair value by approximately 5%. Although we believe our estimate of fair value is reasonable, the indefinite-lived intangible asset performance is dependent on our ability to execute our business plan. If our future financial performance falls below our expectations, there are adverse revisions to significant assumptions, including projected revenues, discount rates or royalty rates, this could be indicative that the fair values of these indefinite-lived intangible assets has declined below their carrying values, and therefore we may need to record a material, non-cash impairment charge in a future period.</w:t>
      </w:r>
    </w:p>
    <w:p>
      <w:pPr>
        <w:spacing w:after="0" w:line="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assessed the period from October 31, 2023 to December 31, 2023 and determined there were no factors that caused us to change our conclusions as of October 31, 2023.</w:t>
      </w:r>
    </w:p>
    <w:p>
      <w:pPr>
        <w:spacing w:after="0" w:line="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and Product Liability and Other Litigation. </w:t>
      </w:r>
      <w:r>
        <w:rPr>
          <w:rFonts w:ascii="Times New Roman" w:cs="Times New Roman" w:eastAsia="Times New Roman" w:hAnsi="Times New Roman"/>
          <w:sz w:val="18"/>
          <w:szCs w:val="18"/>
          <w:color w:val="auto"/>
        </w:rPr>
        <w:t>We have recorded liabilities for both asserted and unasserted claims totaling $438 million,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legal fees expected to be incurred, for potential product liability and other tort claims, including asbestos claims, at December 31, 2023. General and product liability and other litigation liabilities are recorded based on management’s assessment that a loss arising from these matters is probable. If the loss can be reasonably estimated, we record the amount of the estimated loss. If the loss is estimated within a range and no point within the range is more probable than another, we record the minimum amount in the range. As additional information becomes available, any potential liability related to these matters is assessed and the estimates are revised, if necessary. Loss ranges are based upon the specific facts of each claim or class of claims and are determined after review by counsel. Court rulings on our cases or similar cases may impact our assessment of the probability and our estimate of the loss, which may have an impact on our reported results of operations, financial position and liquidity. We record receivables for insurance recoveries related to our litigation claims when it is probable that we will receive reimbursement from the insurer. Specifically, we are a defendant in numerous lawsuits alleging various asbestos-related personal injuries purported to result from alleged exposure to asbestos in certain products previously manufactured by us or present in certain of our facilities. Typically, these lawsuits have been brought against multiple defendants in federal and state courts.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and at least annually, update, using actuarial analyses, our existing reserves for pending claims, including a reasonable estimate of the liability associated with unasserted asbestos claims, and estimate our receivables from probable insurance recoveries. In determining the estimate of our asbestos liability, we evaluated claims over the next ten-year period. Due to the difficulties in making these estimates, analysis based on new data and/or changed circumstances arising in the future may result in an increase in the recorded obligation, and that increase may be significant. We had recorded gross liabilities for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both asserted and unasserted asbestos claims, inclusive of defense costs, totaling $120 million and $125 million, respectively, at December 31, 2023 and December 31, 2022.</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We record a receivable with respect to such policies when we determine that recovery is probable and we can reasonably estimate the amount of a particular recovery. This determination is based on consultation with our outside legal counsel and takes into consideration agreements with certain of our insurance carriers, the financial viability and legal obligations of our insurance carriers, and other relevant factors.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and December 31, 2022, we recorded a receivable related to asbestos claims of $66 million and $70 million, respectively, and we expect that approximately 55% of asbestos claim related losses would be recoverable through insurance through the period covered by the estimated liability. Of this amount, $10 million was included in Current Assets as part of Accounts Receivable at December 31, 2023. The recorded receivable consists of an amount we expect to collect under coverage-in-place agreements with certain primary and excess insurance carriers as well as an amount we believe is probable of recovery from certain of our other excess insurance carriers. Although we believe these amounts are collectible under primary and certain excess policies today, future disputes with insurers could result in significant charges to operations.</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Workers’ Compensation. </w:t>
      </w:r>
      <w:r>
        <w:rPr>
          <w:rFonts w:ascii="Times New Roman" w:cs="Times New Roman" w:eastAsia="Times New Roman" w:hAnsi="Times New Roman"/>
          <w:sz w:val="18"/>
          <w:szCs w:val="18"/>
          <w:color w:val="auto"/>
        </w:rPr>
        <w:t>We have recorded liabilities, on a discounted basis, of $167 million and $187 million for anticipated costs related to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workers’ compensation claims at December 31, 2023 and December 31, 2022,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The liability is discounted using the risk-free rate of return.</w:t>
      </w:r>
    </w:p>
    <w:p>
      <w:pPr>
        <w:spacing w:after="0" w:line="8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For further information on general and product liability and other litigation and workers’ compensation, refer to Note to the Consolidated Financial Statements No. 20, Commitments and Contingent Liabilities.</w:t>
      </w:r>
    </w:p>
    <w:p>
      <w:pPr>
        <w:spacing w:after="0" w:line="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Tax Asset Valuation Allowances and Uncertain Income Tax Positions. </w:t>
      </w:r>
      <w:r>
        <w:rPr>
          <w:rFonts w:ascii="Times New Roman" w:cs="Times New Roman" w:eastAsia="Times New Roman" w:hAnsi="Times New Roman"/>
          <w:sz w:val="18"/>
          <w:szCs w:val="18"/>
          <w:color w:val="auto"/>
        </w:rPr>
        <w:t>At December 31, 2023 and December 31, 2022, our valuation allowances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certain of our U.S. federal, state and local net deferred tax assets totaled $22 million and $26 million, respectively, and our valuation allowances on our foreign net deferred tax assets totaled approximately $1.2 billion and $1.0 billion, respectively.</w:t>
      </w:r>
    </w:p>
    <w:p>
      <w:pPr>
        <w:spacing w:after="0" w:line="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record a reduction to the carrying amounts of deferred tax assets by recording a valuation allowance if, based on the available evidence, it is more likely than not such assets will not be realized. The valuation of deferred tax assets requires judgment in assessing future profitability by year, including the impact of tax planning strategies, relative to the expiration dates, if any, of the assets.</w:t>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December 31, 2023 and December 31, 2022, we had approximately $1.2 billion and $1.1 billion of U.S. federal, state and local net deferred tax assets, respectively, inclusive of valuation allowances totaling $22 million and $26 million in each period, respectively, primarily for state tax loss carryforwards with limited lives. As of December 31, 2023, approximately $1.0 billion of these U.S. net deferred tax assets have unlimited lives and approximately $200 million have limited lives, including $22 million of foreign tax credits, and the majority do not start to expire until 2031. As of December 31, 2022, approximately $700 million of these U.S. net deferred tax assets had unlimited lives and approximately $400 million had limited lives, including $230 million of foreign tax credits, and had expiration dates between 2023 and 2042. In the U.S., as of December 31, 2023, we emerged from a three-year cumulative loss which was driven by business disruptions created by the COVID-19 pandemic. Our U.S. cumulative income for the three-years ended December 31, 2023 is primarily a result of gains from other comprehensive income rather than consistently profitable U.S. operating results. Our 2023 U.S. operating results in the first six months of the year were negatively impacted by lower sales volumes due to commercial replacement tire channel destocking, reduced consumer industry demand and the Tupelo storm. However, our second half of 2023 showed improvement and profitability in our U.S. operating results.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assessing our ability to utilize our net deferred tax assets, we primarily considered objectively verifiable information, including the improvement in our U.S. operating results during the second half of 2023 as a result of improved tire volume and lower raw material and transportation costs compared to the first half of 2023. In addition, we consider our current forecasts of future profitability in assessing our ability to realize our deferred tax assets as well as the impact of tax planning strategies. These forecasts include the impact of recent trends and various macroeconomic factors such as the impact of raw material, transportation, labor and energy costs on our profitability. Our tax planning strategies include accelerating income on cross border transactions, including sales of inventory or raw materials to our subsidiaries, reducing U.S. interest expense by, for example, reducing intercompany loans through repatriating current year earnings of foreign subsidiaries, repatriation of certain foreign royalty income, and other financing transactions, all of which would increase our domestic profitability.</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our improvement in U.S. operating results during the second half of 2023 and forecasts of future profitability provide us sufficient positive evidence to conclude that it is more likely than not that, at December 31, 2023, our U.S. net deferred tax assets will be fully utilized. However, macroeconomic factors such as raw material, transportation, labor and energy costs possess a high degree of volatility and can significantly impact our profitability. In addition, certain tax provisions, such as the annual interest expense limitation under Section 163(j) of the Internal Revenue Code of 1986, if amended, could impact our analysis of the realizability of our U.S. deferred tax assets. If our U.S. operating results significantly decline in the future, we may need to record a valuation allowance which could adversely impact our operating results. As such, we will closely monitor our U.S. operations as well as any tax law changes to assess the realizability of our U.S. deferred tax assets.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2023 and December 31, 2022, we also had approximately $1.5 billion and $1.2 billion of foreign net deferred tax assets, respectively, and related valuation allowances of approximately $1.2 billion and $1.0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$1.0 billion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foreign deferred tax assets having a significant impact on our financial position or results of operations will exist within the next twelve months.</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recognize the effects of changes in tax rates and laws on deferred tax balances in the period in which legislation is enacted. We remeasure existing deferred tax assets and liabilities considering the tax rates at which they will be realized. We also consider the effects of enacted tax laws in our analysis of the need for valuation allowances.</w:t>
      </w:r>
    </w:p>
    <w:p>
      <w:pPr>
        <w:spacing w:after="0" w:line="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including those for transfer pricing.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resulting in an increase in our effective tax rate in the period of resolution. To reduce our risk of an unfavorable transfer price settlement, we apply consistent transfer pricing policies and practices globally, support pricing with economic studies and seek advance pricing agreements and joint audits to the extent possible. A favorable tax settlement would be recognized as a reduction of expense to the extent the settlement amount is lower than recorded liabilities and, in the case of an income tax settlement, would result in a reduction in our effective tax rate in the period of resolution. We report interest and penalties related to uncertain income tax positions as income tax expense.</w:t>
      </w:r>
    </w:p>
    <w:p>
      <w:pPr>
        <w:spacing w:after="0" w:line="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additional information regarding uncertain income tax positions and tax valuation allowances, refer to Note to the Consolidated Financial Statements No. 7, Income Taxes.</w:t>
      </w:r>
    </w:p>
    <w:p>
      <w:pPr>
        <w:spacing w:after="0" w:line="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Pensions and Other Postretirement Benefits. </w:t>
      </w:r>
      <w:r>
        <w:rPr>
          <w:rFonts w:ascii="Times New Roman" w:cs="Times New Roman" w:eastAsia="Times New Roman" w:hAnsi="Times New Roman"/>
          <w:sz w:val="18"/>
          <w:szCs w:val="18"/>
          <w:color w:val="auto"/>
        </w:rPr>
        <w:t>We have recorded liabilities for pensions of $181 million and $94 million and other postretirement benefits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$287 million and $292 million, respectively, at December 31, 2023 and December 31, 2022. Our recorded liabilities and net periodic costs for pensions and other postretirement benefits are based on a number of assumptions, including:</w:t>
      </w:r>
    </w:p>
    <w:p>
      <w:pPr>
        <w:spacing w:after="0" w:line="66"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expectancies,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rates,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rates of return on plan assets,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health care costs,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company-covered benefit costs.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these assumptions are determined with the assistance of independent actuaries. Assumptions about life expectancies, retirement rates, future compensation levels and future health care costs are based on past experience and anticipated future trends. The discount rate for our U.S. plans is based on a yield curve derived from a portfolio of corporate bonds from issuers rated AA or higher by established rating agencies as of December 31 and is reviewed annually. Our expected benefit payment cash flows are discounted based on spot rates developed from the yield curve. The mortality assumption for our U.S. plans is based on actual historical experience or published actuarial tables, an assumed long term rate of future improvement based on published actuarial tables, and current government regulations related to lump sum payment factors. The long term rate of return on U.S. plan assets is based on estimates of future long term rates of return similar to the target allocation of substantially all fixed income securities. Actual U.S. pension fund asset allocations are reviewed on a monthly basis and the pension fund is rebalanced to target ranges on an as-needed basis. These assumptions are reviewed regularly and revised when appropriate. Changes in one or more of them may affect the amount of our recorded liabilities and net periodic costs for these benefits. Other assumptions involving demographic factors such as retirement age and turnover are evaluated periodically and are updated to reflect our experience and expectations for the future. If actual experience differs from expectations, our financial position, results of operations and liquidity in future periods may be affected.</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weighted average discount rate used in estimating the total liability for our U.S. pension and other postretirement benefit plans was 5.12% and 5.16%, respectively, at December 31, 2023, compared to 5.45% and 5.51%, respectively, at December 31, 2022. The decrease in the discount rate at December 31, 2023 was due primarily to lower yields on highly rated corporate bonds. Interest cost included in our U.S. net periodic pension cost was $195 million in 2023, compared to $133 million in 2022 and $94 million in 2021. Interest cost included in our worldwide net periodic other postretirement benefits cost was $16 million in 2023, compared to $12 million in 2022 and $9 million in 2021.</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sensitivity of our U.S. projected pension benefit obligation and accumulated other postretirement benefits obligation to the indicated increase/decrease in the discount rate: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 / − Change at December 31, 2023</w:t>
            </w:r>
          </w:p>
        </w:tc>
      </w:tr>
      <w:tr>
        <w:trPr>
          <w:trHeight w:val="16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4"/>
                <w:szCs w:val="14"/>
                <w:color w:val="auto"/>
              </w:rPr>
            </w:pPr>
          </w:p>
        </w:tc>
        <w:tc>
          <w:tcPr>
            <w:tcW w:w="12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PBO/ABO</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Annual Expense</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Assumption:</w:t>
            </w:r>
          </w:p>
        </w:tc>
        <w:tc>
          <w:tcPr>
            <w:tcW w:w="144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Pensions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+/- 0.5%</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+/- 0.5%</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r>
    </w:tbl>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Changes in general interest rates and corporate (AA or better) credit spreads impact our discount rate and thereby our U.S. pension benefit obligation. Our U.S. pension plans are invested in a portfolio of substantially all fixed income securities designed to offset the impact of future discount rate movements on liabilities for these plans. If corporate (AA or better) interest rates increase or decrease in parallel (i.e., across all maturities), the investment portfolio described above is designed to mitigate a substantial portion of the expected change in our U.S. pension benefit obligation. For example, if corporate (AA or better) interest rates increased or decreased by 0.5%, the investment portfolio described above would be expected to mitigate approximately 95% of the expected change in our U.S. pension benefit obligation.</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2023, our net actuarial loss included in Accumulated Other Comprehensive Loss ("AOCL") related to global pension plans was $2,268 million, $1,744 million of which related to our U.S. pension plans. The net actuarial loss included in AOCL related to our U.S. pension plans continues to decrease and is primarily due to declines in U.S. discount rates and plan asset losses that occurred prior to the funding and investment de-risking actions we undertook in 2013 and 2014, which were designed to mitigate further actuarial losses of a similar nature. For purposes of determining our 2023 U.S. pension total benefits cost, we recognized $132 million of the net actuarial losses in 2023. We will recognize approximately $100 million of net actuarial losses in 2024 U.S. net periodic pension cost. If our future experience is consistent with our assumptions as of December 31, 2023, actuarial loss recognition over the next few years will remain at an amount near that to be recognized in 2024 before it begins to gradually decline. In addition, if annual lump sum payments from a pension plan exceed annual service and interest cost for that plan, accelerated recognition of net actuarial losses will be required through a settlement in total benefits cost.</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actual rate of return on our U.S. pension fund was 7.90%, (17.00%) and 1.80% in 2023, 2022 and 2021, respectively, as compared to the expected rate of 6.27%, 4.23% and 3.74% in 2023, 2022 and 2021, respectively. We use the fair value of our pension assets in the calculation of pension expense for all of our U.S. pension plans.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amortization period for our U.S. pension plans is approximately 15 years.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Service cost of pension plans was recorded in CGS, as part of the cost of inventory sold during the period, or SAG in our Consolidated Statements of Operations, based on the specific roles (i.e., manufacturing vs. non-manufacturing) of employee groups covered by each of our pension plans. In 2023, 2022 and 2021, the amount of service cost included in CGS and SAG is approximately equal. Non-service related net periodic pension costs were recorded in Other (Income) Expense.</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Globally, we expect our 2024 net periodic pension cost to be $120 million to $140 million, including approximately $30 million of service cost, compared to $122 million in 2023, which included $26 million of service cost.</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net actuarial gain of $85 million included in AOCL for our worldwide other postretirement benefit plans as of December 31, 2023 is a result of past increases in discount rates. For purposes of determining 2023 worldwide net periodic other postretirement benefits cost, we recognized $9 million of net actuarial gains in 2023. We will recognize approximately $9 million of net actuarial gains in 2024. If our future experience is consistent with our assumptions as of December 31, 2023, actuarial gain recognition over the next few years will remain at an amount near that to be recognized in 2024.</w:t>
      </w:r>
    </w:p>
    <w:p>
      <w:pPr>
        <w:spacing w:after="0" w:line="7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For further information on pensions and other postretirement benefits, refer to Note to the Consolidated Financial Statements No. 18, Pension, Other Postretirement Benefits and Savings Plans.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 — SAFE HARBOR STATEMENT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in this Annual Report on Form 10-K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Annual Report on Form 10-K.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78" w:lineRule="exact"/>
        <w:rPr>
          <w:sz w:val="20"/>
          <w:szCs w:val="20"/>
          <w:color w:val="auto"/>
        </w:rPr>
      </w:pPr>
    </w:p>
    <w:p>
      <w:pPr>
        <w:ind w:left="760" w:right="2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implement the Goodyear Forward plan and our other strategic initiatives, our operating results, financial condition and liquidity may be materially adversely affected;</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global competition and our market share could decline;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cost increases may materially adversely affect our operating results and financial condition;</w:t>
      </w:r>
    </w:p>
    <w:p>
      <w:pPr>
        <w:spacing w:after="0" w:line="116"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experiencing inflationary cost pressures, including with respect to wages, benefits, transportation and energy costs, that may materially adversely affect our operating results and financial condition;</w:t>
      </w:r>
    </w:p>
    <w:p>
      <w:pPr>
        <w:spacing w:after="0" w:line="54"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 or in the provision of services, including utilities, to us could result in increased costs or disruptions in our operations;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economic downturn or economic uncertainty could adversely affect our business and results of operations;</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labor strike, work stoppage, labor shortage or other similar event at the Company or its joint ventures, our business, results of operations, financial condition and liquidity could be materially adversely affected;</w:t>
      </w:r>
    </w:p>
    <w:p>
      <w:pPr>
        <w:spacing w:after="0" w:line="54"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work stoppages, labor shortages, supply disruptions or economic conditions affecting our major OE customers, dealers or suppliers could harm our business;</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may not be adequate to maintain our competitive position and may not be implemented in a timely or cost-effective manner;</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tariffs, trade agreements or trade restrictions may materially adversely affect our operating results;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have certain risks that may materially adversely affect our operating results, financial condition and liquidity;</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foreign currency translation and transaction risks that may materially adversely affect our operating results, financial condition and liquidity;</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ability to meet our obligations, to repay maturing indebtedness or to implement strategic initiatives may be dependent on our ability to access capital markets in the future and to improve our operating results;</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which could restrict our growth, place us at a competitive disadvantage or otherwise materially adversely affect our financial health;</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be in compliance with any material provision or covenant of our debt instruments, or a material reduction in the borrowing base under our first lien revolving credit facility, could have a material adverse effect on our liquidity and operations;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 which could cause our debt service obligations to increase significantly;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fixed costs and, as a result, our operating income fluctuates disproportionately with changes in our net sales;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in connection with our contingent liabilities and tax matters;</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including climate change, or legal, regulatory or market measures to address environmental issues, may negatively affect our business and operations and cause us to incur significant costs;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regulations that may materially adversely affect our operating results;</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adequately;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personnel, our business could be materially adversely affected; and</w:t>
      </w:r>
    </w:p>
    <w:p>
      <w:pPr>
        <w:spacing w:after="0" w:line="116"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economic and supply disruptions associated with events beyond our control, such as war, including the current conflicts between Russia and Ukraine and between Israel and Hamas, acts of terror, political unrest, public health concerns, labor disputes or natural disasters.</w:t>
      </w:r>
    </w:p>
    <w:p>
      <w:pPr>
        <w:spacing w:after="0" w:line="5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raw materials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continuously monitor our fixed and floating rate debt mix. Within defined limitations, we manage the mix using refinancing. At December 31, 2023, 20% of our debt was at variable interest rates averaging 8.09% compared to 21% at an average rate of 5.94% at December 31, 2022.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long term fixed rate debt, excluding finance leases, at December 31: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5,720</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5,766</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38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5,488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5,198</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 forma fair value — liability</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5,684</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5,413</w:t>
            </w:r>
          </w:p>
        </w:tc>
      </w:tr>
    </w:tbl>
    <w:p>
      <w:pPr>
        <w:spacing w:after="0" w:line="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pro forma information assumes an 100 basis point decrease in market interest rates at December 31 of each year, and reflects the estimated fair value of fixed rate debt outstanding at that date under that assumption. The sensitivity of our fixed rate debt to changes in interest rates was determined using current market pricing models.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foreign currency derivative information at December 31: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asset (liability)</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(27 )   $</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decrease in fair value</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maturities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1/24-11/24</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1/23-12/23</w:t>
            </w:r>
          </w:p>
        </w:tc>
      </w:tr>
    </w:tbl>
    <w:p>
      <w:pPr>
        <w:spacing w:after="0" w:line="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pro forma decrease in fair value assumes a 10% adverse change in underlying foreign exchange rates at December 31 of each year,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are recognized on the Consolidated Balance Sheets at December 31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 (liability):</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38"/>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w:t>
            </w:r>
          </w:p>
        </w:tc>
      </w:tr>
      <w:tr>
        <w:trPr>
          <w:trHeight w:val="247"/>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further information on foreign currency contracts, refer to Note to the Consolidated Financial Statements No. 16, Financing Arrangements and Derivative Financial Instruments.</w:t>
      </w:r>
    </w:p>
    <w:p>
      <w:pPr>
        <w:spacing w:after="0" w:line="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Refer to “Management’s Discussion and Analysis of Financial Condition and Results of Operations — Liquidity and Capital Resources” for a discussion of our management of counterparty risk.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51"/>
        </w:trPr>
        <w:tc>
          <w:tcPr>
            <w:tcW w:w="4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i w:val="1"/>
                <w:iCs w:val="1"/>
                <w:color w:val="0000FF"/>
              </w:rPr>
              <w:t>Management's Report on Internal Control over Financial Reporting</w:t>
            </w:r>
          </w:p>
        </w:tc>
        <w:tc>
          <w:tcPr>
            <w:tcW w:w="614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36"/>
        </w:trPr>
        <w:tc>
          <w:tcPr>
            <w:tcW w:w="10560" w:type="dxa"/>
            <w:vAlign w:val="bottom"/>
            <w:gridSpan w:val="12"/>
          </w:tcPr>
          <w:p>
            <w:pPr>
              <w:spacing w:after="0"/>
              <w:rPr>
                <w:sz w:val="20"/>
                <w:szCs w:val="20"/>
                <w:color w:val="auto"/>
              </w:rPr>
            </w:pPr>
            <w:r>
              <w:rPr>
                <w:rFonts w:ascii="Times New Roman" w:cs="Times New Roman" w:eastAsia="Times New Roman" w:hAnsi="Times New Roman"/>
                <w:sz w:val="16"/>
                <w:szCs w:val="16"/>
                <w:i w:val="1"/>
                <w:iCs w:val="1"/>
                <w:color w:val="0000FF"/>
              </w:rPr>
              <w:t>Report of Independent Registered Public Accounting Firm (PCAOB ID 238)</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0560" w:type="dxa"/>
            <w:vAlign w:val="bottom"/>
            <w:gridSpan w:val="12"/>
          </w:tcPr>
          <w:p>
            <w:pPr>
              <w:spacing w:after="0"/>
              <w:rPr>
                <w:sz w:val="20"/>
                <w:szCs w:val="20"/>
                <w:color w:val="auto"/>
              </w:rPr>
            </w:pPr>
            <w:r>
              <w:rPr>
                <w:rFonts w:ascii="Times New Roman" w:cs="Times New Roman" w:eastAsia="Times New Roman" w:hAnsi="Times New Roman"/>
                <w:sz w:val="16"/>
                <w:szCs w:val="16"/>
                <w:i w:val="1"/>
                <w:iCs w:val="1"/>
                <w:color w:val="auto"/>
              </w:rPr>
              <w:t>Consolidated Financial Statements of The Goodyear Tire &amp; Rubber Company:</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20" w:type="dxa"/>
            <w:vAlign w:val="bottom"/>
          </w:tcPr>
          <w:p>
            <w:pPr>
              <w:spacing w:after="0"/>
              <w:rPr>
                <w:sz w:val="21"/>
                <w:szCs w:val="21"/>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Operations for each of the three years ended December 31, 2023, 2022 and 2021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Pr>
          <w:p>
            <w:pPr>
              <w:spacing w:after="0"/>
              <w:rPr>
                <w:sz w:val="18"/>
                <w:szCs w:val="18"/>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(Loss) for each of the three years ended December 31, 2023, 2022 and 2021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line="20" w:lineRule="exact"/>
              <w:rPr>
                <w:sz w:val="1"/>
                <w:szCs w:val="1"/>
                <w:color w:val="auto"/>
              </w:rPr>
            </w:pPr>
          </w:p>
        </w:tc>
      </w:tr>
      <w:tr>
        <w:trPr>
          <w:trHeight w:val="263"/>
        </w:trPr>
        <w:tc>
          <w:tcPr>
            <w:tcW w:w="420" w:type="dxa"/>
            <w:vAlign w:val="bottom"/>
          </w:tcPr>
          <w:p>
            <w:pPr>
              <w:spacing w:after="0"/>
              <w:rPr>
                <w:sz w:val="22"/>
                <w:szCs w:val="22"/>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Balance Sheets at December 31, 2023 and December 31, 2022</w:t>
            </w: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Pr>
          <w:p>
            <w:pPr>
              <w:spacing w:after="0"/>
              <w:rPr>
                <w:sz w:val="18"/>
                <w:szCs w:val="18"/>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Shareholders’ Equity for each of the three years ended December 31, 2023, 2022 and 2021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4260" w:type="dxa"/>
            <w:vAlign w:val="bottom"/>
            <w:gridSpan w:val="5"/>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line="20" w:lineRule="exact"/>
              <w:rPr>
                <w:sz w:val="1"/>
                <w:szCs w:val="1"/>
                <w:color w:val="auto"/>
              </w:rPr>
            </w:pPr>
          </w:p>
        </w:tc>
      </w:tr>
      <w:tr>
        <w:trPr>
          <w:trHeight w:val="263"/>
        </w:trPr>
        <w:tc>
          <w:tcPr>
            <w:tcW w:w="420" w:type="dxa"/>
            <w:vAlign w:val="bottom"/>
          </w:tcPr>
          <w:p>
            <w:pPr>
              <w:spacing w:after="0"/>
              <w:rPr>
                <w:sz w:val="22"/>
                <w:szCs w:val="22"/>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each of the three years ended December 31, 2023, 2022 and 2021</w:t>
            </w: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4260" w:type="dxa"/>
            <w:vAlign w:val="bottom"/>
            <w:gridSpan w:val="5"/>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Pr>
          <w:p>
            <w:pPr>
              <w:spacing w:after="0"/>
              <w:rPr>
                <w:sz w:val="18"/>
                <w:szCs w:val="18"/>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0560" w:type="dxa"/>
            <w:vAlign w:val="bottom"/>
            <w:gridSpan w:val="12"/>
          </w:tcPr>
          <w:p>
            <w:pPr>
              <w:spacing w:after="0"/>
              <w:rPr>
                <w:sz w:val="20"/>
                <w:szCs w:val="20"/>
                <w:color w:val="auto"/>
              </w:rPr>
            </w:pPr>
            <w:r>
              <w:rPr>
                <w:rFonts w:ascii="Times New Roman" w:cs="Times New Roman" w:eastAsia="Times New Roman" w:hAnsi="Times New Roman"/>
                <w:sz w:val="16"/>
                <w:szCs w:val="16"/>
                <w:i w:val="1"/>
                <w:iCs w:val="1"/>
                <w:color w:val="auto"/>
              </w:rPr>
              <w:t>Financial Statement Schedule:</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The following consolidated financial statement schedule of The Goodyear Tire &amp; Rubber Company is filed as part of this Annual Report on Form 10-K and</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should be read in conjunction with the Consolidated Financial Statements of The Goodyear Tire &amp; Rubber Company:</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2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Schedule II – Valuation and Qualifying Accounts for each of the three years ended December 31, 2023, 2022 and 2021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FS-2</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Schedules not listed above have been omitted since they are not applicable or are not required, or the information required to be set forth therein is included in the Consolidated Financial Statements or Notes thereto.</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under Rule 13a-15(f) promulgated under the Securities Exchange Act of 1934, as amended.</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the Company’s consolidated financial statements for external purposes in accordance with generally accepted accounting principles.</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consolidated financial statements in accordance with generally accepted accounting principles, and that receipts and expenditures of the Company are being made only in accordance with appropriate authorizations of management and directors of the Company; and (iii) provide reasonable assurance regarding prevention or timely detection of unauthorized acquisition, use or disposition of the Company’s assets that could have a material effect on the consolidated financial statements.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Management conducted an assessment of the Company’s internal control over financial reporting as of December 31, 2023 using the framework specified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published by the Committee of Sponsoring Organizations of the Treadway Commission. Based on such assessment, management has concluded that the Company’s internal control over financial reporting was effective as of December 31, 2023.</w:t>
      </w:r>
    </w:p>
    <w:p>
      <w:pPr>
        <w:spacing w:after="0" w:line="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2023 has been audited by PricewaterhouseCoopers LLP, an independent registered public accounting firm, as stated in their report which is presented in this Annual Report on Form 10-K.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43" w:lineRule="exact"/>
        <w:rPr>
          <w:sz w:val="20"/>
          <w:szCs w:val="20"/>
          <w:color w:val="auto"/>
        </w:rPr>
      </w:pPr>
    </w:p>
    <w:p>
      <w:pPr>
        <w:ind w:right="2540" w:firstLine="2539"/>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Board of Directors and Shareholders of The Goodyear Tire &amp; Rubber Company </w:t>
      </w: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audited the consolidated financial statements, including the related notes and financial statement schedule, of The Goodyear Tire &amp; Rubber Company and its subsidiaries (the “Company”) as listed in the index appearing under Item 8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Valuation of U.S. Deferred Tax Assets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 7 to the consolidated financial statements, as of December 31, 2023, the Company has approximately $1.2 billion of U.S. federal, state and local net deferred tax assets, inclusive of valuation allowances totaling $22 million primarily for state tax loss carryforwards with limited lives. Approximately $200 million of these U.S. net deferred tax assets have limited lives and the majority of the limited lived deferred tax assets do not start to expire until 2031. A valuation allowance is not required to the extent that, in management’s judgment, positive evidence exists with a magnitude and duration sufficient to result in a conclusion that it is more likely than not the Company’s deferred tax assets will be realized. As disclosed by management, the valuation of deferred tax assets requires judgment in assessing future profitability, including the impact of tax planning strategies, relative to the expiration dates, if any, of the assets. In the U.S., the Company’s cumulative income for the three-years ended December 31, 2023 is primarily a result of gains from other comprehensive income rather than consistently profitable U.S. operating results. In assessing the Company’s ability to utilize its net deferred tax assets, management primarily considered objectively verifiable information, including the Company’s improvement in its U.S. operating results during the second half of 2023 as a result of improved tire volume and lower raw material and transportation costs compared to the first half of 2023. Management determined there was sufficient positive evidence to conclude it is more likely than not that, as of December 31, 2023, the U.S. net deferred tax assets will be fully utilized.</w:t>
      </w:r>
    </w:p>
    <w:p>
      <w:pPr>
        <w:spacing w:after="0" w:line="7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U.S. deferred tax assets is a critical audit matter are (i) the significant judgment by management in determining whether the U.S. deferred tax assets are more likely than not to be realized in the future and</w:t>
      </w:r>
    </w:p>
    <w:p>
      <w:pPr>
        <w:spacing w:after="0" w:line="1" w:lineRule="exact"/>
        <w:rPr>
          <w:sz w:val="20"/>
          <w:szCs w:val="20"/>
          <w:color w:val="auto"/>
        </w:rPr>
      </w:pPr>
    </w:p>
    <w:p>
      <w:pPr>
        <w:ind w:firstLine="8"/>
        <w:spacing w:after="0" w:line="260" w:lineRule="auto"/>
        <w:tabs>
          <w:tab w:leader="none" w:pos="2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 degree of auditor judgment, subjectivity, and effort in performing procedures and evaluating audit evidence relating to management’s assessment of the realizability of U.S. deferred tax assets.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the realizability of U.S. deferred tax assets, including controls over projections of future profitability. These procedures also included, among others (i) evaluating the positive and negative evidence available to support management’s assessment of the realizability of U.S. deferred tax assets; (ii) testing the completeness and accuracy of underlying data used in management’s assessment; and (iii) evaluating the reasonableness of management’s projections of future profitability of the U.S. business. Evaluating the reasonableness of management’s projections of future profitability of the U.S. business involved considering (i) the current and past performance of the U.S. business; (ii) the consistency with external market and industry data; and (iii) the consistency with evidence obtained in other areas of the audit.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Goodwill Impairment Assessment – EMEA Reporting Unit</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described in Notes 1 and 12 to the consolidated financial statements, the Company’s goodwill balance was $781 million as of December 31, 2023. As disclosed by management, goodwill is assessed for impairment annually on October 31st with the option to perform a qualitative assessment to determine whether further impairment testing is necessary or to perform a quantitative assessment by comparing the fair value of the reporting unit to its carrying value. In addition to the annual assessment, impairment evaluation is considered during interim periods when events occur or circumstances change that would more likely than not reduce the fair value of the asset below its carrying value. During the third quarter of 2023, management reduced the near-term and long-term outlook of the Europe, Middle East and Africa (EMEA) segment based on recent business performance and the industry outlook. As a result, management performed a quantitative analysis as of September 30, 2023 of the fair value of the EMEA reporting unit, which resulted in an estimated fair value that exceeded its carrying value, including goodwill. During the fourth quarter of 2023, the industry continued to decline, which resulted in a further reduction in the near-term and long-term outlook to include the updated industry outlook. As a result, the fair value of the EMEA reporting unit as of October 31, 2023 was less than its carrying value resulting in a non-cash impairment charge of $230 million which represented a full impairment of the goodwill previously allocated to the EMEA reporting unit. Fair value was estimated by management based on the discounted cash flow projections and market values for comparable businesses. The most critical assumptions used in the calculation of the fair value of each reporting unit are the projected revenue, projected operating margin, discount rate, and the selection of the market multiples.</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interim goodwill impairment assessment of the EMEA reporting unit is a critical audit matter are (i) the significant judgment by management when developing the fair value estimate of the EMEA reporting unit;</w:t>
      </w:r>
    </w:p>
    <w:p>
      <w:pPr>
        <w:spacing w:after="0" w:line="1" w:lineRule="exact"/>
        <w:rPr>
          <w:sz w:val="20"/>
          <w:szCs w:val="20"/>
          <w:color w:val="auto"/>
        </w:rPr>
      </w:pPr>
    </w:p>
    <w:p>
      <w:pPr>
        <w:jc w:val="both"/>
        <w:ind w:firstLine="8"/>
        <w:spacing w:after="0" w:line="255" w:lineRule="auto"/>
        <w:tabs>
          <w:tab w:leader="none" w:pos="2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 degree of auditor judgment, subjectivity, and effort in performing procedures and evaluating management’s significant assumptions related to the projected revenue, projected operating margin, and discount rate; and (iii) the audit effort involved the use of professionals with specialized skill and knowledge.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interim goodwill impairment assessment, including controls over the valuation of the EMEA reporting unit. These procedures also included, among others (i) testing management’s process for developing the fair value estimate of the EMEA reporting unit; (ii) evaluating the appropriateness of the discounted cash flow model used by management;</w:t>
      </w:r>
    </w:p>
    <w:p>
      <w:pPr>
        <w:spacing w:after="0" w:line="2" w:lineRule="exact"/>
        <w:rPr>
          <w:sz w:val="20"/>
          <w:szCs w:val="20"/>
          <w:color w:val="auto"/>
        </w:rPr>
      </w:pPr>
    </w:p>
    <w:p>
      <w:pPr>
        <w:jc w:val="both"/>
        <w:ind w:firstLine="8"/>
        <w:spacing w:after="0" w:line="250" w:lineRule="auto"/>
        <w:tabs>
          <w:tab w:leader="none" w:pos="3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underlying data used in the discounted cash flow model; and (iv) evaluating the reasonableness of the significant assumptions used by management related to the projected revenue, projected operating margin, and discount rate. Evaluating management’s assumptions related to the projected revenue and projected operating margin involved evaluating whether the assumptions used by management were reasonable considering (i) the current and past performance of the EMEA reporting unit; (ii) the consistency with external market and industry data; and</w:t>
      </w:r>
    </w:p>
    <w:p>
      <w:pPr>
        <w:ind w:firstLine="8"/>
        <w:spacing w:after="0" w:line="260" w:lineRule="auto"/>
        <w:tabs>
          <w:tab w:leader="none" w:pos="3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assumptions were consistent with evidence obtained in other areas of the audit. Professionals with specialized skill and knowledge were used to assist in evaluating (i) the appropriateness of the discounted cash flow model and (ii) the reasonableness of the discount rate assumption.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1898.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 (Note 3)</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20,066</w:t>
            </w:r>
          </w:p>
        </w:tc>
        <w:tc>
          <w:tcPr>
            <w:tcW w:w="5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20,805</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17,478</w:t>
            </w: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16,557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16,953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13,692</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2,814</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2,798</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2,699</w:t>
            </w: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 (Note 12)</w:t>
            </w: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Rationalizations (Note 4)</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502</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(Note 5)</w:t>
            </w: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w:t>
            </w: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(Note 6)</w:t>
            </w: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w:t>
            </w: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513</w:t>
            </w: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 Expense (Benefit) (Note 7)</w:t>
            </w: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780</w:t>
            </w:r>
          </w:p>
        </w:tc>
      </w:tr>
      <w:tr>
        <w:trPr>
          <w:trHeight w:val="243"/>
        </w:trPr>
        <w:tc>
          <w:tcPr>
            <w:tcW w:w="66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Minority Shareholders’ Net Income</w:t>
            </w: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(689 )</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764</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(Loss) — Per Share of Common Stock</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40"/>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(2.42 )</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0.71</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2.92</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(Note 8)</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285</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261</w:t>
            </w:r>
          </w:p>
        </w:tc>
      </w:tr>
      <w:tr>
        <w:trPr>
          <w:trHeight w:val="240"/>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(2.42 )</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0.71</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2.89</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(Note 8)</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285</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-1643380</wp:posOffset>
            </wp:positionV>
            <wp:extent cx="939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-1643380</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-1326515</wp:posOffset>
            </wp:positionV>
            <wp:extent cx="939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-1326515</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-1009650</wp:posOffset>
            </wp:positionV>
            <wp:extent cx="939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-1009650</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net of tax of $2 in 2023 (($9) in 2022, ($4) in 2021)</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11"/>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gains (losses) from securities, net of tax of $0 in 2023 ($0 in 2022, $0 in</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Defined benefit plans: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prior service cost and unrecognized gains and losses included in</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benefit cost, net of tax of $26 in 2023 ($31 in 2022, $34 in 2021)</w:t>
            </w: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8"/>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Decrease/(increase) in net actuarial losses, net of tax of ($36) in 2023 ($48 in 2022</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and 2021)</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1"/>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Immediate recognition of prior service cost and unrecognized gains and losses due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 curtailments, settlements, and divestitures, net of tax of $11 in 2023 ($30 in</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2022, $10 in 2021)</w:t>
            </w: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8"/>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Prior service credit (cost) from plan amendments, net of tax of $0 in 2023 (($2) in</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2022, $0 in 2021)</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derivative gains (losses), net of tax of $0 in 2023 ($0 in 2022, $0 in 2021)</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5"/>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Reclassification adjustment for amounts recognized in income, net of tax of $0 in</w:t>
            </w:r>
          </w:p>
        </w:tc>
        <w:tc>
          <w:tcPr>
            <w:tcW w:w="32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4"/>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2023 ($0 in 2022, $0 in 2021)</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44</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71</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152</w:t>
            </w:r>
          </w:p>
        </w:tc>
        <w:tc>
          <w:tcPr>
            <w:tcW w:w="0" w:type="dxa"/>
            <w:vAlign w:val="bottom"/>
          </w:tcPr>
          <w:p>
            <w:pPr>
              <w:spacing w:after="0"/>
              <w:rPr>
                <w:sz w:val="1"/>
                <w:szCs w:val="1"/>
                <w:color w:val="auto"/>
              </w:rPr>
            </w:pPr>
          </w:p>
        </w:tc>
      </w:tr>
      <w:tr>
        <w:trPr>
          <w:trHeight w:val="23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(643 )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280</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932</w:t>
            </w:r>
          </w:p>
        </w:tc>
        <w:tc>
          <w:tcPr>
            <w:tcW w:w="0" w:type="dxa"/>
            <w:vAlign w:val="bottom"/>
          </w:tcPr>
          <w:p>
            <w:pPr>
              <w:spacing w:after="0"/>
              <w:rPr>
                <w:sz w:val="1"/>
                <w:szCs w:val="1"/>
                <w:color w:val="auto"/>
              </w:rPr>
            </w:pPr>
          </w:p>
        </w:tc>
      </w:tr>
      <w:tr>
        <w:trPr>
          <w:trHeight w:val="238"/>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Comprehensive Income (Loss) Attributable to Minority Shareholders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8"/>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Comprehensive Income (Loss)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(649 )</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290</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-667385</wp:posOffset>
            </wp:positionV>
            <wp:extent cx="1028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-667385</wp:posOffset>
            </wp:positionV>
            <wp:extent cx="1028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-24765</wp:posOffset>
            </wp:positionV>
            <wp:extent cx="1028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-7620</wp:posOffset>
            </wp:positionV>
            <wp:extent cx="1028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-24765</wp:posOffset>
            </wp:positionV>
            <wp:extent cx="1028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-7620</wp:posOffset>
            </wp:positionV>
            <wp:extent cx="1028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4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5"/>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 (Note 1)</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902</w:t>
            </w:r>
          </w:p>
        </w:tc>
        <w:tc>
          <w:tcPr>
            <w:tcW w:w="6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1,227</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(Note 10)</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2,731</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2,610</w:t>
            </w: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Inventories (Note 11)</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3,698</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4,571</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257</w:t>
            </w:r>
          </w:p>
        </w:tc>
      </w:tr>
      <w:tr>
        <w:trPr>
          <w:trHeight w:val="240"/>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7,650</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8,665</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(Note 12)</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781</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1,014</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(Note 12)</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969</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1,004</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(Note 7)</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1,630</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1,443</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 (Note 13)</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1,075</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1,035</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(Note 15)</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985</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976</w:t>
            </w: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(Note 14)</w:t>
            </w:r>
          </w:p>
        </w:tc>
        <w:tc>
          <w:tcPr>
            <w:tcW w:w="3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8,492</w:t>
            </w: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8,294</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21,582</w:t>
            </w:r>
          </w:p>
        </w:tc>
        <w:tc>
          <w:tcPr>
            <w:tcW w:w="6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22,431</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4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5"/>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 — Trade</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4,326</w:t>
            </w:r>
          </w:p>
        </w:tc>
        <w:tc>
          <w:tcPr>
            <w:tcW w:w="6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4,803</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and Benefits (Notes 18 and 19)</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663</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643</w:t>
            </w: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1,165</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872</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Payable and Overdrafts (Note 16)</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395</w:t>
            </w: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due Within One Year (Note 15)</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199</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 Term Debt and Finance Leases due Within One Year (Notes 15 and 16)</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228</w:t>
            </w:r>
          </w:p>
        </w:tc>
      </w:tr>
      <w:tr>
        <w:trPr>
          <w:trHeight w:val="240"/>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7,147</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7,140</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(Note 15)</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825</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821</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 Term Debt and Finance Leases (Notes 15 and 16)</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6,831</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7,267</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Benefits (Notes 18 and 19)</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974</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998</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 (Note 7)</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885</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605</w:t>
            </w:r>
          </w:p>
        </w:tc>
      </w:tr>
      <w:tr>
        <w:trPr>
          <w:trHeight w:val="240"/>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16,745</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16,965</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20)</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r>
      <w:tr>
        <w:trPr>
          <w:trHeight w:val="24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Shareholders’ Equity:</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5"/>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Authorized, 450 million shares, Outstanding shares — 284 million (283 million in 2022)</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283</w:t>
            </w: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Capital Surplus</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3,133</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3,117</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5,086</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5,775</w:t>
            </w:r>
          </w:p>
        </w:tc>
      </w:tr>
      <w:tr>
        <w:trPr>
          <w:trHeight w:val="243"/>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 (Note 22)</w:t>
            </w:r>
          </w:p>
        </w:tc>
        <w:tc>
          <w:tcPr>
            <w:tcW w:w="3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(3,835 )</w:t>
            </w: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(3,875 )</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Goodyear Shareholders’ Equity</w:t>
            </w: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4,668</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5,300</w:t>
            </w:r>
          </w:p>
        </w:tc>
      </w:tr>
      <w:tr>
        <w:trPr>
          <w:trHeight w:val="241"/>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Minority Shareholders’ Equity — Nonredeemable</w:t>
            </w:r>
          </w:p>
        </w:tc>
        <w:tc>
          <w:tcPr>
            <w:tcW w:w="3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166</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4,837</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5,466</w:t>
            </w:r>
          </w:p>
        </w:tc>
      </w:tr>
      <w:tr>
        <w:trPr>
          <w:trHeight w:val="27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21,582</w:t>
            </w:r>
          </w:p>
        </w:tc>
        <w:tc>
          <w:tcPr>
            <w:tcW w:w="1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22,431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-4417695</wp:posOffset>
            </wp:positionV>
            <wp:extent cx="102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-667385</wp:posOffset>
            </wp:positionV>
            <wp:extent cx="1028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-350520</wp:posOffset>
            </wp:positionV>
            <wp:extent cx="1028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102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028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Minority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5"/>
                <w:szCs w:val="15"/>
                <w:color w:val="auto"/>
              </w:rPr>
            </w:pPr>
          </w:p>
        </w:tc>
        <w:tc>
          <w:tcPr>
            <w:tcW w:w="760" w:type="dxa"/>
            <w:vAlign w:val="bottom"/>
            <w:gridSpan w:val="2"/>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Goodyear</w:t>
            </w:r>
          </w:p>
        </w:tc>
        <w:tc>
          <w:tcPr>
            <w:tcW w:w="120" w:type="dxa"/>
            <w:vAlign w:val="bottom"/>
          </w:tcPr>
          <w:p>
            <w:pPr>
              <w:spacing w:after="0"/>
              <w:rPr>
                <w:sz w:val="15"/>
                <w:szCs w:val="15"/>
                <w:color w:val="auto"/>
              </w:rPr>
            </w:pPr>
          </w:p>
        </w:tc>
        <w:tc>
          <w:tcPr>
            <w:tcW w:w="96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1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3"/>
                <w:szCs w:val="13"/>
                <w:b w:val="1"/>
                <w:bCs w:val="1"/>
                <w:color w:val="auto"/>
              </w:rPr>
              <w:t>Retain</w:t>
            </w:r>
          </w:p>
        </w:tc>
        <w:tc>
          <w:tcPr>
            <w:tcW w:w="100" w:type="dxa"/>
            <w:vAlign w:val="bottom"/>
          </w:tcPr>
          <w:p>
            <w:pPr>
              <w:spacing w:after="0"/>
              <w:rPr>
                <w:sz w:val="12"/>
                <w:szCs w:val="12"/>
                <w:color w:val="auto"/>
              </w:rPr>
            </w:pPr>
          </w:p>
        </w:tc>
        <w:tc>
          <w:tcPr>
            <w:tcW w:w="96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3"/>
                <w:szCs w:val="13"/>
                <w:b w:val="1"/>
                <w:bCs w:val="1"/>
                <w:color w:val="auto"/>
              </w:rPr>
              <w:t>Comprehensi</w:t>
            </w:r>
          </w:p>
        </w:tc>
        <w:tc>
          <w:tcPr>
            <w:tcW w:w="100" w:type="dxa"/>
            <w:vAlign w:val="bottom"/>
          </w:tcPr>
          <w:p>
            <w:pPr>
              <w:spacing w:after="0"/>
              <w:rPr>
                <w:sz w:val="12"/>
                <w:szCs w:val="12"/>
                <w:color w:val="auto"/>
              </w:rPr>
            </w:pPr>
          </w:p>
        </w:tc>
        <w:tc>
          <w:tcPr>
            <w:tcW w:w="760" w:type="dxa"/>
            <w:vAlign w:val="bottom"/>
            <w:gridSpan w:val="2"/>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Sharehold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89"/>
              <w:spacing w:after="0" w:line="149" w:lineRule="exact"/>
              <w:rPr>
                <w:sz w:val="20"/>
                <w:szCs w:val="20"/>
                <w:color w:val="auto"/>
              </w:rPr>
            </w:pPr>
            <w:r>
              <w:rPr>
                <w:rFonts w:ascii="Times New Roman" w:cs="Times New Roman" w:eastAsia="Times New Roman" w:hAnsi="Times New Roman"/>
                <w:sz w:val="13"/>
                <w:szCs w:val="13"/>
                <w:b w:val="1"/>
                <w:bCs w:val="1"/>
                <w:color w:val="auto"/>
              </w:rPr>
              <w:t>Equity —</w:t>
            </w:r>
          </w:p>
        </w:tc>
        <w:tc>
          <w:tcPr>
            <w:tcW w:w="100" w:type="dxa"/>
            <w:vAlign w:val="bottom"/>
          </w:tcPr>
          <w:p>
            <w:pPr>
              <w:spacing w:after="0"/>
              <w:rPr>
                <w:sz w:val="12"/>
                <w:szCs w:val="12"/>
                <w:color w:val="auto"/>
              </w:rPr>
            </w:pPr>
          </w:p>
        </w:tc>
        <w:tc>
          <w:tcPr>
            <w:tcW w:w="780" w:type="dxa"/>
            <w:vAlign w:val="bottom"/>
            <w:gridSpan w:val="2"/>
          </w:tcPr>
          <w:p>
            <w:pPr>
              <w:jc w:val="center"/>
              <w:ind w:right="49"/>
              <w:spacing w:after="0" w:line="149" w:lineRule="exact"/>
              <w:rPr>
                <w:sz w:val="20"/>
                <w:szCs w:val="20"/>
                <w:color w:val="auto"/>
              </w:rPr>
            </w:pPr>
            <w:r>
              <w:rPr>
                <w:rFonts w:ascii="Times New Roman" w:cs="Times New Roman" w:eastAsia="Times New Roman" w:hAnsi="Times New Roman"/>
                <w:sz w:val="13"/>
                <w:szCs w:val="13"/>
                <w:b w:val="1"/>
                <w:bCs w:val="1"/>
                <w:color w:val="auto"/>
              </w:rPr>
              <w:t>Sharehold</w:t>
            </w:r>
          </w:p>
        </w:tc>
        <w:tc>
          <w:tcPr>
            <w:tcW w:w="0" w:type="dxa"/>
            <w:vAlign w:val="bottom"/>
          </w:tcPr>
          <w:p>
            <w:pPr>
              <w:spacing w:after="0"/>
              <w:rPr>
                <w:sz w:val="1"/>
                <w:szCs w:val="1"/>
                <w:color w:val="auto"/>
              </w:rPr>
            </w:pPr>
          </w:p>
        </w:tc>
      </w:tr>
      <w:tr>
        <w:trPr>
          <w:trHeight w:val="165"/>
        </w:trPr>
        <w:tc>
          <w:tcPr>
            <w:tcW w:w="4480" w:type="dxa"/>
            <w:vAlign w:val="bottom"/>
          </w:tcPr>
          <w:p>
            <w:pPr>
              <w:spacing w:after="0"/>
              <w:rPr>
                <w:sz w:val="14"/>
                <w:szCs w:val="14"/>
                <w:color w:val="auto"/>
              </w:rPr>
            </w:pPr>
          </w:p>
        </w:tc>
        <w:tc>
          <w:tcPr>
            <w:tcW w:w="116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Non-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8"/>
              </w:rPr>
              <w:t>ers'</w:t>
            </w:r>
          </w:p>
        </w:tc>
        <w:tc>
          <w:tcPr>
            <w:tcW w:w="0" w:type="dxa"/>
            <w:vAlign w:val="bottom"/>
          </w:tcPr>
          <w:p>
            <w:pPr>
              <w:spacing w:after="0"/>
              <w:rPr>
                <w:sz w:val="1"/>
                <w:szCs w:val="1"/>
                <w:color w:val="auto"/>
              </w:rPr>
            </w:pPr>
          </w:p>
        </w:tc>
      </w:tr>
      <w:tr>
        <w:trPr>
          <w:trHeight w:val="139"/>
        </w:trPr>
        <w:tc>
          <w:tcPr>
            <w:tcW w:w="4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Amoun</w:t>
            </w:r>
          </w:p>
        </w:tc>
        <w:tc>
          <w:tcPr>
            <w:tcW w:w="120" w:type="dxa"/>
            <w:vAlign w:val="bottom"/>
          </w:tcPr>
          <w:p>
            <w:pPr>
              <w:spacing w:after="0"/>
              <w:rPr>
                <w:sz w:val="12"/>
                <w:szCs w:val="12"/>
                <w:color w:val="auto"/>
              </w:rPr>
            </w:pPr>
          </w:p>
        </w:tc>
        <w:tc>
          <w:tcPr>
            <w:tcW w:w="580" w:type="dxa"/>
            <w:vAlign w:val="bottom"/>
            <w:gridSpan w:val="2"/>
          </w:tcPr>
          <w:p>
            <w:pPr>
              <w:jc w:val="right"/>
              <w:ind w:right="69"/>
              <w:spacing w:after="0" w:line="139" w:lineRule="exact"/>
              <w:rPr>
                <w:sz w:val="20"/>
                <w:szCs w:val="20"/>
                <w:color w:val="auto"/>
              </w:rPr>
            </w:pPr>
            <w:r>
              <w:rPr>
                <w:rFonts w:ascii="Times New Roman" w:cs="Times New Roman" w:eastAsia="Times New Roman" w:hAnsi="Times New Roman"/>
                <w:sz w:val="13"/>
                <w:szCs w:val="13"/>
                <w:b w:val="1"/>
                <w:bCs w:val="1"/>
                <w:color w:val="auto"/>
              </w:rPr>
              <w:t>Surplu</w:t>
            </w:r>
          </w:p>
        </w:tc>
        <w:tc>
          <w:tcPr>
            <w:tcW w:w="120" w:type="dxa"/>
            <w:vAlign w:val="bottom"/>
          </w:tcPr>
          <w:p>
            <w:pPr>
              <w:spacing w:after="0"/>
              <w:rPr>
                <w:sz w:val="12"/>
                <w:szCs w:val="12"/>
                <w:color w:val="auto"/>
              </w:rPr>
            </w:pPr>
          </w:p>
        </w:tc>
        <w:tc>
          <w:tcPr>
            <w:tcW w:w="5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Earnin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8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8"/>
                <w:szCs w:val="8"/>
                <w:b w:val="1"/>
                <w:bCs w:val="1"/>
                <w:color w:val="auto"/>
                <w:w w:val="73"/>
              </w:rPr>
              <w:t>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gs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5"/>
                <w:szCs w:val="15"/>
                <w:color w:val="auto"/>
              </w:rPr>
            </w:pPr>
          </w:p>
        </w:tc>
        <w:tc>
          <w:tcPr>
            <w:tcW w:w="960" w:type="dxa"/>
            <w:vAlign w:val="bottom"/>
            <w:tcBorders>
              <w:bottom w:val="single" w:sz="8" w:color="auto"/>
            </w:tcBorders>
            <w:gridSpan w:val="2"/>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48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45,243,329 common treasury shares)</w:t>
            </w:r>
          </w:p>
        </w:tc>
        <w:tc>
          <w:tcPr>
            <w:tcW w:w="82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233,220,</w:t>
            </w:r>
          </w:p>
        </w:tc>
        <w:tc>
          <w:tcPr>
            <w:tcW w:w="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233</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2,17</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4,80</w:t>
            </w:r>
          </w:p>
        </w:tc>
        <w:tc>
          <w:tcPr>
            <w:tcW w:w="28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(4,135 )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3,078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181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3,259</w:t>
            </w: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098</w:t>
            </w:r>
          </w:p>
        </w:tc>
        <w:tc>
          <w:tcPr>
            <w:tcW w:w="34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4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gridSpan w:val="2"/>
            <w:vMerge w:val="continue"/>
          </w:tcPr>
          <w:p>
            <w:pPr>
              <w:spacing w:after="0"/>
              <w:rPr>
                <w:sz w:val="16"/>
                <w:szCs w:val="16"/>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9</w:t>
            </w:r>
          </w:p>
        </w:tc>
        <w:tc>
          <w:tcPr>
            <w:tcW w:w="2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764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780</w:t>
            </w:r>
          </w:p>
        </w:tc>
        <w:tc>
          <w:tcPr>
            <w:tcW w:w="0" w:type="dxa"/>
            <w:vAlign w:val="bottom"/>
          </w:tcPr>
          <w:p>
            <w:pPr>
              <w:spacing w:after="0"/>
              <w:rPr>
                <w:sz w:val="1"/>
                <w:szCs w:val="1"/>
                <w:color w:val="auto"/>
              </w:rPr>
            </w:pPr>
          </w:p>
        </w:tc>
      </w:tr>
      <w:tr>
        <w:trPr>
          <w:trHeight w:val="175"/>
        </w:trPr>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69"/>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936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(4 )</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932</w:t>
            </w:r>
          </w:p>
        </w:tc>
        <w:tc>
          <w:tcPr>
            <w:tcW w:w="0" w:type="dxa"/>
            <w:vAlign w:val="bottom"/>
          </w:tcPr>
          <w:p>
            <w:pPr>
              <w:spacing w:after="0"/>
              <w:rPr>
                <w:sz w:val="1"/>
                <w:szCs w:val="1"/>
                <w:color w:val="auto"/>
              </w:rPr>
            </w:pPr>
          </w:p>
        </w:tc>
      </w:tr>
      <w:tr>
        <w:trPr>
          <w:trHeight w:val="139"/>
        </w:trPr>
        <w:tc>
          <w:tcPr>
            <w:tcW w:w="44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Common stock issued</w:t>
            </w:r>
          </w:p>
        </w:tc>
        <w:tc>
          <w:tcPr>
            <w:tcW w:w="820" w:type="dxa"/>
            <w:vAlign w:val="bottom"/>
          </w:tcPr>
          <w:p>
            <w:pPr>
              <w:jc w:val="right"/>
              <w:ind w:right="49"/>
              <w:spacing w:after="0" w:line="139" w:lineRule="exact"/>
              <w:rPr>
                <w:sz w:val="20"/>
                <w:szCs w:val="20"/>
                <w:color w:val="auto"/>
              </w:rPr>
            </w:pPr>
            <w:r>
              <w:rPr>
                <w:rFonts w:ascii="Times New Roman" w:cs="Times New Roman" w:eastAsia="Times New Roman" w:hAnsi="Times New Roman"/>
                <w:sz w:val="14"/>
                <w:szCs w:val="14"/>
                <w:color w:val="auto"/>
              </w:rPr>
              <w:t>45,824,4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892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938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185"/>
        </w:trPr>
        <w:tc>
          <w:tcPr>
            <w:tcW w:w="448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5"/>
        </w:trPr>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39"/>
        </w:trPr>
        <w:tc>
          <w:tcPr>
            <w:tcW w:w="4480" w:type="dxa"/>
            <w:vAlign w:val="bottom"/>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Common stock issued from treasury</w:t>
            </w:r>
          </w:p>
        </w:tc>
        <w:tc>
          <w:tcPr>
            <w:tcW w:w="820" w:type="dxa"/>
            <w:vAlign w:val="bottom"/>
            <w:shd w:val="clear" w:color="auto" w:fill="CFF0FC"/>
          </w:tcPr>
          <w:p>
            <w:pPr>
              <w:jc w:val="right"/>
              <w:ind w:right="49"/>
              <w:spacing w:after="0" w:line="139" w:lineRule="exact"/>
              <w:rPr>
                <w:sz w:val="20"/>
                <w:szCs w:val="20"/>
                <w:color w:val="auto"/>
              </w:rPr>
            </w:pPr>
            <w:r>
              <w:rPr>
                <w:rFonts w:ascii="Times New Roman" w:cs="Times New Roman" w:eastAsia="Times New Roman" w:hAnsi="Times New Roman"/>
                <w:sz w:val="14"/>
                <w:szCs w:val="14"/>
                <w:color w:val="auto"/>
              </w:rPr>
              <w:t>2,748,64</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5"/>
        </w:trPr>
        <w:tc>
          <w:tcPr>
            <w:tcW w:w="448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of Cooper Tire's minority interests</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48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42,494,684 common treasury shares)</w:t>
            </w:r>
          </w:p>
        </w:tc>
        <w:tc>
          <w:tcPr>
            <w:tcW w:w="82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281,793,</w:t>
            </w:r>
          </w:p>
        </w:tc>
        <w:tc>
          <w:tcPr>
            <w:tcW w:w="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282</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3,10</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5,57</w:t>
            </w:r>
          </w:p>
        </w:tc>
        <w:tc>
          <w:tcPr>
            <w:tcW w:w="28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(3,963 )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4,999</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185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5,184</w:t>
            </w: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223</w:t>
            </w:r>
          </w:p>
        </w:tc>
        <w:tc>
          <w:tcPr>
            <w:tcW w:w="34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4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7</w:t>
            </w:r>
          </w:p>
        </w:tc>
        <w:tc>
          <w:tcPr>
            <w:tcW w:w="240" w:type="dxa"/>
            <w:vAlign w:val="bottom"/>
            <w:gridSpan w:val="2"/>
            <w:vMerge w:val="continue"/>
          </w:tcPr>
          <w:p>
            <w:pPr>
              <w:spacing w:after="0"/>
              <w:rPr>
                <w:sz w:val="16"/>
                <w:szCs w:val="16"/>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w:t>
            </w:r>
          </w:p>
        </w:tc>
        <w:tc>
          <w:tcPr>
            <w:tcW w:w="2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dividends declared or paid for the year ended December 31, 2021.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 (Continued)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Minority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5"/>
                <w:szCs w:val="15"/>
                <w:color w:val="auto"/>
              </w:rPr>
            </w:pPr>
          </w:p>
        </w:tc>
        <w:tc>
          <w:tcPr>
            <w:tcW w:w="760" w:type="dxa"/>
            <w:vAlign w:val="bottom"/>
            <w:gridSpan w:val="2"/>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Goodyear</w:t>
            </w:r>
          </w:p>
        </w:tc>
        <w:tc>
          <w:tcPr>
            <w:tcW w:w="120" w:type="dxa"/>
            <w:vAlign w:val="bottom"/>
          </w:tcPr>
          <w:p>
            <w:pPr>
              <w:spacing w:after="0"/>
              <w:rPr>
                <w:sz w:val="15"/>
                <w:szCs w:val="15"/>
                <w:color w:val="auto"/>
              </w:rPr>
            </w:pPr>
          </w:p>
        </w:tc>
        <w:tc>
          <w:tcPr>
            <w:tcW w:w="960" w:type="dxa"/>
            <w:vAlign w:val="bottom"/>
            <w:gridSpan w:val="2"/>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1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3"/>
                <w:szCs w:val="13"/>
                <w:b w:val="1"/>
                <w:bCs w:val="1"/>
                <w:color w:val="auto"/>
              </w:rPr>
              <w:t>Capita</w:t>
            </w:r>
          </w:p>
        </w:tc>
        <w:tc>
          <w:tcPr>
            <w:tcW w:w="100" w:type="dxa"/>
            <w:vAlign w:val="bottom"/>
          </w:tcPr>
          <w:p>
            <w:pPr>
              <w:spacing w:after="0"/>
              <w:rPr>
                <w:sz w:val="12"/>
                <w:szCs w:val="12"/>
                <w:color w:val="auto"/>
              </w:rPr>
            </w:pPr>
          </w:p>
        </w:tc>
        <w:tc>
          <w:tcPr>
            <w:tcW w:w="560" w:type="dxa"/>
            <w:vAlign w:val="bottom"/>
            <w:gridSpan w:val="2"/>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Retain</w:t>
            </w:r>
          </w:p>
        </w:tc>
        <w:tc>
          <w:tcPr>
            <w:tcW w:w="100" w:type="dxa"/>
            <w:vAlign w:val="bottom"/>
          </w:tcPr>
          <w:p>
            <w:pPr>
              <w:spacing w:after="0"/>
              <w:rPr>
                <w:sz w:val="12"/>
                <w:szCs w:val="12"/>
                <w:color w:val="auto"/>
              </w:rPr>
            </w:pPr>
          </w:p>
        </w:tc>
        <w:tc>
          <w:tcPr>
            <w:tcW w:w="96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3"/>
                <w:szCs w:val="13"/>
                <w:b w:val="1"/>
                <w:bCs w:val="1"/>
                <w:color w:val="auto"/>
              </w:rPr>
              <w:t>Comprehensi</w:t>
            </w:r>
          </w:p>
        </w:tc>
        <w:tc>
          <w:tcPr>
            <w:tcW w:w="100" w:type="dxa"/>
            <w:vAlign w:val="bottom"/>
          </w:tcPr>
          <w:p>
            <w:pPr>
              <w:spacing w:after="0"/>
              <w:rPr>
                <w:sz w:val="12"/>
                <w:szCs w:val="12"/>
                <w:color w:val="auto"/>
              </w:rPr>
            </w:pPr>
          </w:p>
        </w:tc>
        <w:tc>
          <w:tcPr>
            <w:tcW w:w="760" w:type="dxa"/>
            <w:vAlign w:val="bottom"/>
            <w:gridSpan w:val="2"/>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Sharehold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90"/>
              <w:spacing w:after="0" w:line="149" w:lineRule="exact"/>
              <w:rPr>
                <w:sz w:val="20"/>
                <w:szCs w:val="20"/>
                <w:color w:val="auto"/>
              </w:rPr>
            </w:pPr>
            <w:r>
              <w:rPr>
                <w:rFonts w:ascii="Times New Roman" w:cs="Times New Roman" w:eastAsia="Times New Roman" w:hAnsi="Times New Roman"/>
                <w:sz w:val="13"/>
                <w:szCs w:val="13"/>
                <w:b w:val="1"/>
                <w:bCs w:val="1"/>
                <w:color w:val="auto"/>
              </w:rPr>
              <w:t>Equity —</w:t>
            </w:r>
          </w:p>
        </w:tc>
        <w:tc>
          <w:tcPr>
            <w:tcW w:w="100" w:type="dxa"/>
            <w:vAlign w:val="bottom"/>
          </w:tcPr>
          <w:p>
            <w:pPr>
              <w:spacing w:after="0"/>
              <w:rPr>
                <w:sz w:val="12"/>
                <w:szCs w:val="12"/>
                <w:color w:val="auto"/>
              </w:rPr>
            </w:pPr>
          </w:p>
        </w:tc>
        <w:tc>
          <w:tcPr>
            <w:tcW w:w="780" w:type="dxa"/>
            <w:vAlign w:val="bottom"/>
            <w:gridSpan w:val="2"/>
          </w:tcPr>
          <w:p>
            <w:pPr>
              <w:jc w:val="center"/>
              <w:ind w:right="49"/>
              <w:spacing w:after="0" w:line="149" w:lineRule="exact"/>
              <w:rPr>
                <w:sz w:val="20"/>
                <w:szCs w:val="20"/>
                <w:color w:val="auto"/>
              </w:rPr>
            </w:pPr>
            <w:r>
              <w:rPr>
                <w:rFonts w:ascii="Times New Roman" w:cs="Times New Roman" w:eastAsia="Times New Roman" w:hAnsi="Times New Roman"/>
                <w:sz w:val="13"/>
                <w:szCs w:val="13"/>
                <w:b w:val="1"/>
                <w:bCs w:val="1"/>
                <w:color w:val="auto"/>
              </w:rPr>
              <w:t>Sharehold</w:t>
            </w:r>
          </w:p>
        </w:tc>
        <w:tc>
          <w:tcPr>
            <w:tcW w:w="0" w:type="dxa"/>
            <w:vAlign w:val="bottom"/>
          </w:tcPr>
          <w:p>
            <w:pPr>
              <w:spacing w:after="0"/>
              <w:rPr>
                <w:sz w:val="1"/>
                <w:szCs w:val="1"/>
                <w:color w:val="auto"/>
              </w:rPr>
            </w:pPr>
          </w:p>
        </w:tc>
      </w:tr>
      <w:tr>
        <w:trPr>
          <w:trHeight w:val="165"/>
        </w:trPr>
        <w:tc>
          <w:tcPr>
            <w:tcW w:w="4480" w:type="dxa"/>
            <w:vAlign w:val="bottom"/>
          </w:tcPr>
          <w:p>
            <w:pPr>
              <w:spacing w:after="0"/>
              <w:rPr>
                <w:sz w:val="14"/>
                <w:szCs w:val="14"/>
                <w:color w:val="auto"/>
              </w:rPr>
            </w:pPr>
          </w:p>
        </w:tc>
        <w:tc>
          <w:tcPr>
            <w:tcW w:w="1160" w:type="dxa"/>
            <w:vAlign w:val="bottom"/>
            <w:tcBorders>
              <w:bottom w:val="single" w:sz="8" w:color="auto"/>
            </w:tcBorders>
            <w:gridSpan w:val="3"/>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Non-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8"/>
              </w:rPr>
              <w:t>ers'</w:t>
            </w:r>
          </w:p>
        </w:tc>
        <w:tc>
          <w:tcPr>
            <w:tcW w:w="0" w:type="dxa"/>
            <w:vAlign w:val="bottom"/>
          </w:tcPr>
          <w:p>
            <w:pPr>
              <w:spacing w:after="0"/>
              <w:rPr>
                <w:sz w:val="1"/>
                <w:szCs w:val="1"/>
                <w:color w:val="auto"/>
              </w:rPr>
            </w:pPr>
          </w:p>
        </w:tc>
      </w:tr>
      <w:tr>
        <w:trPr>
          <w:trHeight w:val="139"/>
        </w:trPr>
        <w:tc>
          <w:tcPr>
            <w:tcW w:w="4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Amoun</w:t>
            </w:r>
          </w:p>
        </w:tc>
        <w:tc>
          <w:tcPr>
            <w:tcW w:w="100" w:type="dxa"/>
            <w:vAlign w:val="bottom"/>
          </w:tcPr>
          <w:p>
            <w:pPr>
              <w:spacing w:after="0"/>
              <w:rPr>
                <w:sz w:val="12"/>
                <w:szCs w:val="12"/>
                <w:color w:val="auto"/>
              </w:rPr>
            </w:pPr>
          </w:p>
        </w:tc>
        <w:tc>
          <w:tcPr>
            <w:tcW w:w="56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Surplu</w:t>
            </w:r>
          </w:p>
        </w:tc>
        <w:tc>
          <w:tcPr>
            <w:tcW w:w="100" w:type="dxa"/>
            <w:vAlign w:val="bottom"/>
          </w:tcPr>
          <w:p>
            <w:pPr>
              <w:spacing w:after="0"/>
              <w:rPr>
                <w:sz w:val="12"/>
                <w:szCs w:val="12"/>
                <w:color w:val="auto"/>
              </w:rPr>
            </w:pPr>
          </w:p>
        </w:tc>
        <w:tc>
          <w:tcPr>
            <w:tcW w:w="560" w:type="dxa"/>
            <w:vAlign w:val="bottom"/>
            <w:gridSpan w:val="2"/>
          </w:tcPr>
          <w:p>
            <w:pPr>
              <w:jc w:val="center"/>
              <w:ind w:right="49"/>
              <w:spacing w:after="0" w:line="139" w:lineRule="exact"/>
              <w:rPr>
                <w:sz w:val="20"/>
                <w:szCs w:val="20"/>
                <w:color w:val="auto"/>
              </w:rPr>
            </w:pPr>
            <w:r>
              <w:rPr>
                <w:rFonts w:ascii="Times New Roman" w:cs="Times New Roman" w:eastAsia="Times New Roman" w:hAnsi="Times New Roman"/>
                <w:sz w:val="13"/>
                <w:szCs w:val="13"/>
                <w:b w:val="1"/>
                <w:bCs w:val="1"/>
                <w:color w:val="auto"/>
              </w:rPr>
              <w:t>Earnin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8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w w:val="91"/>
              </w:rPr>
              <w:t>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gs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5"/>
                <w:szCs w:val="15"/>
                <w:color w:val="auto"/>
              </w:rPr>
            </w:pPr>
          </w:p>
        </w:tc>
        <w:tc>
          <w:tcPr>
            <w:tcW w:w="96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48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42,494,684 common treasury shares)</w:t>
            </w:r>
          </w:p>
        </w:tc>
        <w:tc>
          <w:tcPr>
            <w:tcW w:w="840" w:type="dxa"/>
            <w:vAlign w:val="bottom"/>
          </w:tcPr>
          <w:p>
            <w:pPr>
              <w:jc w:val="right"/>
              <w:ind w:right="69"/>
              <w:spacing w:after="0" w:line="137" w:lineRule="exact"/>
              <w:rPr>
                <w:sz w:val="20"/>
                <w:szCs w:val="20"/>
                <w:color w:val="auto"/>
              </w:rPr>
            </w:pPr>
            <w:r>
              <w:rPr>
                <w:rFonts w:ascii="Times New Roman" w:cs="Times New Roman" w:eastAsia="Times New Roman" w:hAnsi="Times New Roman"/>
                <w:sz w:val="14"/>
                <w:szCs w:val="14"/>
                <w:b w:val="1"/>
                <w:bCs w:val="1"/>
                <w:color w:val="auto"/>
              </w:rPr>
              <w:t>281,793,</w:t>
            </w:r>
          </w:p>
        </w:tc>
        <w:tc>
          <w:tcPr>
            <w:tcW w:w="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282</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3,10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5,57</w:t>
            </w:r>
          </w:p>
        </w:tc>
        <w:tc>
          <w:tcPr>
            <w:tcW w:w="28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(3,963 )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4,999</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185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5,184</w:t>
            </w: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223</w:t>
            </w:r>
          </w:p>
        </w:tc>
        <w:tc>
          <w:tcPr>
            <w:tcW w:w="32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7</w:t>
            </w:r>
          </w:p>
        </w:tc>
        <w:tc>
          <w:tcPr>
            <w:tcW w:w="220" w:type="dxa"/>
            <w:vAlign w:val="bottom"/>
            <w:gridSpan w:val="2"/>
            <w:vMerge w:val="continue"/>
          </w:tcPr>
          <w:p>
            <w:pPr>
              <w:spacing w:after="0"/>
              <w:rPr>
                <w:sz w:val="16"/>
                <w:szCs w:val="16"/>
                <w:color w:val="auto"/>
              </w:rPr>
            </w:pPr>
          </w:p>
        </w:tc>
        <w:tc>
          <w:tcPr>
            <w:tcW w:w="4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w:t>
            </w:r>
          </w:p>
        </w:tc>
        <w:tc>
          <w:tcPr>
            <w:tcW w:w="2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75"/>
        </w:trPr>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69"/>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290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(10 )</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280</w:t>
            </w:r>
          </w:p>
        </w:tc>
        <w:tc>
          <w:tcPr>
            <w:tcW w:w="0" w:type="dxa"/>
            <w:vAlign w:val="bottom"/>
          </w:tcPr>
          <w:p>
            <w:pPr>
              <w:spacing w:after="0"/>
              <w:rPr>
                <w:sz w:val="1"/>
                <w:szCs w:val="1"/>
                <w:color w:val="auto"/>
              </w:rPr>
            </w:pPr>
          </w:p>
        </w:tc>
      </w:tr>
      <w:tr>
        <w:trPr>
          <w:trHeight w:val="175"/>
        </w:trPr>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5"/>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39"/>
        </w:trPr>
        <w:tc>
          <w:tcPr>
            <w:tcW w:w="44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Common stock issued from treasury</w:t>
            </w:r>
          </w:p>
        </w:tc>
        <w:tc>
          <w:tcPr>
            <w:tcW w:w="840" w:type="dxa"/>
            <w:vAlign w:val="bottom"/>
          </w:tcPr>
          <w:p>
            <w:pPr>
              <w:jc w:val="right"/>
              <w:ind w:right="69"/>
              <w:spacing w:after="0" w:line="139" w:lineRule="exact"/>
              <w:rPr>
                <w:sz w:val="20"/>
                <w:szCs w:val="20"/>
                <w:color w:val="auto"/>
              </w:rPr>
            </w:pPr>
            <w:r>
              <w:rPr>
                <w:rFonts w:ascii="Times New Roman" w:cs="Times New Roman" w:eastAsia="Times New Roman" w:hAnsi="Times New Roman"/>
                <w:sz w:val="14"/>
                <w:szCs w:val="14"/>
                <w:color w:val="auto"/>
              </w:rPr>
              <w:t>1,103,12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85"/>
        </w:trPr>
        <w:tc>
          <w:tcPr>
            <w:tcW w:w="4480" w:type="dxa"/>
            <w:vAlign w:val="bottom"/>
          </w:tcPr>
          <w:p>
            <w:pPr>
              <w:spacing w:after="0"/>
              <w:rPr>
                <w:sz w:val="16"/>
                <w:szCs w:val="16"/>
                <w:color w:val="auto"/>
              </w:rPr>
            </w:pPr>
          </w:p>
        </w:tc>
        <w:tc>
          <w:tcPr>
            <w:tcW w:w="8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48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41,391,555 common treasury shares)</w:t>
            </w:r>
          </w:p>
        </w:tc>
        <w:tc>
          <w:tcPr>
            <w:tcW w:w="840" w:type="dxa"/>
            <w:vAlign w:val="bottom"/>
          </w:tcPr>
          <w:p>
            <w:pPr>
              <w:jc w:val="right"/>
              <w:ind w:right="69"/>
              <w:spacing w:after="0" w:line="137" w:lineRule="exact"/>
              <w:rPr>
                <w:sz w:val="20"/>
                <w:szCs w:val="20"/>
                <w:color w:val="auto"/>
              </w:rPr>
            </w:pPr>
            <w:r>
              <w:rPr>
                <w:rFonts w:ascii="Times New Roman" w:cs="Times New Roman" w:eastAsia="Times New Roman" w:hAnsi="Times New Roman"/>
                <w:sz w:val="14"/>
                <w:szCs w:val="14"/>
                <w:b w:val="1"/>
                <w:bCs w:val="1"/>
                <w:color w:val="auto"/>
              </w:rPr>
              <w:t>282,896,</w:t>
            </w:r>
          </w:p>
        </w:tc>
        <w:tc>
          <w:tcPr>
            <w:tcW w:w="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283</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3,11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5,77</w:t>
            </w:r>
          </w:p>
        </w:tc>
        <w:tc>
          <w:tcPr>
            <w:tcW w:w="28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(3,875 )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5,300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166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5,466</w:t>
            </w: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352</w:t>
            </w:r>
          </w:p>
        </w:tc>
        <w:tc>
          <w:tcPr>
            <w:tcW w:w="32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7</w:t>
            </w:r>
          </w:p>
        </w:tc>
        <w:tc>
          <w:tcPr>
            <w:tcW w:w="220" w:type="dxa"/>
            <w:vAlign w:val="bottom"/>
            <w:gridSpan w:val="2"/>
            <w:vMerge w:val="continue"/>
          </w:tcPr>
          <w:p>
            <w:pPr>
              <w:spacing w:after="0"/>
              <w:rPr>
                <w:sz w:val="16"/>
                <w:szCs w:val="16"/>
                <w:color w:val="auto"/>
              </w:rPr>
            </w:pPr>
          </w:p>
        </w:tc>
        <w:tc>
          <w:tcPr>
            <w:tcW w:w="4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w:t>
            </w:r>
          </w:p>
        </w:tc>
        <w:tc>
          <w:tcPr>
            <w:tcW w:w="2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dividends declared or paid for the year ended December 31,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 (Continued)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Minority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5"/>
                <w:szCs w:val="15"/>
                <w:color w:val="auto"/>
              </w:rPr>
            </w:pPr>
          </w:p>
        </w:tc>
        <w:tc>
          <w:tcPr>
            <w:tcW w:w="760" w:type="dxa"/>
            <w:vAlign w:val="bottom"/>
            <w:gridSpan w:val="2"/>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Goodyear</w:t>
            </w:r>
          </w:p>
        </w:tc>
        <w:tc>
          <w:tcPr>
            <w:tcW w:w="120" w:type="dxa"/>
            <w:vAlign w:val="bottom"/>
          </w:tcPr>
          <w:p>
            <w:pPr>
              <w:spacing w:after="0"/>
              <w:rPr>
                <w:sz w:val="15"/>
                <w:szCs w:val="15"/>
                <w:color w:val="auto"/>
              </w:rPr>
            </w:pPr>
          </w:p>
        </w:tc>
        <w:tc>
          <w:tcPr>
            <w:tcW w:w="960" w:type="dxa"/>
            <w:vAlign w:val="bottom"/>
            <w:gridSpan w:val="2"/>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1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3"/>
                <w:szCs w:val="13"/>
                <w:b w:val="1"/>
                <w:bCs w:val="1"/>
                <w:color w:val="auto"/>
              </w:rPr>
              <w:t>Capita</w:t>
            </w:r>
          </w:p>
        </w:tc>
        <w:tc>
          <w:tcPr>
            <w:tcW w:w="100" w:type="dxa"/>
            <w:vAlign w:val="bottom"/>
          </w:tcPr>
          <w:p>
            <w:pPr>
              <w:spacing w:after="0"/>
              <w:rPr>
                <w:sz w:val="12"/>
                <w:szCs w:val="12"/>
                <w:color w:val="auto"/>
              </w:rPr>
            </w:pPr>
          </w:p>
        </w:tc>
        <w:tc>
          <w:tcPr>
            <w:tcW w:w="560" w:type="dxa"/>
            <w:vAlign w:val="bottom"/>
            <w:gridSpan w:val="2"/>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Retain</w:t>
            </w:r>
          </w:p>
        </w:tc>
        <w:tc>
          <w:tcPr>
            <w:tcW w:w="100" w:type="dxa"/>
            <w:vAlign w:val="bottom"/>
          </w:tcPr>
          <w:p>
            <w:pPr>
              <w:spacing w:after="0"/>
              <w:rPr>
                <w:sz w:val="12"/>
                <w:szCs w:val="12"/>
                <w:color w:val="auto"/>
              </w:rPr>
            </w:pPr>
          </w:p>
        </w:tc>
        <w:tc>
          <w:tcPr>
            <w:tcW w:w="96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3"/>
                <w:szCs w:val="13"/>
                <w:b w:val="1"/>
                <w:bCs w:val="1"/>
                <w:color w:val="auto"/>
              </w:rPr>
              <w:t>Comprehensi</w:t>
            </w:r>
          </w:p>
        </w:tc>
        <w:tc>
          <w:tcPr>
            <w:tcW w:w="100" w:type="dxa"/>
            <w:vAlign w:val="bottom"/>
          </w:tcPr>
          <w:p>
            <w:pPr>
              <w:spacing w:after="0"/>
              <w:rPr>
                <w:sz w:val="12"/>
                <w:szCs w:val="12"/>
                <w:color w:val="auto"/>
              </w:rPr>
            </w:pPr>
          </w:p>
        </w:tc>
        <w:tc>
          <w:tcPr>
            <w:tcW w:w="760" w:type="dxa"/>
            <w:vAlign w:val="bottom"/>
            <w:gridSpan w:val="2"/>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Sharehold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90"/>
              <w:spacing w:after="0" w:line="149" w:lineRule="exact"/>
              <w:rPr>
                <w:sz w:val="20"/>
                <w:szCs w:val="20"/>
                <w:color w:val="auto"/>
              </w:rPr>
            </w:pPr>
            <w:r>
              <w:rPr>
                <w:rFonts w:ascii="Times New Roman" w:cs="Times New Roman" w:eastAsia="Times New Roman" w:hAnsi="Times New Roman"/>
                <w:sz w:val="13"/>
                <w:szCs w:val="13"/>
                <w:b w:val="1"/>
                <w:bCs w:val="1"/>
                <w:color w:val="auto"/>
              </w:rPr>
              <w:t>Equity —</w:t>
            </w:r>
          </w:p>
        </w:tc>
        <w:tc>
          <w:tcPr>
            <w:tcW w:w="100" w:type="dxa"/>
            <w:vAlign w:val="bottom"/>
          </w:tcPr>
          <w:p>
            <w:pPr>
              <w:spacing w:after="0"/>
              <w:rPr>
                <w:sz w:val="12"/>
                <w:szCs w:val="12"/>
                <w:color w:val="auto"/>
              </w:rPr>
            </w:pPr>
          </w:p>
        </w:tc>
        <w:tc>
          <w:tcPr>
            <w:tcW w:w="780" w:type="dxa"/>
            <w:vAlign w:val="bottom"/>
            <w:gridSpan w:val="2"/>
          </w:tcPr>
          <w:p>
            <w:pPr>
              <w:jc w:val="center"/>
              <w:ind w:right="49"/>
              <w:spacing w:after="0" w:line="149" w:lineRule="exact"/>
              <w:rPr>
                <w:sz w:val="20"/>
                <w:szCs w:val="20"/>
                <w:color w:val="auto"/>
              </w:rPr>
            </w:pPr>
            <w:r>
              <w:rPr>
                <w:rFonts w:ascii="Times New Roman" w:cs="Times New Roman" w:eastAsia="Times New Roman" w:hAnsi="Times New Roman"/>
                <w:sz w:val="13"/>
                <w:szCs w:val="13"/>
                <w:b w:val="1"/>
                <w:bCs w:val="1"/>
                <w:color w:val="auto"/>
              </w:rPr>
              <w:t>Sharehold</w:t>
            </w:r>
          </w:p>
        </w:tc>
        <w:tc>
          <w:tcPr>
            <w:tcW w:w="0" w:type="dxa"/>
            <w:vAlign w:val="bottom"/>
          </w:tcPr>
          <w:p>
            <w:pPr>
              <w:spacing w:after="0"/>
              <w:rPr>
                <w:sz w:val="1"/>
                <w:szCs w:val="1"/>
                <w:color w:val="auto"/>
              </w:rPr>
            </w:pPr>
          </w:p>
        </w:tc>
      </w:tr>
      <w:tr>
        <w:trPr>
          <w:trHeight w:val="165"/>
        </w:trPr>
        <w:tc>
          <w:tcPr>
            <w:tcW w:w="4480" w:type="dxa"/>
            <w:vAlign w:val="bottom"/>
          </w:tcPr>
          <w:p>
            <w:pPr>
              <w:spacing w:after="0"/>
              <w:rPr>
                <w:sz w:val="14"/>
                <w:szCs w:val="14"/>
                <w:color w:val="auto"/>
              </w:rPr>
            </w:pPr>
          </w:p>
        </w:tc>
        <w:tc>
          <w:tcPr>
            <w:tcW w:w="1160" w:type="dxa"/>
            <w:vAlign w:val="bottom"/>
            <w:tcBorders>
              <w:bottom w:val="single" w:sz="8" w:color="auto"/>
            </w:tcBorders>
            <w:gridSpan w:val="3"/>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Non-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8"/>
              </w:rPr>
              <w:t>ers'</w:t>
            </w:r>
          </w:p>
        </w:tc>
        <w:tc>
          <w:tcPr>
            <w:tcW w:w="0" w:type="dxa"/>
            <w:vAlign w:val="bottom"/>
          </w:tcPr>
          <w:p>
            <w:pPr>
              <w:spacing w:after="0"/>
              <w:rPr>
                <w:sz w:val="1"/>
                <w:szCs w:val="1"/>
                <w:color w:val="auto"/>
              </w:rPr>
            </w:pPr>
          </w:p>
        </w:tc>
      </w:tr>
      <w:tr>
        <w:trPr>
          <w:trHeight w:val="139"/>
        </w:trPr>
        <w:tc>
          <w:tcPr>
            <w:tcW w:w="4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Amoun</w:t>
            </w:r>
          </w:p>
        </w:tc>
        <w:tc>
          <w:tcPr>
            <w:tcW w:w="100" w:type="dxa"/>
            <w:vAlign w:val="bottom"/>
          </w:tcPr>
          <w:p>
            <w:pPr>
              <w:spacing w:after="0"/>
              <w:rPr>
                <w:sz w:val="12"/>
                <w:szCs w:val="12"/>
                <w:color w:val="auto"/>
              </w:rPr>
            </w:pPr>
          </w:p>
        </w:tc>
        <w:tc>
          <w:tcPr>
            <w:tcW w:w="56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Surplu</w:t>
            </w:r>
          </w:p>
        </w:tc>
        <w:tc>
          <w:tcPr>
            <w:tcW w:w="100" w:type="dxa"/>
            <w:vAlign w:val="bottom"/>
          </w:tcPr>
          <w:p>
            <w:pPr>
              <w:spacing w:after="0"/>
              <w:rPr>
                <w:sz w:val="12"/>
                <w:szCs w:val="12"/>
                <w:color w:val="auto"/>
              </w:rPr>
            </w:pPr>
          </w:p>
        </w:tc>
        <w:tc>
          <w:tcPr>
            <w:tcW w:w="560" w:type="dxa"/>
            <w:vAlign w:val="bottom"/>
            <w:gridSpan w:val="2"/>
          </w:tcPr>
          <w:p>
            <w:pPr>
              <w:jc w:val="center"/>
              <w:ind w:right="49"/>
              <w:spacing w:after="0" w:line="139" w:lineRule="exact"/>
              <w:rPr>
                <w:sz w:val="20"/>
                <w:szCs w:val="20"/>
                <w:color w:val="auto"/>
              </w:rPr>
            </w:pPr>
            <w:r>
              <w:rPr>
                <w:rFonts w:ascii="Times New Roman" w:cs="Times New Roman" w:eastAsia="Times New Roman" w:hAnsi="Times New Roman"/>
                <w:sz w:val="13"/>
                <w:szCs w:val="13"/>
                <w:b w:val="1"/>
                <w:bCs w:val="1"/>
                <w:color w:val="auto"/>
              </w:rPr>
              <w:t>Earnin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8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w w:val="91"/>
              </w:rPr>
              <w:t>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gs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5"/>
                <w:szCs w:val="15"/>
                <w:color w:val="auto"/>
              </w:rPr>
            </w:pPr>
          </w:p>
        </w:tc>
        <w:tc>
          <w:tcPr>
            <w:tcW w:w="96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48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41,391,555 common treasury shares)</w:t>
            </w:r>
          </w:p>
        </w:tc>
        <w:tc>
          <w:tcPr>
            <w:tcW w:w="840" w:type="dxa"/>
            <w:vAlign w:val="bottom"/>
          </w:tcPr>
          <w:p>
            <w:pPr>
              <w:jc w:val="right"/>
              <w:ind w:right="69"/>
              <w:spacing w:after="0" w:line="137" w:lineRule="exact"/>
              <w:rPr>
                <w:sz w:val="20"/>
                <w:szCs w:val="20"/>
                <w:color w:val="auto"/>
              </w:rPr>
            </w:pPr>
            <w:r>
              <w:rPr>
                <w:rFonts w:ascii="Times New Roman" w:cs="Times New Roman" w:eastAsia="Times New Roman" w:hAnsi="Times New Roman"/>
                <w:sz w:val="14"/>
                <w:szCs w:val="14"/>
                <w:b w:val="1"/>
                <w:bCs w:val="1"/>
                <w:color w:val="auto"/>
              </w:rPr>
              <w:t>282,896,</w:t>
            </w:r>
          </w:p>
        </w:tc>
        <w:tc>
          <w:tcPr>
            <w:tcW w:w="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283</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3,11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5,77</w:t>
            </w:r>
          </w:p>
        </w:tc>
        <w:tc>
          <w:tcPr>
            <w:tcW w:w="28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(3,875 )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5,300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166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5,466</w:t>
            </w: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352</w:t>
            </w:r>
          </w:p>
        </w:tc>
        <w:tc>
          <w:tcPr>
            <w:tcW w:w="32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7</w:t>
            </w:r>
          </w:p>
        </w:tc>
        <w:tc>
          <w:tcPr>
            <w:tcW w:w="220" w:type="dxa"/>
            <w:vAlign w:val="bottom"/>
            <w:gridSpan w:val="2"/>
            <w:vMerge w:val="continue"/>
          </w:tcPr>
          <w:p>
            <w:pPr>
              <w:spacing w:after="0"/>
              <w:rPr>
                <w:sz w:val="16"/>
                <w:szCs w:val="16"/>
                <w:color w:val="auto"/>
              </w:rPr>
            </w:pPr>
          </w:p>
        </w:tc>
        <w:tc>
          <w:tcPr>
            <w:tcW w:w="4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w:t>
            </w:r>
          </w:p>
        </w:tc>
        <w:tc>
          <w:tcPr>
            <w:tcW w:w="2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(689 )</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(689 )</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(687 )</w:t>
            </w:r>
          </w:p>
        </w:tc>
        <w:tc>
          <w:tcPr>
            <w:tcW w:w="0" w:type="dxa"/>
            <w:vAlign w:val="bottom"/>
          </w:tcPr>
          <w:p>
            <w:pPr>
              <w:spacing w:after="0"/>
              <w:rPr>
                <w:sz w:val="1"/>
                <w:szCs w:val="1"/>
                <w:color w:val="auto"/>
              </w:rPr>
            </w:pPr>
          </w:p>
        </w:tc>
      </w:tr>
      <w:tr>
        <w:trPr>
          <w:trHeight w:val="175"/>
        </w:trPr>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69"/>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(649 )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(643 )</w:t>
            </w:r>
          </w:p>
        </w:tc>
        <w:tc>
          <w:tcPr>
            <w:tcW w:w="0" w:type="dxa"/>
            <w:vAlign w:val="bottom"/>
          </w:tcPr>
          <w:p>
            <w:pPr>
              <w:spacing w:after="0"/>
              <w:rPr>
                <w:sz w:val="1"/>
                <w:szCs w:val="1"/>
                <w:color w:val="auto"/>
              </w:rPr>
            </w:pPr>
          </w:p>
        </w:tc>
      </w:tr>
      <w:tr>
        <w:trPr>
          <w:trHeight w:val="175"/>
        </w:trPr>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5"/>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75"/>
        </w:trPr>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8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889,911</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FFFFFF"/>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FFFFFF"/>
              </w:rPr>
              <w:t>—</w:t>
            </w:r>
          </w:p>
        </w:tc>
        <w:tc>
          <w:tcPr>
            <w:tcW w:w="0" w:type="dxa"/>
            <w:vAlign w:val="bottom"/>
          </w:tcPr>
          <w:p>
            <w:pPr>
              <w:spacing w:after="0"/>
              <w:rPr>
                <w:sz w:val="1"/>
                <w:szCs w:val="1"/>
                <w:color w:val="auto"/>
              </w:rPr>
            </w:pPr>
          </w:p>
        </w:tc>
      </w:tr>
      <w:tr>
        <w:trPr>
          <w:trHeight w:val="16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48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40,501,644 common treasury shares)</w:t>
            </w:r>
          </w:p>
        </w:tc>
        <w:tc>
          <w:tcPr>
            <w:tcW w:w="840" w:type="dxa"/>
            <w:vAlign w:val="bottom"/>
          </w:tcPr>
          <w:p>
            <w:pPr>
              <w:jc w:val="right"/>
              <w:ind w:right="69"/>
              <w:spacing w:after="0" w:line="137" w:lineRule="exact"/>
              <w:rPr>
                <w:sz w:val="20"/>
                <w:szCs w:val="20"/>
                <w:color w:val="auto"/>
              </w:rPr>
            </w:pPr>
            <w:r>
              <w:rPr>
                <w:rFonts w:ascii="Times New Roman" w:cs="Times New Roman" w:eastAsia="Times New Roman" w:hAnsi="Times New Roman"/>
                <w:sz w:val="14"/>
                <w:szCs w:val="14"/>
                <w:b w:val="1"/>
                <w:bCs w:val="1"/>
                <w:color w:val="auto"/>
              </w:rPr>
              <w:t>283,786,</w:t>
            </w:r>
          </w:p>
        </w:tc>
        <w:tc>
          <w:tcPr>
            <w:tcW w:w="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284</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3,13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49"/>
              <w:spacing w:after="0" w:line="137" w:lineRule="exact"/>
              <w:rPr>
                <w:sz w:val="20"/>
                <w:szCs w:val="20"/>
                <w:color w:val="auto"/>
              </w:rPr>
            </w:pPr>
            <w:r>
              <w:rPr>
                <w:rFonts w:ascii="Times New Roman" w:cs="Times New Roman" w:eastAsia="Times New Roman" w:hAnsi="Times New Roman"/>
                <w:sz w:val="14"/>
                <w:szCs w:val="14"/>
                <w:b w:val="1"/>
                <w:bCs w:val="1"/>
                <w:color w:val="auto"/>
              </w:rPr>
              <w:t>5,08</w:t>
            </w:r>
          </w:p>
        </w:tc>
        <w:tc>
          <w:tcPr>
            <w:tcW w:w="28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(3,835 )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4,668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169</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4,837</w:t>
            </w: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263</w:t>
            </w:r>
          </w:p>
        </w:tc>
        <w:tc>
          <w:tcPr>
            <w:tcW w:w="32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w:t>
            </w:r>
          </w:p>
        </w:tc>
        <w:tc>
          <w:tcPr>
            <w:tcW w:w="220" w:type="dxa"/>
            <w:vAlign w:val="bottom"/>
            <w:gridSpan w:val="2"/>
            <w:vMerge w:val="continue"/>
          </w:tcPr>
          <w:p>
            <w:pPr>
              <w:spacing w:after="0"/>
              <w:rPr>
                <w:sz w:val="16"/>
                <w:szCs w:val="16"/>
                <w:color w:val="auto"/>
              </w:rPr>
            </w:pPr>
          </w:p>
        </w:tc>
        <w:tc>
          <w:tcPr>
            <w:tcW w:w="4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6</w:t>
            </w:r>
          </w:p>
        </w:tc>
        <w:tc>
          <w:tcPr>
            <w:tcW w:w="2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dividends declared or paid for the year ended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169"/>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21"/>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(687 )</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780</w:t>
            </w:r>
          </w:p>
        </w:tc>
      </w:tr>
      <w:tr>
        <w:trPr>
          <w:trHeight w:val="238"/>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(Loss) to Cash Flows from Operating Activities:</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1,001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883</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and Write-Off of Debt Issuance Costs</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Inventory Fair Value Adjustment Related to the Cooper Tire Acquisition (Note 2)</w:t>
            </w:r>
          </w:p>
        </w:tc>
        <w:tc>
          <w:tcPr>
            <w:tcW w:w="2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Transaction and Other Costs Related to the Cooper Tire Acquisition (Note 2)</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Payments for Transaction and Other Costs Related to the Cooper Tire Acquisition</w:t>
            </w:r>
          </w:p>
        </w:tc>
        <w:tc>
          <w:tcPr>
            <w:tcW w:w="2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Goodwill Impairment (Note 12)</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230</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Deferred Income Taxes (Note 7)</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(471 )</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Pension Curtailments and Settlements (Note 18)</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Rationalization Charges (Note 4)</w:t>
            </w:r>
          </w:p>
        </w:tc>
        <w:tc>
          <w:tcPr>
            <w:tcW w:w="2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Rationalization Payments</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(197 )</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(Gains) Losses on Asset Sales (Note 6)</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Expense (Note 15)</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302</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300</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295</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Payments (Note 15)</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(278 )</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Pension Contributions and Direct Payments</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(91 )</w:t>
            </w:r>
          </w:p>
        </w:tc>
      </w:tr>
      <w:tr>
        <w:trPr>
          <w:trHeight w:val="220"/>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 Net of Asset Acquisitions and Dispositions: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(300 )</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908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(982 )</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 — Trade</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686</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923</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158</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23"/>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193</w:t>
            </w:r>
          </w:p>
        </w:tc>
      </w:tr>
      <w:tr>
        <w:trPr>
          <w:trHeight w:val="229"/>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Operating Activities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1,032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1,062</w:t>
            </w:r>
          </w:p>
        </w:tc>
      </w:tr>
      <w:tr>
        <w:trPr>
          <w:trHeight w:val="221"/>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8"/>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Acquisition of Cooper Tire, net of cash and restricted cash acquired (Note 2)</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(1,856 )</w:t>
            </w:r>
          </w:p>
        </w:tc>
      </w:tr>
      <w:tr>
        <w:trPr>
          <w:trHeight w:val="220"/>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(981 )</w:t>
            </w:r>
          </w:p>
        </w:tc>
      </w:tr>
      <w:tr>
        <w:trPr>
          <w:trHeight w:val="239"/>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Proceeds from Sale and Leaseback Transactions (Note 6)</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99</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 Dispositions</w:t>
            </w:r>
          </w:p>
        </w:tc>
        <w:tc>
          <w:tcPr>
            <w:tcW w:w="2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r>
      <w:tr>
        <w:trPr>
          <w:trHeight w:val="239"/>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 Term Securities Acquired</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(118 )</w:t>
            </w:r>
          </w:p>
        </w:tc>
      </w:tr>
      <w:tr>
        <w:trPr>
          <w:trHeight w:val="220"/>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 Term Securities Redeemed</w:t>
            </w:r>
          </w:p>
        </w:tc>
        <w:tc>
          <w:tcPr>
            <w:tcW w:w="2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r>
      <w:tr>
        <w:trPr>
          <w:trHeight w:val="239"/>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Long Term Securities Acquired</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 Term Securities Redeemed</w:t>
            </w:r>
          </w:p>
        </w:tc>
        <w:tc>
          <w:tcPr>
            <w:tcW w:w="2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Notes Receivable</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r>
      <w:tr>
        <w:trPr>
          <w:trHeight w:val="223"/>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Transactions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r>
      <w:tr>
        <w:trPr>
          <w:trHeight w:val="229"/>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Investing Activities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(1,035 )</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(914 )</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(2,793 )</w:t>
            </w:r>
          </w:p>
        </w:tc>
      </w:tr>
      <w:tr>
        <w:trPr>
          <w:trHeight w:val="221"/>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8"/>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 Term Debt and Overdrafts Incurred</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954</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1,321</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1,095</w:t>
            </w:r>
          </w:p>
        </w:tc>
      </w:tr>
      <w:tr>
        <w:trPr>
          <w:trHeight w:val="220"/>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 Term Debt and Overdrafts Paid</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(1,047 )</w:t>
            </w:r>
          </w:p>
        </w:tc>
      </w:tr>
      <w:tr>
        <w:trPr>
          <w:trHeight w:val="239"/>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Long Term Debt Incurred</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9,932</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10,503</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9,862</w:t>
            </w:r>
          </w:p>
        </w:tc>
      </w:tr>
      <w:tr>
        <w:trPr>
          <w:trHeight w:val="220"/>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 Term Debt Paid</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(10,220 )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(9,947 )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(8,504 )</w:t>
            </w:r>
          </w:p>
        </w:tc>
      </w:tr>
      <w:tr>
        <w:trPr>
          <w:trHeight w:val="239"/>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Issued</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r>
      <w:tr>
        <w:trPr>
          <w:trHeight w:val="220"/>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Transactions with Minority Interests in Subsidiaries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32"/>
        </w:trPr>
        <w:tc>
          <w:tcPr>
            <w:tcW w:w="7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Debt Related Costs and Other Transactions</w:t>
            </w: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(93 )</w:t>
            </w:r>
          </w:p>
        </w:tc>
      </w:tr>
      <w:tr>
        <w:trPr>
          <w:trHeight w:val="221"/>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Financing Activities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(333 )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575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1,309</w:t>
            </w:r>
          </w:p>
        </w:tc>
      </w:tr>
      <w:tr>
        <w:trPr>
          <w:trHeight w:val="231"/>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21"/>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(326 )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(460 )</w:t>
            </w:r>
          </w:p>
        </w:tc>
      </w:tr>
      <w:tr>
        <w:trPr>
          <w:trHeight w:val="231"/>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1,311</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1,164</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1,624</w:t>
            </w:r>
          </w:p>
        </w:tc>
      </w:tr>
      <w:tr>
        <w:trPr>
          <w:trHeight w:val="223"/>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985</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1,311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1,164</w:t>
            </w:r>
          </w:p>
        </w:tc>
      </w:tr>
      <w:tr>
        <w:trPr>
          <w:trHeight w:val="20"/>
        </w:trPr>
        <w:tc>
          <w:tcPr>
            <w:tcW w:w="7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-778510</wp:posOffset>
            </wp:positionV>
            <wp:extent cx="939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-778510</wp:posOffset>
            </wp:positionV>
            <wp:extent cx="939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-478790</wp:posOffset>
            </wp:positionV>
            <wp:extent cx="939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-478790</wp:posOffset>
            </wp:positionV>
            <wp:extent cx="939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-179070</wp:posOffset>
            </wp:positionV>
            <wp:extent cx="939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-179070</wp:posOffset>
            </wp:positionV>
            <wp:extent cx="939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764" w:right="3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significant accounting policies used in the preparation of the accompanying consolidated financial statements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3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On June 7, 2021 (the “Closing Date”), we completed the acquisition of Cooper Tire &amp; Rubber Company (“Cooper Tire”). As a result of the acquisition, Cooper Tire, along with its subsidiaries, became subsidiaries of Goodyear. For further information about the acquisition, refer to Note to the Consolidated Financial Statements No. 2, Cooper Tire Acquisition.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Effective January 1, 2023, we adopted an accounting standards update which requires disclosure of the key terms of our material supplier finance programs, including a description of the payment terms and assets pledged as security or other forms of guarantees, if any, provided for the committed payment to the finance provider or intermediary. In addition, the standards update requires disclosure of the related obligations outstanding at each interim reporting period and where those obligations are presented on the balance sheet. The standards update also includes a prospective annual requirement to disclose a rollforward of the amount of the obligations during the annual reporting period. We will include the rollforward disclosure in our Annual Report on Form 10-K for the year ending December 31, 2024, as required.</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supplier finance programs with several financial institutions. Under these agreements, the financial institutions act as our paying agents with respect to accounts payable due to our suppliers. We agree to pay the financial institutions the stated amount of the confirmed invoices from the designated suppliers on the original maturity dates of the invoices. Invoice payment terms can be up to 120 days based on industry norms for the specific item purchased. We do not pay any fees to the financial institutions for these programs. There are no assets pledged as security or other forms of guarantees associated with these agreements. These agreements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 programs. The amounts available under these programs were $892 million and $920 million at December 31, 2023 and December 31, 2022, respectively. The amounts confirmed to the financial institutions were $580 million and $710 million at December 31, 2023 and December 31, 2022, respectively, and are included in Accounts Payable — Trade in our Consolidated Balance Sheets. All activity related to these obligations is presented within operating activities on the Consolidated Statements of Cash Flows.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9, 2023, the Financial Accounting Standards Board (“FASB”) issued an accounting standards update that amends the disclosure or presentation requirements related to various subtopics in the FASB Accounting Standards Codification. The standards update was issued in response to the Securities and Exchange Commission's ("SEC") August 2018 final rule that updated and simplified disclosure requirements that the SEC believed were “redundant, duplicative, overlapping, outdated, or superseded.” The new guidance is intended to align U.S. GAAP requirements with those of the SEC and to facilitate the application of U.S. GAAP for all entities. These amendments do not affect the information that is already included in the audited financial statements of entities subject to the SEC’s current disclosure or presentation requirements. The standards update is effective on the respective dates on which the SEC’s removal of the related disclosure requirement from Regulation S-X or Regulation S-K becomes effective, with early adoption prohibited. The adoption of this accounting standards update will not have a material impact on our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27, 2023, the FASB issued a final accounting standards update to improve disclosures required for reportable segments, specifically related to segment expenses. Entities are required to disclose significant segment expense categories and amounts for each reportable segment. The standards update is effective retrospectively for annual periods beginning after December 15, 2023, and interim periods beginning after December 15, 2024, with early adoption permitted. We are currently assessing the impact of this standards update on our disclosures in the notes to the consolidated financial statements.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14, 2023, the FASB issued a final accounting standards update to improve income tax disclosures. The new standard requires enhanced disclosures primarily related to existing rate reconciliation and income taxes paid information and improves the transparency of income tax disclosures by requiring consistent categories and greater disaggregation of information in the rate reconciliation and requiring income taxes paid to be disaggregated by jurisdiction. It also includes certain amendments to improve the effectiveness of income tax disclosures. The standards update is effective for annual periods beginning after December 15, 2024. We are currently assessing the impact of this standards update on our disclosures in the notes to the consolidated financial statements.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include the results of operations of the businesses in which we acquire a controlling financial interest in our consolidated financial statements beginning as of the acquisition date. On the acquisition date, we recognize, separate from goodwill, the assets acquired, including separately identifiable intangible assets, and the liabilities assumed at their fair values. The excess of the consideration transferred over the fair values assigned to the net identifiable assets and liabilities of the acquired business is recognized as goodwill. Transaction costs are recognized separately from the acquisition and are expensed as incurred.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carried at cost. All intercompany balances and transactions have been eliminated in consolidation.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related notes to the consolidated financial statements. Actual results could differ from those estimates. On an ongoing basis, management reviews its estimates, including those related to:</w:t>
      </w:r>
    </w:p>
    <w:p>
      <w:pPr>
        <w:spacing w:after="0" w:line="69"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intangibles and other long-lived assets,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product liabilities and other litigation,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 valuation allowances and uncertain income tax positions,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rationalization plans,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and other postretirement benefits,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operating allowances and accruals, based on currently available information.</w:t>
      </w:r>
    </w:p>
    <w:p>
      <w:pPr>
        <w:spacing w:after="0" w:line="117" w:lineRule="exact"/>
        <w:rPr>
          <w:sz w:val="20"/>
          <w:szCs w:val="20"/>
          <w:color w:val="auto"/>
        </w:rPr>
      </w:pPr>
    </w:p>
    <w:p>
      <w:pPr>
        <w:ind w:right="1740"/>
        <w:spacing w:after="0" w:line="375" w:lineRule="auto"/>
        <w:rPr>
          <w:sz w:val="20"/>
          <w:szCs w:val="20"/>
          <w:color w:val="auto"/>
        </w:rPr>
      </w:pPr>
      <w:r>
        <w:rPr>
          <w:rFonts w:ascii="Times New Roman" w:cs="Times New Roman" w:eastAsia="Times New Roman" w:hAnsi="Times New Roman"/>
          <w:sz w:val="18"/>
          <w:szCs w:val="18"/>
          <w:color w:val="auto"/>
        </w:rPr>
        <w:t xml:space="preserve">Changes in facts and circumstances may alter such estimates and affect results of operations and financial position in future periods. </w:t>
      </w:r>
      <w:r>
        <w:rPr>
          <w:rFonts w:ascii="Times New Roman" w:cs="Times New Roman" w:eastAsia="Times New Roman" w:hAnsi="Times New Roman"/>
          <w:sz w:val="18"/>
          <w:szCs w:val="18"/>
          <w:b w:val="1"/>
          <w:bCs w:val="1"/>
          <w:i w:val="1"/>
          <w:iCs w:val="1"/>
          <w:color w:val="auto"/>
        </w:rPr>
        <w:t>Revenue Recognition and Accounts Receivable Valuation</w:t>
      </w:r>
    </w:p>
    <w:p>
      <w:pPr>
        <w:jc w:val="both"/>
        <w:spacing w:after="0" w:line="254" w:lineRule="auto"/>
        <w:rPr>
          <w:sz w:val="20"/>
          <w:szCs w:val="20"/>
          <w:color w:val="auto"/>
        </w:rPr>
      </w:pPr>
      <w:r>
        <w:rPr>
          <w:rFonts w:ascii="Times New Roman" w:cs="Times New Roman" w:eastAsia="Times New Roman" w:hAnsi="Times New Roman"/>
          <w:sz w:val="18"/>
          <w:szCs w:val="18"/>
          <w:color w:val="auto"/>
        </w:rPr>
        <w:t>Sales are recognized when obligations under the terms of a contract are satisfied and control is transferred. This generally occurs with shipment or delivery, depending on the terms of the underlying contract, or when services have been rendered. Sales are measured as the amount of consideration we expect to receive in exchange for transferring goods or providing services. The amount of consideration we receive and sales we recognize can vary due to changes in sales incentives, rebates, rights of return or other items we offer our customers, for which we estimate the expected amounts based on an analysis of historical experience, or as the most likely amount in a range of possible outcomes. Payment terms with customers vary by region and customer, but are generally 30-90 days or at the point of sale for our consumer retail locations. Net sales exclude sales, value added and other taxes. Costs to obtain contracts are generally expensed as incurred due to the short term nature of individual contracts. Incidental items that are immaterial in the context of the contract are recognized as expense as incurred. We have elected to recognize the costs incurred for transportation of products to customers as a component of Cost of Goods Sold ("CGS").</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Appropriate provisions are made for uncollectible accounts based on historical loss experience, portfolio duration, economic conditions and credit risk, considering both expected future losses as well as current incurred losses. The adequacy of the allowances are assessed quarterly.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Research and development costs include, among other things, materials, equipment, compensation and contract services. These costs are expensed as incurred and included as a component of CGS. Research and development expenditures were $461 million, $501 million and $473 million in 2023, 2022 and 2021, respectively.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Warranties are provided on the sale of certain of our products and services and an accrual for estimated future claims is recorded at the time revenue is recognized. Tire replacement under most of the warranties we offer is on a prorated basis. Warranty reserves are based on past claims experience, sales history and other considerations. Refer to Note to the Consolidated Financial Statements No. 20, Commitments and Contingent Liabilities.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Cleanup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expense environmental costs related to existing conditions resulting from past or current operations and from which no current or future benefit is discernible. Expenditures that extend the life of the related property or mitigate or prevent future environmental contamination are capitalized. We determine our liability on a site by site basis and record a liability at the time when it is probable and can be reasonably estimated. Our estimated liability is reduced to reflect the anticipated participation of other potentially responsible parties in those instances where it is probable that such parties are legally responsible and financially capable of paying their respective share of the relevant costs. Our estimated liability is not discounted or reduced for possible recoveries from insurance carriers. Refer to Note to the Consolidated Financial Statements No. 20, Commitments and Contingent Liabilities.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Costs</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record a liability for estimated legal and defense costs related to pending general and product liability claims, environmental matters and workers’ compensation claims. Refer to Note to the Consolidated Financial Statements No. 20, Commitments and Contingent Liabilities.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Costs incurred for producing and communicating advertising are generally expensed when incurred as a component of Selling, Administrative and General Expense ("SAG"). Costs incurred under our cooperative advertising programs with dealers and franchisees are generally recorded as reductions of sales as related revenues are recognized. Advertising costs, including costs for our cooperative advertising programs with dealers and franchisees, were $364 million, $375 million and $382 million in 2023, 2022 and 2021,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Rationalizations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record costs for rationalization actions implemented to reduce excess and high-cost manufacturing capacity and operating and administrative costs. Associate-related costs include severance, supplemental unemployment compensation and benefits, medical benefits, pension curtailments, postretirement benefits, and other termination benefits. For ongoing benefit arrangements, a liability is recognized when it is probable that employees will be entitled to benefits and the amount can be reasonably estimated. For one-time benefit arrangements, a liability is incurred and must be accrued at the date the plan is communicated to employees, unless they will be retained beyond a minimum retention period. In this case, the liability is calculated at the date the plan is communicated to employees and is accrued ratably over the future service period. For voluntary benefit arrangements, a liability is not estimable and is not recognized until eligible associates apply for the benefit and we accept the applications. Other costs generally include contract termination and relocation costs. A liability for these costs is recognized in the period in which the liability is incurred. Rationalization actions related to accelerated depreciation or amortization, asset impairments, and non-cancelable leases, are recorded in CGS or SAG. Refer to Note to the Consolidated Financial Statements No. 4, Costs Associated with Rationalization Programs.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Income taxes are recognized during the year in which transactions enter into the determination of financial statement income, with deferred taxes being provided for temporary differences between carrying values of assets and liabilities for financial reporting purposes and such carrying values as measured under applicable tax laws. The effect on deferred tax assets or liabilities of a change in the tax law or tax rate is recognized in the period the change is enacted. Valuation allowances are recorded to reduce net deferred tax assets to the amount that is more likely than not to be realized. The calculation of our tax liabilities also involves considering uncertainties in the application of complex tax regulations. We recognize liabilities for uncertain income tax positions based on our estimate of whether it is more likely than not that additional taxes will be required and we report related interest and penalties as income taxes. To the extent that we incur expense under global intangible low-taxed income provisions, we will treat it as a component of income tax expense in the period incurred. Our policy is to utilize an item-by-item approach to release stranded income tax effects from Accumulated Other Comprehensive Loss ("AOCL"). Refer to Note to the Consolidated Financial Statements No. 7, Income Taxes.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 Consolidated Statements of Cash Flows / Restricted Cash</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Cash and cash equivalents consist of cash on hand and marketable securities with original maturities of three months or less. Substantially all of our cash and short-term investment securities are held with investment grade rated counterparties. At December 31, 2023, our cash investments with any single counterparty did not exceed approximately $175 million.</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flows associated with derivative financial instruments designated as hedges of identifiable transactions or events are classified in the same category as the cash flows from the related hedged items. Cash flows associated with derivative financial instruments not designated as hedges are classified as operating activities. Bank overdrafts, if any, are recorded within Notes Payable and Overdrafts. Cash flows associated with bank overdrafts are classified as financing activities.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Customer prepayments for products and government grants received that predominately relate to operations are reported as operating activities. Government grants received that are predominately related to capital expenditures are reported as investing activities. The Consolidated Statements of Cash Flows are presented net of finance leases of $19 million, $25 million and $39 million originating in the years ended December 31, 2023, 2022 and 2021, respectively, and accrued capital expenditures financed with extended terms of $15 million in 2020 which were paid in 2021. Cash flows from investing activities in 2023 exclude $348 million of accrued capital expenditures remaining unpaid at December 31, 2023, and include payment for $324 million of capital expenditures that were accrued and unpaid at December 31, 2022. Cash flows from investing activities in 2022 exclude $324 million of accrued capital expenditures remaining unpaid at December 31, 2022, and include payment for $257 million of capital expenditures that were accrued and unpaid at December 31, 2021. Cash flows from investing activities in 2021 exclude $257 million of accrued capital expenditures remaining unpaid at December 31, 2021, and include payment for $224 million of capital expenditures that were accrued and unpaid at December 31, 2020.</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as reported within the Consolidated Statements of Cash Flows: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902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1,227</w:t>
            </w:r>
          </w:p>
        </w:tc>
        <w:tc>
          <w:tcPr>
            <w:tcW w:w="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1,088</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76</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985</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1,311</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-24765</wp:posOffset>
            </wp:positionV>
            <wp:extent cx="1111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1111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1028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1028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Restricted Cash primarily represents amounts required to be set aside for accounts receivable factoring programs. The restrictions lapse when cash from factored accounts receivable is remitted to the purchaser of those receivables. At December 31, 2023, $83 million was recorded in Prepaid Expenses and Other Current Assets in the Consolidated Balance Sheets. At December 31, 2022, $74 million and $10 million were recorded in Prepaid Expenses and Other Current Assets and Other Assets in the Consolidated Balance Sheets,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Net Assets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certain countries where we operate, transfers of funds into or out of such countries by way of dividends, loans or advances are generally or periodically subject to various governmental regulations. In addition, certain of our credit agreements and other debt instruments limit the ability of foreign subsidiaries to make cash distributions. At December 31, 2023, approximately $875 million of net assets were subject to such regulations or limitations.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the first-in, first-out or the average cost method. Costs include direct material, direct labor and applicable manufacturing and engineering overhead. We allocate fixed manufacturing overheads based on normal production capacity and recognize abnormal manufacturing costs as period costs. We determine a provision for excess and obsolete inventory based on management’s review of inventories on hand compared to estimated future usage and sales. Refer to Note to the Consolidated Financial Statements No. 11, Inventories.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is recorded when the cost of acquired businesses exceeds the fair value of the identifiable net assets acquired. Goodwill and intangible assets with indefinite useful lives are not amortized but are assessed for impairment annually with the option to perform a qualitative assessment to determine whether further impairment testing is necessary or to perform a quantitative assessment by comparing the fair value of the reporting unit or indefinite-lived intangible to its carrying amount. Under the qualitative assessment, an entity is not required to calculate the fair value unless the entity determines that it is more likely than not that the fair value is less than the carrying amount. If under the quantitative assessment the fair value is less than the carrying amount, then an impairment loss will be recorded for the difference between the carrying value and the fair value.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annual testing, impairment testing is conducted when events occur or circumstances change, including the macroeconomic environment, our business performance or our market capitalization, that would more likely than not reduce the fair value of the asset below its carrying amount. Goodwill and intangible assets with indefinite useful lives would be written down to fair value if considered impaired. Intangible assets with finite useful lives are amortized to their estimated residual values over such finite lives, and reviewed for impairment whenever events or circumstances warrant such a review. Refer to Note to the Consolidated Financial Statements No. 12, Goodwill and Intangible Assets.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Claims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third-party insurance coverage for property damage, repair expenses and business interruption, which is partially self-insured, subject to a $15 million deductible per occurrence. After consultation with our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for property damage and repair expenses as incurred. For business interruption recoveries, we do not record a receivable until the claim is substantially complete.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Investments in marketable securities are stated at fair value. Fair value is determined using quoted market prices at the end of the reporting period and, when appropriate, exchange rates at that date. Unrealized gains and losses on marketable equity securities are recorded in earnings. Unrealized gains and losses on marketable debt securities classified as available-for-sale are recorded in AOCL, net of tax. Our investments in TireHub, LLC (“TireHub”), a distribution joint venture in the U.S., and ACTR Company Limited ("ACTR"), a tire manufacturing joint venture in Vietnam, are accounted for under the equity method.</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regularly review our investments to determine whether a decline in fair value below their recorded amount is other than temporary. If the decline in fair value is judged to be other than temporary, the investment is written down to fair value and the amount of the write-down is included in the Consolidated Statements of Operations. Refer to Notes to the Consolidated Financial Statements No. 13, Other Assets and Investments, No. 17, Fair Value Measurements, and No. 22, Accumulated Other Comprehensive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plant and equipment are stated at cost. Depreciation is computed using the straight-line method. Additions and improvements that substantially extend the useful life of property, plant and equipment, and interest costs incurred during the construction period of major projects are capitalized. Government grants to us that are predominately related to capital expenditures are recorded as reductions of the cost of the associated assets. Repair and maintenance costs are expensed as incurred. Property, plant and equipment are depreciated to their estimated residual values over their estimated useful lives, and reviewed for impairment whenever events or circumstances warrant such a review. Depreciation expense for property, plant and equipment was $967 million, $928 million and $862 million in 2023, 2022 and 2021, respectively. Refer to Notes to the Consolidated Financial Statements No. 5, Interest Expense, and No. 14, Property, Plant and Equipment.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determine if an arrangement is or contains a lease at inception. We enter into leases primarily for our distribution facilities, manufacturing equipment, administrative offices, retail stores, vehicles and data processing equipment under varying terms and conditions. Our leases have remaining lease terms of less than 1 year to approximately 50 years. Most of our leases include options to extend the lease, with renewal terms ranging from 1 to 50 years or more, and some include options to terminate the lease within 1 year. If it is reasonably certain that an option to extend or terminate a lease will be exercised, that option is considered in the lease term. Leases with an initial term of 12 months or less are not recorded on the balance sheet, and we recognize short-term lease expense for these leases on a straight-line basis over the lease term.</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lease agreements include variable lease payments, generally based on consumer price indices. Variable lease payments that are assigned to an index are determined based on the initial index at commencement, and the variability based on changes in the index is accounted for as it changes. The variable portion of payments is not included in the initial measurement of the right-of-use asset or lease liability due to the uncertainty of the payment amount and are recorded as lease expense in the period incurred. Our lease agreements do not contain any material residual value guarantees or material restrictive covenants. We have lease agreements with lease and non-lease components, which are accounted for separately.</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(“ROU”) Assets, Operating Lease Liabilities due Within One Year and Operating Lease Liabilities on our Consolidated Balance Sheets. Finance leases are included in Property, Plant and Equipment, Long Term Debt and Finance Leases due Within One Year, and Long Term Debt and Finance Leases on our Consolidated Balance Sheets.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Generally, we use our incremental borrowing rate based on the information available at the commencement date in determining the present value of lease payments, unless there is a rate stated in the lease agreement. Operating lease expense is recognized on a straight-line basis over the lease term. Refer to Note to the Consolidated Financial Statements No. 15, Leases.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functional currency for most subsidiaries outside the United States is the local currency. Financial statements of these subsidiaries are translated into U.S. dollars using the exchange rate at each balance sheet date for assets and liabilities and a weighted average exchange rate for each period for revenues, expenses, gains and losses. The U.S. dollar is used as the functional currency in countries with a history of high inflation and in countries that predominantly sell into the U.S. dollar export market. For all operations, gains or losses from remeasuring foreign currency transactions into the functional currency are included in Other (Income) Expense. Translation adjustments are recorded in AOCL. Income taxes are generally not provided for foreign currency translation adjustments.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 and Hedging Activities</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To qualify for hedge accounting, hedging instruments must be designated as hedges and meet defined correlation and effectiveness criteria. These criteria require that the anticipated cash flows and/or changes in fair value of the hedging instrument substantially offset those of the position being hedged.</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Derivative contracts are reported at fair value on the Consolidated Balance Sheets as Accounts Receivable, Other Assets, Other Current Liabilities or Other Long Term Liabilities. Deferred gains and losses on contracts designated as cash flow hedges are recorded net of tax in AOCL.</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Contracts — </w:t>
      </w:r>
      <w:r>
        <w:rPr>
          <w:rFonts w:ascii="Times New Roman" w:cs="Times New Roman" w:eastAsia="Times New Roman" w:hAnsi="Times New Roman"/>
          <w:sz w:val="18"/>
          <w:szCs w:val="18"/>
          <w:color w:val="auto"/>
        </w:rPr>
        <w:t>Gains and losses on contracts designated as cash flow hedges are initially deferred and recorded in AOCL. Amounts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from AOCL and recognized in income as Interest Expense in the same period that the hedged item is recognized in income. Gains and losses on contracts designated as fair value hedges are recognized in income in the current period as Interest Expense. Gains and losses on contracts with no hedging designation are recorded in the current period in Other (Income) Expense.</w:t>
      </w:r>
    </w:p>
    <w:p>
      <w:pPr>
        <w:spacing w:after="0" w:line="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Foreign Currency Contracts — </w:t>
      </w:r>
      <w:r>
        <w:rPr>
          <w:rFonts w:ascii="Times New Roman" w:cs="Times New Roman" w:eastAsia="Times New Roman" w:hAnsi="Times New Roman"/>
          <w:sz w:val="18"/>
          <w:szCs w:val="18"/>
          <w:color w:val="auto"/>
        </w:rPr>
        <w:t>Gains and losses on contracts designated as cash flow hedges are initially deferred and recorded in AOCL. Amounts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from AOCL and recognized in income in the same period and on the same line that the hedged item is recognized in income. Gains and losses on contracts designated as fair value hedges, excluding premiums and discounts, are recorded in Other (Income) Expense in the current period. Gains and losses on contracts with no hedging designation are also recorded in Other (Income) Expense in the current period. We do not include premiums or discounts on forward currency contracts in our assessment of hedge effectiveness. Premiums and discounts on contracts designated as hedges are recorded in AOCL. The amounts are recognized in the Statement of Operations on a straight-line basis over the life of the contract on the same line that the hedged item is recognized in the Statement of Operations.</w:t>
      </w:r>
    </w:p>
    <w:p>
      <w:pPr>
        <w:spacing w:after="0" w:line="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Investment Hedging — </w:t>
      </w:r>
      <w:r>
        <w:rPr>
          <w:rFonts w:ascii="Times New Roman" w:cs="Times New Roman" w:eastAsia="Times New Roman" w:hAnsi="Times New Roman"/>
          <w:sz w:val="18"/>
          <w:szCs w:val="18"/>
          <w:color w:val="auto"/>
        </w:rPr>
        <w:t>Nonderivative instruments denominated in foreign currencies are used from time to time to hedge net investments in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Gains and losses on these instruments are deferred and recorded in AOCL as Foreign Currency Translation Adjustments. These gains and losses are only recognized in income upon the complete or partial sale of the related investment or the complete liquidation of the investment.</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Termination of Contracts — </w:t>
      </w:r>
      <w:r>
        <w:rPr>
          <w:rFonts w:ascii="Times New Roman" w:cs="Times New Roman" w:eastAsia="Times New Roman" w:hAnsi="Times New Roman"/>
          <w:sz w:val="18"/>
          <w:szCs w:val="18"/>
          <w:color w:val="auto"/>
        </w:rPr>
        <w:t>Gains and losses (including deferred gains and losses in AOCL) are recognized in Other (Income) Expense when contracts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concurrently with the termination of the hedged position. To the extent that such position remains outstanding, gains and losses are amortized to Interest Expense or to Other (Income) Expense over the remaining life of that position. Gains and losses on contracts that we temporarily continue to hold after the early termination of a hedged position, or that otherwise no longer qualify for hedge accounting, are recognized in Other (Income) Expense. Refer to Note to the Consolidated Financial Statements No. 16, Financing Arrangements and Derivative Financial Instruments.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measure compensation cost arising from the grant of stock-based awards to employees at fair value and recognize such cost in income over the period during which the service is provided, usually the vesting period. We recognize compensation expense using the straight-line approach.</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Stock-based awards to employees include grants of performance share units, restricted stock units and stock options. We measure the fair value of grants of performance share units and restricted stock units based primarily on the closing market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a share of our common stock on the date of the grant, modified as appropriate to take into account the features of such grants.</w:t>
      </w:r>
    </w:p>
    <w:p>
      <w:pPr>
        <w:spacing w:after="0" w:line="11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estimate the fair value of stock options using the Black-Scholes valuation model. Assumptions used to estimate compensation expense are determined as follows:</w:t>
      </w:r>
    </w:p>
    <w:p>
      <w:pPr>
        <w:spacing w:after="0" w:line="55" w:lineRule="exact"/>
        <w:rPr>
          <w:sz w:val="20"/>
          <w:szCs w:val="20"/>
          <w:color w:val="auto"/>
        </w:rPr>
      </w:pPr>
    </w:p>
    <w:p>
      <w:pPr>
        <w:ind w:left="760" w:hanging="378"/>
        <w:spacing w:after="0" w:line="28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represents the period of time that options granted are expected to be outstanding based on our historical experience of option exercises;</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measured using the weighted average of historical daily changes in the market price of our common stock over the expected term of the award and implied volatility calculated for our exchange traded options with an expiration date greater than one year;</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is equivalent to the implied yield on zero-coupon U.S. Treasury bonds with a remaining maturity equal to the expected term of the awards; and</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Forfeitures are based substantially on the history of cancellations of similar awards granted in prior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to the Consolidated Financial Statements No. 19, Stock Compensation Plans.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of Common Stock</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primarily reflects the dilutive impact of outstanding stock options and other stock based awards. All earnings per share amounts in these notes to the consolidated financial statements are diluted, unless otherwise noted. Refer to Note to the Consolidated Financial Statements No. 8, Earnings Per Share.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Hierarchy</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using the following hierarchy, which is based upon the transparency of inputs to the valuation as of the measurement date.</w:t>
      </w:r>
    </w:p>
    <w:p>
      <w:pPr>
        <w:spacing w:after="0" w:line="55"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quoted prices (unadjusted) for identical assets or liabilities in active markets.</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quoted prices for similar assets and liabilities in active markets, or other inputs that are observable for the asset or liability, either directly or indirectly, for substantially the full term of the financial instrument.</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based upon other unobservable inputs that are significant to the fair value measurement.</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 Valuation methodologies used for assets and liabilities measured at fair value are as follows: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Where quoted prices are available in an active market, investments are classified within Level 1 of the valuation hierarchy. Level 1 securities include highly liquid government bonds, certain mortgage products and exchange-traded equities. If quoted market prices are not available, fair values are estimated using quoted prices of securities with similar characteristics or inputs other than quoted prices that are observable for the security, and would be classified within Level 2 of the valuation hierarchy. In certain cases where there is limited activity or less transparency around inputs to the valuation, securities would be classified within Level 3 of the valuation hierarchy.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Exchange-traded derivative financial instruments that are valued using quoted prices would be classified within Level 1 of the valuation hierarchy. Derivative financial instruments valued using internally-developed models that use as their basis readily observable market parameters are classified within Level 2 of the valuation hierarchy. Derivative financial instruments that are valued based upon models with significant unobservable market parameters, and that are normally traded less actively, would be classified within Level 3 of the valuation hierarchy. Refer to Notes to the Consolidated Financial Statements No. 16, Financing Arrangements and Derivative Financial Instruments, and No. 17, Fair Value Measurements.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 and Adjustments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Cooper Tire Acquisition</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June 7, 2021, we completed our acquisition of Cooper Tire for cash and stock consideration of $2,155 million and $942 million, respectively, or approximately $3.1 billion in total (the "Merger Consideration"). The cash component of the Merger Consideration less cash and restricted cash of Cooper Tire that was acquired amounted to $1,856 million.</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Under the acquisition method of accounting, the Merger Consideration is allocated, as of the Closing Date, to the identifiable assets acquired and liabilities assumed of Cooper Tire, which are recognized and measured at fair value based on management’s estimates, available information and supportable assumptions that management considers reasonable.</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second quarter of 2022, we finalized our valuation of the identified assets acquired and liabilities assumed. No significant measurement period changes were recorded during the six months ended June 30, 2022. Principal changes since our initial measurement in the second quarter of 2021 included</w:t>
      </w:r>
    </w:p>
    <w:p>
      <w:pPr>
        <w:spacing w:after="0" w:line="1" w:lineRule="exact"/>
        <w:rPr>
          <w:sz w:val="20"/>
          <w:szCs w:val="20"/>
          <w:color w:val="auto"/>
        </w:rPr>
      </w:pPr>
    </w:p>
    <w:p>
      <w:pPr>
        <w:jc w:val="both"/>
        <w:ind w:firstLine="8"/>
        <w:spacing w:after="0" w:line="251" w:lineRule="auto"/>
        <w:tabs>
          <w:tab w:leader="none" w:pos="2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value attributed to customer relationships primarily to reflect updated assumptions related to customer attrition rates, (ii) updating the value attributed to trade names to reflect our long-term view of how each acquired brand fits into the overall product portfolio of the combined company and the appropriate royalty rate to value each acquired brand based on expected profitability, (iii) decreasing the value attributed to Property, Plant and Equipment primarily to reflect updated assumptions related to the estimated economic value of certain underlying assets, (iv) decreasing the value attributed to pension and other postretirement benefit liabilities primarily to reflect updated plan population data, (v) increasing the value attributed to a liability for environmental matters primarily to reflect updated estimated lifecycle remediation cost data and recording other liabilities identified during the measurement period, and (vi) a reclassification between Accounts Receivable and Accounts Payable to conform to Goodyear's classification of customer rebate and discount program liabilities. These adjustments were recorded net of adjustments to Deferred Tax Liabilities with the corresponding offset recorded to Goodwill, as applicable.</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table sets forth cumulative measurement period changes from the Closing Date to the second quarter of 2022 when our purchase accounting was finalized, as well as the final and initial allocation of the Merger Consideration to the estimated fair value of the identifiable tangible and intangible assets acquired and liabilities assumed of Cooper Tire, with the excess recorded to Goodwill as of the Closing Date: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vMerge w:val="restart"/>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Final</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vMerge w:val="restart"/>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160" w:type="dxa"/>
            <w:vAlign w:val="bottom"/>
          </w:tcPr>
          <w:p>
            <w:pPr>
              <w:spacing w:after="0"/>
              <w:rPr>
                <w:sz w:val="16"/>
                <w:szCs w:val="16"/>
                <w:color w:val="auto"/>
              </w:rPr>
            </w:pPr>
          </w:p>
        </w:tc>
        <w:tc>
          <w:tcPr>
            <w:tcW w:w="1160" w:type="dxa"/>
            <w:vAlign w:val="bottom"/>
            <w:tcBorders>
              <w:bottom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Period Changes</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0" w:type="dxa"/>
            <w:vAlign w:val="bottom"/>
          </w:tcPr>
          <w:p>
            <w:pPr>
              <w:spacing w:after="0"/>
              <w:rPr>
                <w:sz w:val="1"/>
                <w:szCs w:val="1"/>
                <w:color w:val="auto"/>
              </w:rPr>
            </w:pPr>
          </w:p>
        </w:tc>
      </w:tr>
      <w:tr>
        <w:trPr>
          <w:trHeight w:val="23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20"/>
                <w:szCs w:val="20"/>
                <w:color w:val="auto"/>
              </w:rPr>
            </w:pPr>
          </w:p>
        </w:tc>
        <w:tc>
          <w:tcPr>
            <w:tcW w:w="1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47"/>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FF0FC"/>
          </w:tcPr>
          <w:p>
            <w:pPr>
              <w:spacing w:after="0"/>
              <w:rPr>
                <w:sz w:val="21"/>
                <w:szCs w:val="21"/>
                <w:color w:val="auto"/>
              </w:rPr>
            </w:pPr>
          </w:p>
        </w:tc>
        <w:tc>
          <w:tcPr>
            <w:tcW w:w="1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708</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Pr>
          <w:p>
            <w:pPr>
              <w:spacing w:after="0"/>
              <w:rPr>
                <w:sz w:val="20"/>
                <w:szCs w:val="20"/>
                <w:color w:val="auto"/>
              </w:rPr>
            </w:pPr>
          </w:p>
        </w:tc>
        <w:tc>
          <w:tcPr>
            <w:tcW w:w="1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47"/>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spacing w:after="0"/>
              <w:rPr>
                <w:sz w:val="21"/>
                <w:szCs w:val="21"/>
                <w:color w:val="auto"/>
              </w:rPr>
            </w:pPr>
          </w:p>
        </w:tc>
        <w:tc>
          <w:tcPr>
            <w:tcW w:w="1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633</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20"/>
                <w:szCs w:val="20"/>
                <w:color w:val="auto"/>
              </w:rPr>
            </w:pPr>
          </w:p>
        </w:tc>
        <w:tc>
          <w:tcPr>
            <w:tcW w:w="1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47"/>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32"/>
        </w:trPr>
        <w:tc>
          <w:tcPr>
            <w:tcW w:w="5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4,742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4,840</w:t>
            </w:r>
          </w:p>
        </w:tc>
        <w:tc>
          <w:tcPr>
            <w:tcW w:w="0" w:type="dxa"/>
            <w:vAlign w:val="bottom"/>
          </w:tcPr>
          <w:p>
            <w:pPr>
              <w:spacing w:after="0"/>
              <w:rPr>
                <w:sz w:val="1"/>
                <w:szCs w:val="1"/>
                <w:color w:val="auto"/>
              </w:rPr>
            </w:pPr>
          </w:p>
        </w:tc>
      </w:tr>
      <w:tr>
        <w:trPr>
          <w:trHeight w:val="247"/>
        </w:trPr>
        <w:tc>
          <w:tcPr>
            <w:tcW w:w="5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9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 Trade</w:t>
            </w:r>
          </w:p>
        </w:tc>
        <w:tc>
          <w:tcPr>
            <w:tcW w:w="180" w:type="dxa"/>
            <w:vAlign w:val="bottom"/>
          </w:tcPr>
          <w:p>
            <w:pPr>
              <w:spacing w:after="0"/>
              <w:rPr>
                <w:sz w:val="20"/>
                <w:szCs w:val="20"/>
                <w:color w:val="auto"/>
              </w:rPr>
            </w:pPr>
          </w:p>
        </w:tc>
        <w:tc>
          <w:tcPr>
            <w:tcW w:w="1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47"/>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80" w:type="dxa"/>
            <w:vAlign w:val="bottom"/>
            <w:shd w:val="clear" w:color="auto" w:fill="CFF0FC"/>
          </w:tcPr>
          <w:p>
            <w:pPr>
              <w:spacing w:after="0"/>
              <w:rPr>
                <w:sz w:val="21"/>
                <w:szCs w:val="21"/>
                <w:color w:val="auto"/>
              </w:rPr>
            </w:pPr>
          </w:p>
        </w:tc>
        <w:tc>
          <w:tcPr>
            <w:tcW w:w="1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Finance Leases and Notes Payable and Overdrafts</w:t>
            </w:r>
          </w:p>
        </w:tc>
        <w:tc>
          <w:tcPr>
            <w:tcW w:w="180" w:type="dxa"/>
            <w:vAlign w:val="bottom"/>
          </w:tcPr>
          <w:p>
            <w:pPr>
              <w:spacing w:after="0"/>
              <w:rPr>
                <w:sz w:val="20"/>
                <w:szCs w:val="20"/>
                <w:color w:val="auto"/>
              </w:rPr>
            </w:pPr>
          </w:p>
        </w:tc>
        <w:tc>
          <w:tcPr>
            <w:tcW w:w="1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7"/>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80" w:type="dxa"/>
            <w:vAlign w:val="bottom"/>
            <w:shd w:val="clear" w:color="auto" w:fill="CFF0FC"/>
          </w:tcPr>
          <w:p>
            <w:pPr>
              <w:spacing w:after="0"/>
              <w:rPr>
                <w:sz w:val="21"/>
                <w:szCs w:val="21"/>
                <w:color w:val="auto"/>
              </w:rPr>
            </w:pPr>
          </w:p>
        </w:tc>
        <w:tc>
          <w:tcPr>
            <w:tcW w:w="1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20"/>
                <w:szCs w:val="20"/>
                <w:color w:val="auto"/>
              </w:rPr>
            </w:pPr>
          </w:p>
        </w:tc>
        <w:tc>
          <w:tcPr>
            <w:tcW w:w="1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47"/>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Minority Equity</w:t>
            </w:r>
          </w:p>
        </w:tc>
        <w:tc>
          <w:tcPr>
            <w:tcW w:w="180" w:type="dxa"/>
            <w:vAlign w:val="bottom"/>
            <w:tcBorders>
              <w:bottom w:val="single" w:sz="8" w:color="auto"/>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2"/>
        </w:trPr>
        <w:tc>
          <w:tcPr>
            <w:tcW w:w="5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1,645</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80"/>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Merger Consideration</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3,097</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4834255</wp:posOffset>
            </wp:positionH>
            <wp:positionV relativeFrom="paragraph">
              <wp:posOffset>-1591945</wp:posOffset>
            </wp:positionV>
            <wp:extent cx="1111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-1591945</wp:posOffset>
            </wp:positionV>
            <wp:extent cx="1111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-350520</wp:posOffset>
            </wp:positionV>
            <wp:extent cx="1111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-350520</wp:posOffset>
            </wp:positionV>
            <wp:extent cx="1111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-24765</wp:posOffset>
            </wp:positionV>
            <wp:extent cx="1111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-7620</wp:posOffset>
            </wp:positionV>
            <wp:extent cx="1111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-24765</wp:posOffset>
            </wp:positionV>
            <wp:extent cx="1111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-7620</wp:posOffset>
            </wp:positionV>
            <wp:extent cx="1111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estimated value of Inventory includes adjustments totaling $245 million, comprised of $135 million, primarily to adjust inventory valued on a last-in, first-out ("LIFO") basis to a current cost basis, and $110 million to step-up inventory to estimated fair value. The fair value step-up was fully amortized to CGS in 2021 as the related inventory was sold, which negatively impacted our 2021 results. We eliminated the LIFO reserve on Cooper Tire’s U.S. inventories as we predominately determine the value of our inventory using the first-in, first-out ("FIFO") method. To estimate the fair value of inventory, we considered the components of Cooper Tire’s inventory, as well as estimates of selling prices and selling and distribution costs that were based on Cooper Tire’s historical experience.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estimated value of Property, Plant and Equipment includes adjustments totaling $138 million to increase the net book value of $1,208 million to the final fair value estimate of $1,346 million. This estimate is based on a combination of cost and market approaches, including appraisals, and expectations as to the duration of time we expect to realize benefits from those assets.</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estimated fair values of identifiable intangible assets acquired were prepared using an income valuation approach, which requires a forecast of expected future cash flows either through the use of the relief-from-royalty method or the multi-period excess earnings method. The estimated useful lives are based on our historical experience and expectations as to the duration of time we expect to realize benefits from those assets.</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estimated fair values of the identifiable intangible assets acquired, their weighted average estimated useful lives and the related valuation methodology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Final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8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years)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80" w:type="dxa"/>
            <w:vAlign w:val="bottom"/>
          </w:tcPr>
          <w:p>
            <w:pPr>
              <w:spacing w:after="0"/>
              <w:rPr>
                <w:sz w:val="16"/>
                <w:szCs w:val="16"/>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c>
          <w:tcPr>
            <w:tcW w:w="0" w:type="dxa"/>
            <w:vAlign w:val="bottom"/>
          </w:tcPr>
          <w:p>
            <w:pPr>
              <w:spacing w:after="0"/>
              <w:rPr>
                <w:sz w:val="1"/>
                <w:szCs w:val="1"/>
                <w:color w:val="auto"/>
              </w:rPr>
            </w:pPr>
          </w:p>
        </w:tc>
      </w:tr>
      <w:tr>
        <w:trPr>
          <w:trHeight w:val="23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(indefinite-lived)</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560</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80" w:type="dxa"/>
            <w:vAlign w:val="bottom"/>
            <w:shd w:val="clear" w:color="auto" w:fill="CFF0FC"/>
          </w:tcPr>
          <w:p>
            <w:pPr>
              <w:spacing w:after="0"/>
              <w:rPr>
                <w:sz w:val="20"/>
                <w:szCs w:val="20"/>
                <w:color w:val="auto"/>
              </w:rPr>
            </w:pP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Relief-from-royalty</w:t>
            </w:r>
          </w:p>
        </w:tc>
        <w:tc>
          <w:tcPr>
            <w:tcW w:w="0" w:type="dxa"/>
            <w:vAlign w:val="bottom"/>
          </w:tcPr>
          <w:p>
            <w:pPr>
              <w:spacing w:after="0"/>
              <w:rPr>
                <w:sz w:val="1"/>
                <w:szCs w:val="1"/>
                <w:color w:val="auto"/>
              </w:rPr>
            </w:pPr>
          </w:p>
        </w:tc>
      </w:tr>
      <w:tr>
        <w:trPr>
          <w:trHeight w:val="238"/>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(definite-lived)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 years</w:t>
            </w:r>
          </w:p>
        </w:tc>
        <w:tc>
          <w:tcPr>
            <w:tcW w:w="18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Relief-from-royalty</w:t>
            </w:r>
          </w:p>
        </w:tc>
        <w:tc>
          <w:tcPr>
            <w:tcW w:w="0" w:type="dxa"/>
            <w:vAlign w:val="bottom"/>
          </w:tcPr>
          <w:p>
            <w:pPr>
              <w:spacing w:after="0"/>
              <w:rPr>
                <w:sz w:val="1"/>
                <w:szCs w:val="1"/>
                <w:color w:val="auto"/>
              </w:rPr>
            </w:pPr>
          </w:p>
        </w:tc>
      </w:tr>
      <w:tr>
        <w:trPr>
          <w:trHeight w:val="247"/>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730</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180" w:type="dxa"/>
            <w:vAlign w:val="bottom"/>
            <w:shd w:val="clear" w:color="auto" w:fill="CFF0FC"/>
          </w:tcPr>
          <w:p>
            <w:pPr>
              <w:spacing w:after="0"/>
              <w:rPr>
                <w:sz w:val="21"/>
                <w:szCs w:val="21"/>
                <w:color w:val="auto"/>
              </w:rPr>
            </w:pP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Multi-period excess earnings</w:t>
            </w: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and other</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years</w:t>
            </w:r>
          </w:p>
        </w:tc>
        <w:tc>
          <w:tcPr>
            <w:tcW w:w="180" w:type="dxa"/>
            <w:vAlign w:val="bottom"/>
          </w:tcPr>
          <w:p>
            <w:pPr>
              <w:spacing w:after="0"/>
              <w:rPr>
                <w:sz w:val="21"/>
                <w:szCs w:val="21"/>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0" w:type="dxa"/>
            <w:vAlign w:val="bottom"/>
          </w:tcPr>
          <w:p>
            <w:pPr>
              <w:spacing w:after="0"/>
              <w:rPr>
                <w:sz w:val="1"/>
                <w:szCs w:val="1"/>
                <w:color w:val="auto"/>
              </w:rPr>
            </w:pPr>
          </w:p>
        </w:tc>
      </w:tr>
      <w:tr>
        <w:trPr>
          <w:trHeight w:val="272"/>
        </w:trPr>
        <w:tc>
          <w:tcPr>
            <w:tcW w:w="25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926</w:t>
            </w:r>
          </w:p>
        </w:tc>
        <w:tc>
          <w:tcPr>
            <w:tcW w:w="1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2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1,086</w:t>
            </w:r>
          </w:p>
        </w:tc>
        <w:tc>
          <w:tcPr>
            <w:tcW w:w="18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26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2513965</wp:posOffset>
            </wp:positionH>
            <wp:positionV relativeFrom="paragraph">
              <wp:posOffset>-24765</wp:posOffset>
            </wp:positionV>
            <wp:extent cx="1200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-7620</wp:posOffset>
            </wp:positionV>
            <wp:extent cx="1200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-24765</wp:posOffset>
            </wp:positionV>
            <wp:extent cx="1200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-7620</wp:posOffset>
            </wp:positionV>
            <wp:extent cx="1200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-24765</wp:posOffset>
            </wp:positionV>
            <wp:extent cx="1111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-7620</wp:posOffset>
            </wp:positionV>
            <wp:extent cx="1111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All of the goodwill was allocated to our Americas segment. The goodwill consists of expected future economic benefits that will arise from expected future product sales, operating efficiencies and other synergies that may result from the acquisition, including income tax synergies, and is not deductible for tax purposes.</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the Closing Date, Cooper Tire’s operating results have been included in our Consolidated Statements of Operations. As such, during the years ended December 31, 2023 and 2022, our results included the results of Cooper Tire for the entire period, while the comparable period in 2021 only included the results of Cooper Tire subsequent to the Closing Date. Our Consolidated Statement of Operations for the year ended December 31, 2022 includes an incremental $1,532 million and $1,194 million of Net Sales and CGS, respectively, from Cooper Tire during the first six months of 2022. As a result of our ongoing integration efforts, particularly as it relates to administrative functions and financing activities, it is not practical to disclose Income before Income Taxes or Net Income separately for Cooper Tire.</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we incurred transaction and other costs in connection with the acquisition of Cooper Tire totaling $56 million, including $10 million for a commitment fee related to a bridge term loan facility that was not utilized to finance the transaction and $6 million related to the post-combination settlement of certain Cooper Tire incentive compensation awards during the second quarter of 2021. For the year ended December 31, 2021, $50 million of these costs are included in Other (Income) Expense, with the remainder included in CGS and SAG in our Consolidated Statements of Operations. There were no transaction-related costs incurred during the years ended December 31, 2023 and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 forma financial information</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summarizes, on a pro forma basis, the combined results of operations of Goodyear and Cooper Tire for the year ended December 31, 2021 as though the acquisition and the related financing had occurred as of January 1, 2020. The pro forma results are not necessarily indicative of either the actual consolidated results had the acquisition of Cooper Tire occurred on January 1, 2020, nor are they indicative of future consolidated operating results.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8"/>
        </w:trPr>
        <w:tc>
          <w:tcPr>
            <w:tcW w:w="8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ind w:right="10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8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18,732</w:t>
            </w:r>
          </w:p>
        </w:tc>
      </w:tr>
      <w:tr>
        <w:trPr>
          <w:trHeight w:val="238"/>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20"/>
                <w:szCs w:val="20"/>
                <w:color w:val="auto"/>
              </w:rPr>
            </w:pPr>
          </w:p>
        </w:tc>
        <w:tc>
          <w:tcPr>
            <w:tcW w:w="2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791</w:t>
            </w:r>
          </w:p>
        </w:tc>
      </w:tr>
      <w:tr>
        <w:trPr>
          <w:trHeight w:val="247"/>
        </w:trPr>
        <w:tc>
          <w:tcPr>
            <w:tcW w:w="8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Goodyear Net Income</w:t>
            </w:r>
          </w:p>
        </w:tc>
        <w:tc>
          <w:tcPr>
            <w:tcW w:w="220" w:type="dxa"/>
            <w:vAlign w:val="bottom"/>
            <w:shd w:val="clear" w:color="auto" w:fill="CFF0FC"/>
          </w:tcPr>
          <w:p>
            <w:pPr>
              <w:spacing w:after="0"/>
              <w:rPr>
                <w:sz w:val="21"/>
                <w:szCs w:val="21"/>
                <w:color w:val="auto"/>
              </w:rPr>
            </w:pPr>
          </w:p>
        </w:tc>
        <w:tc>
          <w:tcPr>
            <w:tcW w:w="2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974</w:t>
            </w:r>
          </w:p>
        </w:tc>
      </w:tr>
    </w:tbl>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pro forma amounts have been calculated after applying Goodyear’s accounting policies and making certain adjustments, which primarily include: (i) depreciation adjustments relating to fair value step-ups to property, plant and equipment; (ii) amortization adjustments relating to fair value estimates of acquired intangible assets; (iii) incremental interest expense associated with the $1.45 billion senior note issuance and additional borrowings under our first lien revolving credit facility used, in part, to fund the acquisition, related debt issuance costs, and fair value adjustments related to Cooper Tire's debt; (iv) CGS adjustments relating to the change from LIFO to FIFO; (v) fair value adjustments for certain Cooper Tire stock-based compensation; and (vi) transaction-related costs of both Goodyear and Cooper Tire.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Net Sales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disaggregated net sales from contracts with customers by major source for the year ended December 31, 2023:</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7"/>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10,028</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4,924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2,336</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17,288</w:t>
            </w: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0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1,411</w:t>
            </w:r>
          </w:p>
        </w:tc>
      </w:tr>
      <w:tr>
        <w:trPr>
          <w:trHeight w:val="24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685</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869</w:t>
            </w: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0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467</w:t>
            </w:r>
          </w:p>
        </w:tc>
      </w:tr>
      <w:tr>
        <w:trPr>
          <w:trHeight w:val="243"/>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11,993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5,606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2,467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20,066</w:t>
            </w:r>
          </w:p>
        </w:tc>
      </w:tr>
      <w:tr>
        <w:trPr>
          <w:trHeight w:val="20"/>
        </w:trPr>
        <w:tc>
          <w:tcPr>
            <w:tcW w:w="5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-187960</wp:posOffset>
            </wp:positionV>
            <wp:extent cx="85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-187960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-187960</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disaggregated net sales from contracts with customers by major source for the year ended December 31, 2022:</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7"/>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10,694</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4,943</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2,249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17,886</w:t>
            </w: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0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1,421</w:t>
            </w:r>
          </w:p>
        </w:tc>
      </w:tr>
      <w:tr>
        <w:trPr>
          <w:trHeight w:val="24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813</w:t>
            </w: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0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654</w:t>
            </w:r>
          </w:p>
        </w:tc>
      </w:tr>
      <w:tr>
        <w:trPr>
          <w:trHeight w:val="243"/>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12,766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5,645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2,394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20,805</w:t>
            </w:r>
          </w:p>
        </w:tc>
      </w:tr>
      <w:tr>
        <w:trPr>
          <w:trHeight w:val="20"/>
        </w:trPr>
        <w:tc>
          <w:tcPr>
            <w:tcW w:w="5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-187960</wp:posOffset>
            </wp:positionV>
            <wp:extent cx="857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-187960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-187960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disaggregated net sales from contracts with customers by major source for the year ended December 31, 2021: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7"/>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8,221</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4,669</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14,917</w:t>
            </w: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00" w:type="dxa"/>
            <w:vAlign w:val="bottom"/>
          </w:tcPr>
          <w:p>
            <w:pPr>
              <w:spacing w:after="0"/>
              <w:rPr>
                <w:sz w:val="20"/>
                <w:szCs w:val="20"/>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653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1,202</w:t>
            </w:r>
          </w:p>
        </w:tc>
      </w:tr>
      <w:tr>
        <w:trPr>
          <w:trHeight w:val="24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758</w:t>
            </w: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00" w:type="dxa"/>
            <w:vAlign w:val="bottom"/>
          </w:tcPr>
          <w:p>
            <w:pPr>
              <w:spacing w:after="0"/>
              <w:rPr>
                <w:sz w:val="20"/>
                <w:szCs w:val="20"/>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569</w:t>
            </w:r>
          </w:p>
        </w:tc>
      </w:tr>
      <w:tr>
        <w:trPr>
          <w:trHeight w:val="243"/>
        </w:trPr>
        <w:tc>
          <w:tcPr>
            <w:tcW w:w="5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10,051</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5,243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2,184</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17,478</w:t>
            </w:r>
          </w:p>
        </w:tc>
      </w:tr>
      <w:tr>
        <w:trPr>
          <w:trHeight w:val="20"/>
        </w:trPr>
        <w:tc>
          <w:tcPr>
            <w:tcW w:w="5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-187960</wp:posOffset>
            </wp:positionV>
            <wp:extent cx="939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-187960</wp:posOffset>
            </wp:positionV>
            <wp:extent cx="857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-187960</wp:posOffset>
            </wp:positionV>
            <wp:extent cx="857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Tire unit sales consist of consumer, commercial, farm and off-the-road tire sales, including the sale of new Company-branded tires through Company-owned retail channels.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$18 million and $19 million at December 31, 2023 and 2022, respectively. Deferred revenue included in Other Long Term Liabilities in the Consolidated Balance Sheets totaled $10 million and $15 million at December 31, 2023 and 2022, respectively. We recognize deferred revenue after we have transferred control of the goods or services to the customer and all revenue recognition criteria are met.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balances of deferred revenue related to contracts with customers, and changes during the years ended December 31: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spacing w:after="0"/>
              <w:rPr>
                <w:sz w:val="16"/>
                <w:szCs w:val="16"/>
                <w:color w:val="auto"/>
              </w:rPr>
            </w:pPr>
          </w:p>
        </w:tc>
      </w:tr>
      <w:tr>
        <w:trPr>
          <w:trHeight w:val="236"/>
        </w:trPr>
        <w:tc>
          <w:tcPr>
            <w:tcW w:w="1140" w:type="dxa"/>
            <w:vAlign w:val="bottom"/>
          </w:tcPr>
          <w:p>
            <w:pPr>
              <w:spacing w:after="0"/>
              <w:rPr>
                <w:sz w:val="20"/>
                <w:szCs w:val="20"/>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2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34</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44</w:t>
            </w:r>
          </w:p>
        </w:tc>
        <w:tc>
          <w:tcPr>
            <w:tcW w:w="1120" w:type="dxa"/>
            <w:vAlign w:val="bottom"/>
          </w:tcPr>
          <w:p>
            <w:pPr>
              <w:spacing w:after="0"/>
              <w:rPr>
                <w:sz w:val="20"/>
                <w:szCs w:val="20"/>
                <w:color w:val="auto"/>
              </w:rPr>
            </w:pPr>
          </w:p>
        </w:tc>
      </w:tr>
      <w:tr>
        <w:trPr>
          <w:trHeight w:val="238"/>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Revenue deferred during period</w:t>
            </w:r>
          </w:p>
        </w:tc>
        <w:tc>
          <w:tcPr>
            <w:tcW w:w="2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150</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 during period</w:t>
            </w:r>
          </w:p>
        </w:tc>
        <w:tc>
          <w:tcPr>
            <w:tcW w:w="2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120" w:type="dxa"/>
            <w:vAlign w:val="bottom"/>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2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120" w:type="dxa"/>
            <w:vAlign w:val="bottom"/>
          </w:tcPr>
          <w:p>
            <w:pPr>
              <w:spacing w:after="0"/>
              <w:rPr>
                <w:sz w:val="20"/>
                <w:szCs w:val="20"/>
                <w:color w:val="auto"/>
              </w:rPr>
            </w:pPr>
          </w:p>
        </w:tc>
      </w:tr>
      <w:tr>
        <w:trPr>
          <w:trHeight w:val="278"/>
        </w:trPr>
        <w:tc>
          <w:tcPr>
            <w:tcW w:w="1140" w:type="dxa"/>
            <w:vAlign w:val="bottom"/>
          </w:tcPr>
          <w:p>
            <w:pPr>
              <w:spacing w:after="0"/>
              <w:rPr>
                <w:sz w:val="24"/>
                <w:szCs w:val="2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2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28</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34</w:t>
            </w:r>
          </w:p>
        </w:tc>
        <w:tc>
          <w:tcPr>
            <w:tcW w:w="1120" w:type="dxa"/>
            <w:vAlign w:val="bottom"/>
          </w:tcPr>
          <w:p>
            <w:pPr>
              <w:spacing w:after="0"/>
              <w:rPr>
                <w:sz w:val="24"/>
                <w:szCs w:val="24"/>
                <w:color w:val="auto"/>
              </w:rPr>
            </w:pPr>
          </w:p>
        </w:tc>
      </w:tr>
      <w:tr>
        <w:trPr>
          <w:trHeight w:val="630"/>
        </w:trPr>
        <w:tc>
          <w:tcPr>
            <w:tcW w:w="1140" w:type="dxa"/>
            <w:vAlign w:val="bottom"/>
          </w:tcPr>
          <w:p>
            <w:pPr>
              <w:spacing w:after="0"/>
              <w:rPr>
                <w:sz w:val="24"/>
                <w:szCs w:val="24"/>
                <w:color w:val="auto"/>
              </w:rPr>
            </w:pPr>
          </w:p>
        </w:tc>
        <w:tc>
          <w:tcPr>
            <w:tcW w:w="3560" w:type="dxa"/>
            <w:vAlign w:val="bottom"/>
            <w:tcBorders>
              <w:top w:val="single" w:sz="8" w:color="CFF0FC"/>
            </w:tcBorders>
          </w:tcPr>
          <w:p>
            <w:pPr>
              <w:spacing w:after="0"/>
              <w:rPr>
                <w:sz w:val="24"/>
                <w:szCs w:val="24"/>
                <w:color w:val="auto"/>
              </w:rPr>
            </w:pPr>
          </w:p>
        </w:tc>
        <w:tc>
          <w:tcPr>
            <w:tcW w:w="2600" w:type="dxa"/>
            <w:vAlign w:val="bottom"/>
            <w:tcBorders>
              <w:top w:val="single" w:sz="8" w:color="CFF0FC"/>
            </w:tcBorders>
          </w:tcPr>
          <w:p>
            <w:pPr>
              <w:jc w:val="right"/>
              <w:ind w:right="1490"/>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-932815</wp:posOffset>
            </wp:positionV>
            <wp:extent cx="939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-915670</wp:posOffset>
            </wp:positionV>
            <wp:extent cx="939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Costs Associated with Rationalization Programs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order to improve our global competitiveness, we have implemented, and are implementing, rationalization actions to reduce high-cost and excess manufacturing capacity and operating and administrative costs, as well as actions related to the integration of Cooper Tire.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roll-forward of the liability balance between periods: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7"/>
        </w:trPr>
        <w:tc>
          <w:tcPr>
            <w:tcW w:w="6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Associate-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2"/>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Related Costs</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Other Costs</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 charges</w:t>
            </w:r>
          </w:p>
        </w:tc>
        <w:tc>
          <w:tcPr>
            <w:tcW w:w="1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Incurred, net of foreign currency translation of $(8) million and $0 million, respectively</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(205 )</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charges</w:t>
            </w:r>
          </w:p>
        </w:tc>
        <w:tc>
          <w:tcPr>
            <w:tcW w:w="1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Incurred, net of foreign currency translation of ($5) million and $0 million, respectively</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charges</w:t>
            </w:r>
          </w:p>
        </w:tc>
        <w:tc>
          <w:tcPr>
            <w:tcW w:w="1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Incurred, net of foreign currency translation of $14 million and $0 million, respectively</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78"/>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518</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-24765</wp:posOffset>
            </wp:positionV>
            <wp:extent cx="857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-7620</wp:posOffset>
            </wp:positionV>
            <wp:extent cx="857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857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857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2024, we approved a rationalization plan that will result in the closure of certain retail and warehouse locations, primarily in Americas, and a rationalization and global workforce reorganization plan to improve our cost structure, both as part of our Goodyear Forward transformation plan. The plans will lead to a reduction of approximately 250 positions globally. We expect to substantially complete the rationalization plans by the second quarter of 2024. The estimated total pre-tax charges associated with the closure of certain retail and warehouse locations is approximately $35 million, of which $30 million is expected to be cash charges primarily for other exit and lease costs, with the remainder representing non-cash charges primarily for accelerated depreciation and other asset-related charges. The estimated total pre-tax charges associated with the rationalization and global workforce reorganization plan is approximately $35 million, of which $10 million is expected to be cash charges primarily for associate-related and lease costs, with the remainder representing non-cash charges primarily for accelerated depreciation. We have $8 million accrued for these plans at December 31, 2023 and expect to record a majority of the remaining charges in the first and second quarters of 2024.</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we approved a rationalization plan in Europe, Middle East and Africa ("EMEA") to permanently close our Fulda, Germany tire manufacturing facility (“Fulda”) and our Fürstenwalde, Germany tire manufacturing facility (“Fürstenwalde”) as part of our strategy to improve our competitive position and reduce production cost per tire in EMEA. The proposed plan amends and replaces the plan that was previously approved in May 2023 to permanently reduce production at Fulda by approximately 50%. The proposed plan would include approximately 1,750 job reductions at Fulda and Fürstenwalde, consisting of 1,500 associates and 250 contracted and temporary positions. We intend to continue operating our mixing center in Fürstenwalde, Germany. The plan remains subject to consultation with relevant employee representative bodies. We expect to substantially complete the closure of Fulda by 2025 and the closure of Fürstenwalde by the end of 2027. We estimate total pre-tax charges associated with these actions to be between $575 million and $600 million, of which $425 million to $450 million is expected to be cash charges primarily for associate-related and other exit costs, with the remainder representing non-cash charges of approximately $150 million, mostly related to accelerated depreciation and other asset-related charges. We have $250 million accrued related to this plan at December 31, 2023. We expect pre-tax charges between $90 million and $110 million in 2024 and between $110 million and $130 million in 2025. We expect cash outflows of approximately $25 million and $300 million in 2024 and 2025, respectively. We expect the remaining pre-tax charges and cash outflows will occur by the end of 2027.</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2023, we approved a rationalization and workforce reorganization plan in EMEA to improve our cost structure. The plan would lead to a reduction of approximately 1,200 positions across multiple countries within EMEA, while also creating approximately 500 new roles principally in our existing shared services organization in Romania, resulting in an overall net reduction of approximately 700 positions. In certain countries, relevant portions of the plan remain subject to consultation with employee representative bodies. The total pre-tax charges associated with the plan are expected to be $210</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million to $230 million, substantially all of which are expected to be cash charges primarily for associate-related and other implementation and exit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$166 million accrued related to this plan at December 31, 2023, which is expected to be substantially paid through 2024.</w:t>
      </w:r>
    </w:p>
    <w:p>
      <w:pPr>
        <w:spacing w:after="0" w:line="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third quarter of 2023, we approved a plan in Asia Pacific to improve profitability in our Australia and New Zealand operations. The proposed plan will lead to a reduction of approximately 700 positions, the exit of nine warehouse locations, and the sale or exit of approximately 100 retail and fleet store locations. Estimated total pre-tax charges associated with this action will be between $55 million and $65 million, of which $40 million to $50 million are expected to be cash charges primarily for associate-related and lease exit costs, with the remainder primarily representing non-cash charges for accelerated depreciation and other asset-related charges. We have $21 million accrued related to this plan at December 31, 2023, which is expected to be substantially paid through 2024.</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second quarter of 2023, we approved a plan to reduce costs associated with our global operations and technology organization, which includes approximately 20 net headcount reductions. Total pre-tax charges are expected to be approximately $6 million, primarily consisting of cash charges for associate-related exit costs. We have $5 million accrued for this plan at December 31, 2023, which is expected to be substantially paid through the first quarter of 2024. Relevant portions of the rationalization plan remain subject to consultation with employee representative bodies.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quarter of 2023, we approved a plan designed to streamline our EMEA distribution network that will result in the eventual closure of our Philippsburg, Germany distribution center. The rationalization plan will lower our operating costs while maintaining or improving the existing service levels to our customers. We expect approximately 10 net headcount reductions related to this plan. Total pre-tax cash charges are expected to be approximately $18 million, primarily for severance-related exit costs, including the exit of approximately 285 third party contract associates not included in our headcount. We have $18 million accrued for this plan at December 31, 2023, which is expected to be substantially paid during the first half of 2024.</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first quarter of 2023, we approved a plan in EMEA to reduce staffing levels and capacity at several manufacturing facilities commensurate with the decline in demand. We expect approximately 280 net headcount reductions and total pre-tax charges of approximately $3 million related to this plan. We have $3 million accrued for this plan at December 31, 2023, which is expected to be substantially paid during the first half of 2024. Relevant portions of the rationalization plan remain subject to consultation with employee representative bodies.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remainder of the accrual balance at December 31, 2023 is expected to be substantially utilized in the next 12 months and includes $35 million related to the closure of Cooper Tire's Melksham, United Kingdom facility ("Melksham"), $17 million related to plans to reduce SAG headcount, $5 million related to the closed Amiens, France tire manufacturing facility, and various other plans to reduce headcount and improve operating efficiency.</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At December 31, 2023 and December 31, 2022, $239 million and $106 million were recorded in Other Current Liabilities in the Consolidated Balance Sheets,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net rationalization charges included in Income (Loss) before Income Taxes: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Year Plans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449</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plan curtailment and special termination benefits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Year Plans - Net Charges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473</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111</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4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Prior Year Plans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5"/>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r>
      <w:tr>
        <w:trPr>
          <w:trHeight w:val="238"/>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Prior Year Plans - Net Charges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236"/>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Net Charges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502</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129</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93</w:t>
            </w: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61"/>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write-off and accelerated depreciation charges, net</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-367665</wp:posOffset>
            </wp:positionV>
            <wp:extent cx="939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-367665</wp:posOffset>
            </wp:positionV>
            <wp:extent cx="857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-24765</wp:posOffset>
            </wp:positionV>
            <wp:extent cx="939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-7620</wp:posOffset>
            </wp:positionV>
            <wp:extent cx="939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857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857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Substantially all of the new charges in 2023 related to future cash outflows. Current year plan charges for the year ended December 31, 2023 related to the new plans approved during 2023 are described above.</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Net prior year plan charges recognized in the year ended December 31, 2023 include $16 million related to the closure of Melksham, $9 million related to the integration of Cooper Tire, $6 million related to the permanent closure of our Gadsden, Alabama tire manufacturing facility ("Gadsden"), $2 million related to a plan in South Africa, and $2 million related to the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discontinued operations in Russia. Net prior year plan charges also include reversals of $8 million for actions no longer needed for their originally intended purposes.</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Ongoing rationalization plans had approximately $1,470 million in rationalization charges through 2023 and approximately $260 million is expected to be incurred in future periods.</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Approximately 3,500 associates will be released under new plans initiated in 2023, of which approximately 450 were released through December 31, 2023. In 2023, approximately 800 associates were released under plans initiated in prior years. Approximately 3,250 associates remain to be released under all ongoing rationalization plans.</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Rationalization activities initiated in 2022 include current year charges primarily related to a rationalization and workforce reorganization plan as well as the plan to close Melksham. Net prior year plan charges recognized in the year ended December 31, 2022 include $15 million related to Gadsden, $7 million related to the modernization of two of our tire manufacturing facilities in Germany and $3 million for various plans to reduce global SAG headcount. Net prior year plan charges also include reversals of $9 million for actions no longer needed for their originally intended purposes.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Rationalization activities initiated in 2021 include current year charges primarily related to a plan to reduce SAG headcount in EMEA. Net prior year plan charges recognized in 2021 include $37 million related to Gadsden, $26 million related to the modernization of two of our tire manufacturing facilities in Germany, and $10 million related to various plans to reduce manufacturing headcount and improve operating efficiency in EMEA. In addition, net prior year plan charges include reversals of $2 million for actions no longer needed for their originally intended purposes.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Asset write-off and accelerated depreciation charges in 2023 primarily related to $18 million for the integration of Cooper Tire, $17 million for the closure of Melksham, and $10 million for the facility closures in Germany, partially offset by $10 million of recoveries of previously written-off accounts receivable and other assets in Russia. Asset write-off and accelerated depreciation charges for 2023 were primarily recorded in CGS.</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Asset write-off and accelerated depreciation charges in 2022 primarily related to the discontinuation of our operations in Russia and a plan related to the integration of Cooper Tire. Asset write-off and accelerated depreciation charges for 2022 were primarily recorded in SAG.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Interest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includes interest and the amortization of deferred financing fees and debt discounts, less amounts capitalized,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before capitalization</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559</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470</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403</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78"/>
        </w:trPr>
        <w:tc>
          <w:tcPr>
            <w:tcW w:w="66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532</w:t>
            </w:r>
          </w:p>
        </w:tc>
        <w:tc>
          <w:tcPr>
            <w:tcW w:w="1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451</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-24765</wp:posOffset>
            </wp:positionV>
            <wp:extent cx="857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-7620</wp:posOffset>
            </wp:positionV>
            <wp:extent cx="857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857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857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payments for interest, net of amounts capitalized, were $514 million, $437 million and $316 million in 2023, 2022 and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(Income) Expense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Non-service related pension and other postretirement benefits cost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148</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178</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92</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on a favorable indirect tax ruling in Brazil</w:t>
            </w:r>
          </w:p>
        </w:tc>
        <w:tc>
          <w:tcPr>
            <w:tcW w:w="30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fees and financial instruments expense</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foreign currency exchange (gains) losses</w:t>
            </w:r>
          </w:p>
        </w:tc>
        <w:tc>
          <w:tcPr>
            <w:tcW w:w="30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product liability expense - discontinued products</w:t>
            </w:r>
          </w:p>
        </w:tc>
        <w:tc>
          <w:tcPr>
            <w:tcW w:w="30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income</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(income) expense</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r>
      <w:tr>
        <w:trPr>
          <w:trHeight w:val="278"/>
        </w:trPr>
        <w:tc>
          <w:tcPr>
            <w:tcW w:w="66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108</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75</w:t>
            </w: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-24765</wp:posOffset>
            </wp:positionV>
            <wp:extent cx="939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-7620</wp:posOffset>
            </wp:positionV>
            <wp:extent cx="939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939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939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Non-service related pension and other postretirement benefits cost includes net pension settlement 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curtailment charges of $40 million, $124 million and $43 million in 2023, 2022 and 2021, respectively. For further information, refer to Note to the Consolidated Financial Statements No. 18, Pension, Other Postretirement Benefits and Savings Plans.</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along with other companies, had previously filed various claims with the Brazilian tax authorities challenging the legality of the government's calculation of certain indirect taxes. In 2021, the Brazilian Supreme Court rendered a final ruling that was favorable to companies on the remaining open aspects of these claims. As a result of the ruling, we recorded a gain in CGS of $69 million and related interest income of $48 million in Other (Income) Expense.</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Financing fees and financial instruments expense consists of commitment fees and charges incurred in connection with financing transactions, primarily due to accounts receivable factoring programs. Financing fees and financial instruments expense in 2021 included a $10 million charge for a commitment fee on a bridge term loan facility related to the Cooper Tire acquisition that was not utilized and was terminated upon the closing of the transaction.</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foreign currency exchange (gains) losses include losses of $80 million, $19 million and $13 million related to the Argentine peso in 2023, 2022 and 2021, respectively, and a $13 million loss related to the Turkish lira in 2023.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includes interest income in Argentina of $44 million, $17 million and $8 million in 2023, 2022 and 2021, respectively.</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gains on asset sales in 2023 primarily relate to gains on sale and leaseback transactions of $88 million, resulting in $99 million of cash proceeds. Sale and leaseback transactions included the sale and leaseback of a warehouse in Americas in the second quarter of 2023 and a retail location in Americas in the fourth quarter of 2023. A $59 million gain was recorded in the second quarter of 2023 related to the sale and leaseback transaction for the warehouse in Americas. Cash proceeds related to this transaction totaled $66 million. Leaseback terms for this location include a 5-year initial term with one 5-year renewal option. We have determined it is not probable that we will exercise this option. This transaction resulted in the recognition of Operating Lease Right-of-Use Assets totaling $24 million. The sale and leaseback transaction in the fourth quarter of 2023 for the retail location in Americas resulted in a gain of $23 million. Cash proceeds related to this transaction totaled $24 million. Leaseback terms for this location include a 5-year initial term. This transaction resulted in the recognition of Operating Lease Right-of-Use Assets totaling $7 million. The remainder of net gains on asset sales in 2023 primarily relate to the sale and exit of certain retail locations in Americas.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gains on asset sales in 2022 include a $95 million gain related to a sale and leaseback transaction of certain consumer and commercial retail locations in Americas. Cash proceeds related to this transaction totaled $108 million. Leaseback terms for all locations include a 15-year initial term with up to six 5-year renewal options. We determined at the inception of the leases that it was not probable that we would exercise any of the renewal options. The transaction resulted in the recognition of Operating Lease Right-of-Use Assets totaling $57 million. The remainder of net gains on asset sales in 2022 primarily relate to the sale and exit of certain retail locations in Americas. Net gains on asset sales in 2021 primarily relate to the sale of land in Hanau, Germany.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 include legal, consulting and other expenses incurred by us in connection with the Cooper Tire acquisition.</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Miscellaneous (income) expense in 2023 includes non-indemnified costs for product liability claims related to products manufactured by a formerly consolidated joint venture entity totaling $31 million and a $10 million loss related to the sale of a receivable in Argentina, partially offset by $5 million of income for the write-off of accumulated foreign currency translation related to our exited business in Russia. Miscellaneous (income) expense in 2023 also includes $11 million of income related to a favorable court decision setting aside a previous unfavorable verdict on intellectual property-related legal claims. The impact of that verdict and other fees of $15 million was recorded in miscellaneous (income) expense in 2022. Miscellaneous (income) expense in 2021 includes an insurance settlement gain of $10 million.</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Other (Income) Expense also includes general and product liability expense - discontinued products, which consists of charges for claims against us related primarily to asbestos personal injury claims, net of probable insurance recoveries; and royalty income, which is derived primarily from licensing arrangements.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(Loss) before Income Taxes follow: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3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615</w:t>
            </w:r>
          </w:p>
        </w:tc>
      </w:tr>
      <w:tr>
        <w:trPr>
          <w:trHeight w:val="278"/>
        </w:trPr>
        <w:tc>
          <w:tcPr>
            <w:tcW w:w="3140" w:type="dxa"/>
            <w:vAlign w:val="bottom"/>
            <w:shd w:val="clear" w:color="auto" w:fill="CFF0FC"/>
          </w:tcPr>
          <w:p>
            <w:pPr>
              <w:spacing w:after="0"/>
              <w:rPr>
                <w:sz w:val="24"/>
                <w:szCs w:val="24"/>
                <w:color w:val="auto"/>
              </w:rPr>
            </w:pPr>
          </w:p>
        </w:tc>
        <w:tc>
          <w:tcPr>
            <w:tcW w:w="3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(677 )</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399</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513</w:t>
            </w:r>
          </w:p>
        </w:tc>
      </w:tr>
      <w:tr>
        <w:trPr>
          <w:trHeight w:val="630"/>
        </w:trPr>
        <w:tc>
          <w:tcPr>
            <w:tcW w:w="3140" w:type="dxa"/>
            <w:vAlign w:val="bottom"/>
            <w:tcBorders>
              <w:top w:val="single" w:sz="8" w:color="CFF0FC"/>
            </w:tcBorders>
          </w:tcPr>
          <w:p>
            <w:pPr>
              <w:spacing w:after="0"/>
              <w:rPr>
                <w:sz w:val="24"/>
                <w:szCs w:val="24"/>
                <w:color w:val="auto"/>
              </w:rPr>
            </w:pPr>
          </w:p>
        </w:tc>
        <w:tc>
          <w:tcPr>
            <w:tcW w:w="350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762"/>
        </w:trPr>
        <w:tc>
          <w:tcPr>
            <w:tcW w:w="31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-932815</wp:posOffset>
            </wp:positionV>
            <wp:extent cx="857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-915670</wp:posOffset>
            </wp:positionV>
            <wp:extent cx="857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-932815</wp:posOffset>
            </wp:positionV>
            <wp:extent cx="857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-915670</wp:posOffset>
            </wp:positionV>
            <wp:extent cx="857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income taxes at the U.S. statutory rate to United States and Foreign Tax Expense (Benefit)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federal income tax expense (benefit) at the statutory rate of 21%</w:t>
            </w:r>
          </w:p>
        </w:tc>
        <w:tc>
          <w:tcPr>
            <w:tcW w:w="92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48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84</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108</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foreign losses (income) with no tax due to valuation allowances</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U.S. federal benefit</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 for foreign income taxed at different rates and nontaxable foreign items</w:t>
            </w:r>
          </w:p>
        </w:tc>
        <w:tc>
          <w:tcPr>
            <w:tcW w:w="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r>
      <w:tr>
        <w:trPr>
          <w:trHeight w:val="211"/>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charges (benefits) related to foreign tax credits, R&amp;D and foreign</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1"/>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derived intangible deduction</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establishment (release) of uncertain tax positions</w:t>
            </w:r>
          </w:p>
        </w:tc>
        <w:tc>
          <w:tcPr>
            <w:tcW w:w="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impact of enacted rate and law changes</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1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establishment (release) of foreign valuation allowances and write off of deferred</w:t>
            </w: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4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establishment (release) of U.S. valuation allowances</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w:t>
            </w: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and Foreign Tax Expense (Benefit)</w:t>
            </w:r>
          </w:p>
        </w:tc>
        <w:tc>
          <w:tcPr>
            <w:tcW w:w="92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160" w:type="dxa"/>
            <w:vAlign w:val="bottom"/>
            <w:gridSpan w:val="2"/>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190</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(267 )</w:t>
            </w:r>
          </w:p>
        </w:tc>
      </w:tr>
      <w:tr>
        <w:trPr>
          <w:trHeight w:val="20"/>
        </w:trPr>
        <w:tc>
          <w:tcPr>
            <w:tcW w:w="6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20"/>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United States and Foreign Tax Expense (Benefit) by taxing jurisdiction, follow:</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4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166</w:t>
            </w: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r>
      <w:tr>
        <w:trPr>
          <w:trHeight w:val="240"/>
        </w:trPr>
        <w:tc>
          <w:tcPr>
            <w:tcW w:w="66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240</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162</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204</w:t>
            </w: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(362 )</w:t>
            </w: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8"/>
        </w:trPr>
        <w:tc>
          <w:tcPr>
            <w:tcW w:w="6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(230 )</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28</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(471 )</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and Foreign Tax Expense (Benefit)</w:t>
            </w:r>
          </w:p>
        </w:tc>
        <w:tc>
          <w:tcPr>
            <w:tcW w:w="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4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190</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-2294255</wp:posOffset>
            </wp:positionV>
            <wp:extent cx="1028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-2294255</wp:posOffset>
            </wp:positionV>
            <wp:extent cx="939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-350520</wp:posOffset>
            </wp:positionV>
            <wp:extent cx="857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-350520</wp:posOffset>
            </wp:positionV>
            <wp:extent cx="857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-24765</wp:posOffset>
            </wp:positionV>
            <wp:extent cx="857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-7620</wp:posOffset>
            </wp:positionV>
            <wp:extent cx="857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857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857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Income tax expense in 2023 was $10 million on a loss before income taxes of $677 million. In 2023, income tax expense includes net discrete tax benefits totaling $9 million, primarily related to additional prior year withholding tax creditable in the U.S. as a result of a tax law change.</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2022, income tax expense was $190 million on income before income taxes of $399 million and includes net discrete tax expense totaling $23 million, including a charge of $14 million to write off deferred tax assets related to tax loss carryforwards in the U.K. and a charge of $11 million to establish a full valuation allowance on our net deferred tax assets in Russia, partially offset by a net benefit of $2 million for various other items.</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2021, income tax benefit of $267 million on income before income taxes of $513 million includes net discrete tax benefits totaling $409 million, including a reduction in our valuation allowances of $340 million for certain U.S. deferred tax assets for foreign tax credits and state tax loss carryforwards, a $39 million benefit to adjust our deferred tax assets in England for an enacted change in the tax rate, a $21 million benefit to reflect an increase in our estimated state tax rate used in calculating our U.S. net deferred tax assets as a result of a change in the overall mix of our earnings by state after including the impact of the acquisition of Cooper Tire, an $8 million benefit related to a favorable court ruling in Brazil, and a net benefit of $1 million for various other items.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ectPr>
          <w:pgSz w:w="11900" w:h="16838" w:orient="portrait"/>
          <w:cols w:equalWidth="0" w:num="1">
            <w:col w:w="11240"/>
          </w:cols>
          <w:pgMar w:left="320" w:top="764"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December 31, 2023 and December 31, 2022, we had approximately $1.2 billion and $1.1 billion of U.S. federal, state and local net deferred tax assets, respectively, inclusive of valuation allowances totaling $22 million and $26 million in each period, respectively, primarily for state tax loss carryforwards with limited lives. As of December 31, 2023, approximately $1.0 billion of these U.S. net deferred tax assets have unlimited lives and approximately $200 million have limited lives, including $22 million of foreign tax credits, and the majority do not start to expire until 2031. As of December 31, 2022, approximately $700 million of these U.S. net deferred tax assets had unlimited lives and approximately $400 million had limited lives, including $230 million of foreign tax credits, and had expiration dates between 2023 and 2042. In the U.S., as of December 31, 2023, we emerged from a three-year cumulative loss which was driven by business disruptions created by the COVID-19 pandemic. Our U.S. cumulative income for the three-years ended December 31, 2023 is primarily a result of gains from other comprehensive income rather than consistently profitable U.S. operating results. Our 2023 U.S. operating results in the first six months of the year were negatively impacted by lower sales volumes due to commercial replacement tire channel destocking, reduced consumer industry demand and the Tupelo storm. However, our second half of 2023 showed improvement and profitability in our U.S. operating results.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assessing our ability to utilize our net deferred tax assets, we primarily considered objectively verifiable information, including the improvement in our U.S. operating results during the second half of 2023 as a result of improved tire volume and lower raw material and transportation costs compared to the first half of 2023. In addition, we consider our current forecasts of future profitability in assessing our ability to realize our deferred tax assets as well as the impact of tax planning strategies. These forecasts include the impact of recent trends and various macroeconomic factors such as the impact of raw material, transportation, labor and energy costs on our profitability. Our tax planning strategies include accelerating income on cross border transactions, including sales of inventory or raw materials to our subsidiaries, reducing U.S. interest expense by, for example, reducing intercompany loans through repatriating current year earnings of foreign subsidiaries, repatriation of certain foreign royalty income, and other financing transactions, all of which would increase our domestic profitability.</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our improvement in U.S. operating results during the second half of 2023 and forecasts of future profitability provide us sufficient positive evidence to conclude that it is more likely than not that, at December 31, 2023, our U.S. net deferred tax assets will be fully utilized. However, macroeconomic factors such as raw material, transportation, labor and energy costs possess a high degree of volatility and can significantly impact our profitability. In addition, certain tax provisions, such as the annual interest expense limitation under Section 163(j) of the Internal Revenue Code of 1986, if amended, could impact our analysis of the realizability of our U.S. deferred tax assets. If our U.S. operating results significantly decline in the future, we may need to record a valuation allowance which could adversely impact our operating results. As such, we will closely monitor our U.S. operations as well as any tax law changes to assess the realizability of our U.S. deferred tax assets.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2023 and December 31, 2022, we also had approximately $1.5 billion and $1.2 billion of foreign net deferred tax assets, respectively, and related valuation allowances of approximately $1.2 billion and $1.0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$1.0 billion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foreign deferred tax assets having a significant impact on our financial position or results of operations will exist within the next twelve months.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differences and carryforwards giving rise to deferred tax assets and liabilities at December 31 follow: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loss carryforwards and credits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1,155</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1,160</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 expenditures</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490</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481</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royalty income</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457</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deductible as paid</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320</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Partnership basis differences</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341</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prepayments income</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Postretirement benefits and pensions</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Rationalizations and other provisions</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Vacation and sick pay</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r>
      <w:tr>
        <w:trPr>
          <w:trHeight w:val="238"/>
        </w:trPr>
        <w:tc>
          <w:tcPr>
            <w:tcW w:w="7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3,274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3,070</w:t>
            </w:r>
          </w:p>
        </w:tc>
      </w:tr>
      <w:tr>
        <w:trPr>
          <w:trHeight w:val="241"/>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(1,275 )</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1,999</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1,998</w:t>
            </w: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property basis differences related to Cooper Tire acquisition</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basis differences</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(407 )</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deferred tax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1,547</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1,309</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-1129665</wp:posOffset>
            </wp:positionV>
            <wp:extent cx="1111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-812800</wp:posOffset>
            </wp:positionV>
            <wp:extent cx="1111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-187960</wp:posOffset>
            </wp:positionV>
            <wp:extent cx="1111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2023, we had $948 million of tax assets for net operating loss, capital loss and tax credit carryforwards related to certain foreign subsidiaries. These carryforwards are primarily from countries with unlimited carryforward periods, but include $72 million of tax credit carryforwards in various European countries that are subject to expiration from 2024 to 2033. A valuation allowance totaling $1,253 million has been recorded against these and other deferred tax assets where recovery of the asset or carryforward is uncertain. In addition, we had $157 million of federal and $50 million of state tax assets for net operating loss and tax credit carryforwards. The federal carryforwards include $23 million of foreign tax credits that are subject to expiration from 2028 to 2030 and $129 million of tax assets related to research and development credits and other federal credits that are subject to expiration from 2030 to 2043. The state carryforwards include $38 million that are subject to expiration from 2024 to 2040. A valuation allowance of $22 million has been recorded against federal and state deferred tax assets where recovery is uncertain.</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December 31, 2023, we had unrecognized tax benefits of $92 million that, if recognized, would have a favorable impact on our tax expense of $61 million. We had accrued interest of $1 million as of December 31, 2023. If not favorably settled, $9 million of the unrecognized tax benefits and all the accrued interest would require the use of our cash. We do not expect changes during 2024 to our unrecognized tax benefits to have a significant impact on our financial position or results of operations. A summary of our unrecognized tax benefits and changes during the year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87</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90</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85</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32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32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92</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87</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90</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-187960</wp:posOffset>
            </wp:positionV>
            <wp:extent cx="857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-187960</wp:posOffset>
            </wp:positionV>
            <wp:extent cx="857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are open to examination in the U.S. for 2021 and in Germany from 2018 onward. Generally, for our remaining tax jurisdictions, years from 2018 onward are still open to examination.</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undistributed earnings and profits of our foreign subsidiaries totaling approximately $2.8 billion at December 31, 2023. We have concluded that no provision for tax in the U.S. is required because substantially all of the remaining undistributed earnings and profits have been or will be reinvested in property, plant and equipment and working capital outside of the U.S. A foreign withholding tax charge would be required if these earnings and profits were distributed to the U.S. We estimate the foreign withholding tax charge to be approximately $100 million (net of foreign tax credits) using various assumptions. Future events, including changes in our business operations and tax law changes, could impact our current estimate.</w:t>
      </w:r>
    </w:p>
    <w:p>
      <w:pPr>
        <w:sectPr>
          <w:pgSz w:w="11900" w:h="16838" w:orient="portrait"/>
          <w:cols w:equalWidth="0" w:num="1">
            <w:col w:w="11240"/>
          </w:cols>
          <w:pgMar w:left="320" w:top="764"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payments for income taxes were $200 million, $174 million and $201 million in 2023, 2022 and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Share</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common share are calculated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38"/>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764</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261</w:t>
            </w:r>
          </w:p>
        </w:tc>
      </w:tr>
      <w:tr>
        <w:trPr>
          <w:trHeight w:val="225"/>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 (loss) per common share — 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(2.42 )</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0.71</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2.92</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6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4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1"/>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202</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764</w:t>
            </w:r>
          </w:p>
        </w:tc>
      </w:tr>
      <w:tr>
        <w:trPr>
          <w:trHeight w:val="223"/>
        </w:trPr>
        <w:tc>
          <w:tcPr>
            <w:tcW w:w="66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Dilutive effect of stock options and other dilutive securities</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r>
      <w:tr>
        <w:trPr>
          <w:trHeight w:val="23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264</w:t>
            </w: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65"/>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 (loss) per common share — diluted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(2.42 )</w:t>
            </w:r>
          </w:p>
        </w:tc>
        <w:tc>
          <w:tcPr>
            <w:tcW w:w="1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0.71</w:t>
            </w:r>
          </w:p>
        </w:tc>
        <w:tc>
          <w:tcPr>
            <w:tcW w:w="14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-1369060</wp:posOffset>
            </wp:positionV>
            <wp:extent cx="1028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-1351915</wp:posOffset>
            </wp:positionV>
            <wp:extent cx="1028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-1369060</wp:posOffset>
            </wp:positionV>
            <wp:extent cx="939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-1351915</wp:posOffset>
            </wp:positionV>
            <wp:extent cx="939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-701675</wp:posOffset>
            </wp:positionV>
            <wp:extent cx="1028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-684530</wp:posOffset>
            </wp:positionV>
            <wp:extent cx="1028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-701675</wp:posOffset>
            </wp:positionV>
            <wp:extent cx="939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-684530</wp:posOffset>
            </wp:positionV>
            <wp:extent cx="939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-367665</wp:posOffset>
            </wp:positionV>
            <wp:extent cx="1028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-367665</wp:posOffset>
            </wp:positionV>
            <wp:extent cx="939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-24765</wp:posOffset>
            </wp:positionV>
            <wp:extent cx="1028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1028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939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939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Weighted average shares outstanding — diluted for 2023 excludes approximately 2 million shares, related primarily to options with exercise prices less than the average market price of our common shares (i.e., "in-the-money" options) and unvested restricted stock units, as their inclusion would have been anti-dilutive due to the Goodyear net loss. Additionally, weighted average shares outstanding — diluted for 2023, 2022 and 2021 excludes approximately 2 million equivalent shares related to options with exercise prices greater than the average market price of our common shares (i.e., "underwater" options).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Business Segments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For the year ended December 31, 2023, we operated our business through three operating segments representing our regional tire businesses: Americas; Europe, Middle East and Africa; and Asia Pacific. Segment information is reported on the basis used for reporting to our Chief Executive Officer. Each of the three regional business segments is involved in the development, manufacture, distribution and sale of tires. Certain of the business segments also provide related products and services, which include retreads and automotive and commercial truck maintenance and repair services. Each segment also exports tires to other segments. Since the Closing Date, Cooper Tire's operating results have been incorporated into each of our SBUs.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Americas manufactures and sells tires for automobiles, trucks, buses, earthmoving, mining and industrial equipment, aircraft, and for various other applications throughout North, Central and South America. Americas also provides related products and services, including retreaded tires, tread rubber, and automotive and commercial truck maintenance and repair services, as well as sells chemical and natural rubber products to our other business segments and to unaffiliated customers.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EMEA manufactures and sells tires for automobiles, trucks, buses, aircraft, motorcycles, and earthmoving, mining and industrial equipment throughout Europe, the Middle East and Africa. EMEA also sells retreaded aviation tires, retreading and related services for commercial truck and earthmoving, mining and industrial equipment, and automotive maintenance and repair services.</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Asia Pacific manufactures and sells tires for automobiles, trucks, buses, aircraft, farm, and earthmoving, mining and industrial equipment throughout the Asia Pacific region. Asia Pacific also provides related products and services, including retreaded truck and aviation tires, tread rubber, and automotive maintenance and repair services.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following table presents segment sales and operating income, and the reconciliation of segment operating income to Income (Loss) before Income Taxes: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11,993</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12,766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10,051</w:t>
            </w:r>
          </w:p>
        </w:tc>
      </w:tr>
      <w:tr>
        <w:trPr>
          <w:trHeight w:val="247"/>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5,606</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5,645</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5,243</w:t>
            </w:r>
          </w:p>
        </w:tc>
      </w:tr>
      <w:tr>
        <w:trPr>
          <w:trHeight w:val="238"/>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2,394</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2,184</w:t>
            </w:r>
          </w:p>
        </w:tc>
      </w:tr>
      <w:tr>
        <w:trPr>
          <w:trHeight w:val="278"/>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20,066</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20,805</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17,478</w:t>
            </w:r>
          </w:p>
        </w:tc>
      </w:tr>
      <w:tr>
        <w:trPr>
          <w:trHeight w:val="223"/>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45"/>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749</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1,094</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914</w:t>
            </w:r>
          </w:p>
        </w:tc>
      </w:tr>
      <w:tr>
        <w:trPr>
          <w:trHeight w:val="238"/>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239</w:t>
            </w:r>
          </w:p>
        </w:tc>
      </w:tr>
      <w:tr>
        <w:trPr>
          <w:trHeight w:val="243"/>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135</w:t>
            </w:r>
          </w:p>
        </w:tc>
      </w:tr>
      <w:tr>
        <w:trPr>
          <w:trHeight w:val="238"/>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968</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1,276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1,288</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impairment (Note 12)</w:t>
            </w: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Rationalizations (Note 4)</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(Note 5)</w:t>
            </w: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(Note 6)</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w:t>
            </w: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write-offs and accelerated depreciation, net (Note 4)</w:t>
            </w: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r>
      <w:tr>
        <w:trPr>
          <w:trHeight w:val="247"/>
        </w:trPr>
        <w:tc>
          <w:tcPr>
            <w:tcW w:w="6640" w:type="dxa"/>
            <w:vAlign w:val="bottom"/>
            <w:tcBorders>
              <w:bottom w:val="single" w:sz="8" w:color="CFF0FC"/>
            </w:tcBorders>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(1)</w:t>
            </w: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399</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513</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-2405380</wp:posOffset>
            </wp:positionV>
            <wp:extent cx="857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-2388235</wp:posOffset>
            </wp:positionV>
            <wp:extent cx="857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-2405380</wp:posOffset>
            </wp:positionV>
            <wp:extent cx="857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-2388235</wp:posOffset>
            </wp:positionV>
            <wp:extent cx="857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-1763395</wp:posOffset>
            </wp:positionV>
            <wp:extent cx="857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-1763395</wp:posOffset>
            </wp:positionV>
            <wp:extent cx="857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-187960</wp:posOffset>
            </wp:positionV>
            <wp:extent cx="857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-187960</wp:posOffset>
            </wp:positionV>
            <wp:extent cx="857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jc w:val="both"/>
        <w:ind w:left="760" w:hanging="752"/>
        <w:spacing w:after="0" w:line="265"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unallocated corporate costs and the elimination of $27 million, $25 million and $22 million for the years ended December 31, 2023, 2022 and 2021, respectively, of royalty income attributable to the SBUs. Other in 2023 also includes $35 million of costs related to the Goodyear Forward plan, primarily related to third-party consulting fees.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assets at December 31: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38"/>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11,647</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12,171</w:t>
            </w: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4,873</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5,239</w:t>
            </w:r>
          </w:p>
        </w:tc>
      </w:tr>
      <w:tr>
        <w:trPr>
          <w:trHeight w:val="238"/>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2,767</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2,913</w:t>
            </w:r>
          </w:p>
        </w:tc>
      </w:tr>
      <w:tr>
        <w:trPr>
          <w:trHeight w:val="240"/>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Assets</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19,287</w:t>
            </w: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20,323</w:t>
            </w:r>
          </w:p>
        </w:tc>
      </w:tr>
      <w:tr>
        <w:trPr>
          <w:trHeight w:val="243"/>
        </w:trPr>
        <w:tc>
          <w:tcPr>
            <w:tcW w:w="772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4"/>
                <w:szCs w:val="24"/>
                <w:color w:val="auto"/>
                <w:vertAlign w:val="superscript"/>
              </w:rPr>
              <w:t>(1)</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2,295</w:t>
            </w: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2,108</w:t>
            </w:r>
          </w:p>
        </w:tc>
      </w:tr>
      <w:tr>
        <w:trPr>
          <w:trHeight w:val="274"/>
        </w:trPr>
        <w:tc>
          <w:tcPr>
            <w:tcW w:w="772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21,582</w:t>
            </w:r>
          </w:p>
        </w:tc>
        <w:tc>
          <w:tcPr>
            <w:tcW w:w="16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22,431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1028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028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3" w:lineRule="exact"/>
        <w:rPr>
          <w:sz w:val="20"/>
          <w:szCs w:val="20"/>
          <w:color w:val="auto"/>
        </w:rPr>
      </w:pPr>
    </w:p>
    <w:p>
      <w:pPr>
        <w:ind w:left="760" w:hanging="752"/>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includes substantially all of our U.S. net deferred tax assets.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write-offs and accelerated depreciation charges) and SAG (including certain allocated corporate administrative expenses). Segment operating income also includes certain royalties and equity in earnings of most affiliates. Segment operating income does not include net rationalization charges, asset sales, goodwill and other asset impairment charges, and certain other items.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table presents geographic information. Net sales by country were determined based on the location of the selling subsidiary. Long-lived assets consist of property, plant and equipment. Management did not consider the net sales of any individual country outside the United States to be significant to the consolidated financial statements. For long-lived assets, only the United States and China were considered to be significant.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38"/>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9,807</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10,734</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8,480</w:t>
            </w:r>
          </w:p>
        </w:tc>
      </w:tr>
      <w:tr>
        <w:trPr>
          <w:trHeight w:val="243"/>
        </w:trPr>
        <w:tc>
          <w:tcPr>
            <w:tcW w:w="6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international</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10,259</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10,071</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8,998</w:t>
            </w:r>
          </w:p>
        </w:tc>
      </w:tr>
      <w:tr>
        <w:trPr>
          <w:trHeight w:val="238"/>
        </w:trPr>
        <w:tc>
          <w:tcPr>
            <w:tcW w:w="66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20,066</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20,805</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17,478</w:t>
            </w: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8"/>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3,891</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3,804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8"/>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international</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3,888</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3,747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8"/>
        </w:trPr>
        <w:tc>
          <w:tcPr>
            <w:tcW w:w="66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8,492</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8,294</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-992505</wp:posOffset>
            </wp:positionV>
            <wp:extent cx="939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-992505</wp:posOffset>
            </wp:positionV>
            <wp:extent cx="857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-24765</wp:posOffset>
            </wp:positionV>
            <wp:extent cx="939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-7620</wp:posOffset>
            </wp:positionV>
            <wp:extent cx="939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significant concentrations of cash and cash equivalents held by our international subsidiaries included the following amounts:</w:t>
      </w:r>
    </w:p>
    <w:p>
      <w:pPr>
        <w:spacing w:after="0" w:line="117"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$297 million or 33% in EMEA, primarily France, England and Poland ($361 million or 29% at December 31, 2022),</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$244 million or 27% in Asia Pacific, primarily China, India and Australia ($301 million or 25% at December 31, 2022),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$237 million or 26% in Americas, primarily Brazil, Mexico and Argentina ($316 million or 26% at December 31, 2022).</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Goodwill impairment, as described in Notes to the Consolidated Financial Statements No. 12, Goodwill and Intangible Assets; rationalizations, as described in Note to the Consolidated Financial Statements No. 4, Costs Associated with Rationalization Programs; net (gains) losses on asset sales, as described in Note to the Consolidated Financial Statements No. 6, Other (Income) Expense; and asset write-offs and accelerated depreciation were not charged (credited) to the SBUs for performance evaluation purposes but were attributable to the SBUs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Goodwill Impairment</w:t>
            </w:r>
          </w:p>
        </w:tc>
        <w:tc>
          <w:tcPr>
            <w:tcW w:w="23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4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Goodwill Impairment</w:t>
            </w:r>
          </w:p>
        </w:tc>
        <w:tc>
          <w:tcPr>
            <w:tcW w:w="26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230</w:t>
            </w:r>
          </w:p>
        </w:tc>
        <w:tc>
          <w:tcPr>
            <w:tcW w:w="4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0"/>
        </w:trPr>
        <w:tc>
          <w:tcPr>
            <w:tcW w:w="4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320" w:type="dxa"/>
            <w:vAlign w:val="bottom"/>
            <w:tcBorders>
              <w:top w:val="single" w:sz="8" w:color="CFF0FC"/>
            </w:tcBorders>
          </w:tcPr>
          <w:p>
            <w:pPr>
              <w:spacing w:after="0"/>
              <w:rPr>
                <w:sz w:val="24"/>
                <w:szCs w:val="24"/>
                <w:color w:val="auto"/>
              </w:rPr>
            </w:pPr>
          </w:p>
        </w:tc>
        <w:tc>
          <w:tcPr>
            <w:tcW w:w="20" w:type="dxa"/>
            <w:vAlign w:val="bottom"/>
            <w:tcBorders>
              <w:top w:val="single" w:sz="8" w:color="CFF0FC"/>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CFF0FC"/>
            </w:tcBorders>
          </w:tcPr>
          <w:p>
            <w:pPr>
              <w:spacing w:after="0"/>
              <w:rPr>
                <w:sz w:val="24"/>
                <w:szCs w:val="24"/>
                <w:color w:val="auto"/>
              </w:rPr>
            </w:pPr>
          </w:p>
        </w:tc>
        <w:tc>
          <w:tcPr>
            <w:tcW w:w="40" w:type="dxa"/>
            <w:vAlign w:val="bottom"/>
            <w:tcBorders>
              <w:top w:val="single" w:sz="8" w:color="CFF0FC"/>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Rationalizations</w:t>
            </w:r>
          </w:p>
        </w:tc>
        <w:tc>
          <w:tcPr>
            <w:tcW w:w="23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8"/>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4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Rationalizations</w:t>
            </w:r>
          </w:p>
        </w:tc>
        <w:tc>
          <w:tcPr>
            <w:tcW w:w="26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453</w:t>
            </w:r>
          </w:p>
        </w:tc>
        <w:tc>
          <w:tcPr>
            <w:tcW w:w="4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124</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87</w:t>
            </w:r>
          </w:p>
        </w:tc>
        <w:tc>
          <w:tcPr>
            <w:tcW w:w="0" w:type="dxa"/>
            <w:vAlign w:val="bottom"/>
          </w:tcPr>
          <w:p>
            <w:pPr>
              <w:spacing w:after="0"/>
              <w:rPr>
                <w:sz w:val="1"/>
                <w:szCs w:val="1"/>
                <w:color w:val="auto"/>
              </w:rPr>
            </w:pPr>
          </w:p>
        </w:tc>
      </w:tr>
      <w:tr>
        <w:trPr>
          <w:trHeight w:val="221"/>
        </w:trPr>
        <w:tc>
          <w:tcPr>
            <w:tcW w:w="43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2320" w:type="dxa"/>
            <w:vAlign w:val="bottom"/>
            <w:tcBorders>
              <w:top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CFF0FC"/>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8"/>
        </w:trPr>
        <w:tc>
          <w:tcPr>
            <w:tcW w:w="4320" w:type="dxa"/>
            <w:vAlign w:val="bottom"/>
            <w:shd w:val="clear" w:color="auto" w:fill="CFF0FC"/>
          </w:tcPr>
          <w:p>
            <w:pPr>
              <w:spacing w:after="0"/>
              <w:rPr>
                <w:sz w:val="24"/>
                <w:szCs w:val="24"/>
                <w:color w:val="auto"/>
              </w:rPr>
            </w:pPr>
          </w:p>
        </w:tc>
        <w:tc>
          <w:tcPr>
            <w:tcW w:w="26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502</w:t>
            </w:r>
          </w:p>
        </w:tc>
        <w:tc>
          <w:tcPr>
            <w:tcW w:w="4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129</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93</w:t>
            </w:r>
          </w:p>
        </w:tc>
        <w:tc>
          <w:tcPr>
            <w:tcW w:w="0" w:type="dxa"/>
            <w:vAlign w:val="bottom"/>
          </w:tcPr>
          <w:p>
            <w:pPr>
              <w:spacing w:after="0"/>
              <w:rPr>
                <w:sz w:val="1"/>
                <w:szCs w:val="1"/>
                <w:color w:val="auto"/>
              </w:rPr>
            </w:pPr>
          </w:p>
        </w:tc>
      </w:tr>
      <w:tr>
        <w:trPr>
          <w:trHeight w:val="320"/>
        </w:trPr>
        <w:tc>
          <w:tcPr>
            <w:tcW w:w="4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32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Gains on Asset Sales</w:t>
            </w:r>
          </w:p>
        </w:tc>
        <w:tc>
          <w:tcPr>
            <w:tcW w:w="23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4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3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8"/>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Segment Gains on Asset Sales</w:t>
            </w:r>
          </w:p>
        </w:tc>
        <w:tc>
          <w:tcPr>
            <w:tcW w:w="2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(104 )</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2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6"/>
        </w:trPr>
        <w:tc>
          <w:tcPr>
            <w:tcW w:w="4320" w:type="dxa"/>
            <w:vAlign w:val="bottom"/>
          </w:tcPr>
          <w:p>
            <w:pPr>
              <w:spacing w:after="0"/>
              <w:rPr>
                <w:sz w:val="20"/>
                <w:szCs w:val="20"/>
                <w:color w:val="auto"/>
              </w:rPr>
            </w:pPr>
          </w:p>
        </w:tc>
        <w:tc>
          <w:tcPr>
            <w:tcW w:w="2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(104 )</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32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43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43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-3509645</wp:posOffset>
            </wp:positionV>
            <wp:extent cx="939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-3493135</wp:posOffset>
            </wp:positionV>
            <wp:extent cx="939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-3509645</wp:posOffset>
            </wp:positionV>
            <wp:extent cx="857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-3493135</wp:posOffset>
            </wp:positionV>
            <wp:extent cx="857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-2482215</wp:posOffset>
            </wp:positionV>
            <wp:extent cx="857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-2465070</wp:posOffset>
            </wp:positionV>
            <wp:extent cx="857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-2482215</wp:posOffset>
            </wp:positionV>
            <wp:extent cx="857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-2465070</wp:posOffset>
            </wp:positionV>
            <wp:extent cx="857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-2139950</wp:posOffset>
            </wp:positionV>
            <wp:extent cx="857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-2122805</wp:posOffset>
            </wp:positionV>
            <wp:extent cx="857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-2139950</wp:posOffset>
            </wp:positionV>
            <wp:extent cx="857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-2122805</wp:posOffset>
            </wp:positionV>
            <wp:extent cx="857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-1429385</wp:posOffset>
            </wp:positionV>
            <wp:extent cx="939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-1429385</wp:posOffset>
            </wp:positionV>
            <wp:extent cx="857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-1086485</wp:posOffset>
            </wp:positionV>
            <wp:extent cx="939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-1086485</wp:posOffset>
            </wp:positionV>
            <wp:extent cx="857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722"/>
        </w:trPr>
        <w:tc>
          <w:tcPr>
            <w:tcW w:w="102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 Write-Offs and Accelerated Depreciation, net</w:t>
            </w: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66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Asset Write-Offs and Accelerated Depreciation, net</w:t>
            </w: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36</w:t>
            </w:r>
          </w:p>
        </w:tc>
        <w:tc>
          <w:tcPr>
            <w:tcW w:w="5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0"/>
        </w:trPr>
        <w:tc>
          <w:tcPr>
            <w:tcW w:w="10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1"/>
        </w:trPr>
        <w:tc>
          <w:tcPr>
            <w:tcW w:w="66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10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36</w:t>
            </w:r>
          </w:p>
        </w:tc>
        <w:tc>
          <w:tcPr>
            <w:tcW w:w="160" w:type="dxa"/>
            <w:vAlign w:val="bottom"/>
            <w:gridSpan w:val="2"/>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0"/>
        </w:trPr>
        <w:tc>
          <w:tcPr>
            <w:tcW w:w="102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20"/>
        </w:trPr>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tables present segment capital expenditures and depreciation and amortization:</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638</w:t>
            </w:r>
          </w:p>
        </w:tc>
        <w:tc>
          <w:tcPr>
            <w:tcW w:w="5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611</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537</w:t>
            </w:r>
          </w:p>
        </w:tc>
      </w:tr>
      <w:tr>
        <w:trPr>
          <w:trHeight w:val="247"/>
        </w:trPr>
        <w:tc>
          <w:tcPr>
            <w:tcW w:w="66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270</w:t>
            </w:r>
          </w:p>
        </w:tc>
      </w:tr>
      <w:tr>
        <w:trPr>
          <w:trHeight w:val="243"/>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135</w:t>
            </w:r>
          </w:p>
        </w:tc>
      </w:tr>
      <w:tr>
        <w:trPr>
          <w:trHeight w:val="276"/>
        </w:trPr>
        <w:tc>
          <w:tcPr>
            <w:tcW w:w="66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Capital Expenditures</w:t>
            </w:r>
          </w:p>
        </w:tc>
        <w:tc>
          <w:tcPr>
            <w:tcW w:w="3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1,019</w:t>
            </w:r>
          </w:p>
        </w:tc>
        <w:tc>
          <w:tcPr>
            <w:tcW w:w="50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1,013</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942</w:t>
            </w:r>
          </w:p>
        </w:tc>
      </w:tr>
      <w:tr>
        <w:trPr>
          <w:trHeight w:val="223"/>
        </w:trPr>
        <w:tc>
          <w:tcPr>
            <w:tcW w:w="6640" w:type="dxa"/>
            <w:vAlign w:val="bottom"/>
            <w:tcBorders>
              <w:top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FF0FC"/>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39</w:t>
            </w:r>
          </w:p>
        </w:tc>
      </w:tr>
      <w:tr>
        <w:trPr>
          <w:trHeight w:val="274"/>
        </w:trPr>
        <w:tc>
          <w:tcPr>
            <w:tcW w:w="1020" w:type="dxa"/>
            <w:vAlign w:val="bottom"/>
            <w:shd w:val="clear" w:color="auto" w:fill="CFF0FC"/>
          </w:tcPr>
          <w:p>
            <w:pPr>
              <w:spacing w:after="0"/>
              <w:rPr>
                <w:sz w:val="23"/>
                <w:szCs w:val="23"/>
                <w:color w:val="auto"/>
              </w:rPr>
            </w:pPr>
          </w:p>
        </w:tc>
        <w:tc>
          <w:tcPr>
            <w:tcW w:w="5620" w:type="dxa"/>
            <w:vAlign w:val="bottom"/>
            <w:shd w:val="clear" w:color="auto" w:fill="CFF0FC"/>
          </w:tcPr>
          <w:p>
            <w:pPr>
              <w:spacing w:after="0"/>
              <w:rPr>
                <w:sz w:val="23"/>
                <w:szCs w:val="23"/>
                <w:color w:val="auto"/>
              </w:rPr>
            </w:pPr>
          </w:p>
        </w:tc>
        <w:tc>
          <w:tcPr>
            <w:tcW w:w="3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1,050</w:t>
            </w:r>
          </w:p>
        </w:tc>
        <w:tc>
          <w:tcPr>
            <w:tcW w:w="50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1,061</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981</w:t>
            </w:r>
          </w:p>
        </w:tc>
      </w:tr>
      <w:tr>
        <w:trPr>
          <w:trHeight w:val="320"/>
        </w:trPr>
        <w:tc>
          <w:tcPr>
            <w:tcW w:w="66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CFF0FC"/>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580</w:t>
            </w:r>
          </w:p>
        </w:tc>
        <w:tc>
          <w:tcPr>
            <w:tcW w:w="5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561</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486</w:t>
            </w:r>
          </w:p>
        </w:tc>
      </w:tr>
      <w:tr>
        <w:trPr>
          <w:trHeight w:val="247"/>
        </w:trPr>
        <w:tc>
          <w:tcPr>
            <w:tcW w:w="66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213</w:t>
            </w:r>
          </w:p>
        </w:tc>
      </w:tr>
      <w:tr>
        <w:trPr>
          <w:trHeight w:val="238"/>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146</w:t>
            </w:r>
          </w:p>
        </w:tc>
      </w:tr>
      <w:tr>
        <w:trPr>
          <w:trHeight w:val="278"/>
        </w:trPr>
        <w:tc>
          <w:tcPr>
            <w:tcW w:w="66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Depreciation and Amortization</w:t>
            </w:r>
          </w:p>
        </w:tc>
        <w:tc>
          <w:tcPr>
            <w:tcW w:w="3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960</w:t>
            </w:r>
          </w:p>
        </w:tc>
        <w:tc>
          <w:tcPr>
            <w:tcW w:w="50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913</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845</w:t>
            </w:r>
          </w:p>
        </w:tc>
      </w:tr>
      <w:tr>
        <w:trPr>
          <w:trHeight w:val="221"/>
        </w:trPr>
        <w:tc>
          <w:tcPr>
            <w:tcW w:w="6640" w:type="dxa"/>
            <w:vAlign w:val="bottom"/>
            <w:tcBorders>
              <w:top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FF0FC"/>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38</w:t>
            </w:r>
          </w:p>
        </w:tc>
      </w:tr>
      <w:tr>
        <w:trPr>
          <w:trHeight w:val="278"/>
        </w:trPr>
        <w:tc>
          <w:tcPr>
            <w:tcW w:w="1020" w:type="dxa"/>
            <w:vAlign w:val="bottom"/>
            <w:tcBorders>
              <w:bottom w:val="single" w:sz="8" w:color="CFF0FC"/>
            </w:tcBorders>
            <w:shd w:val="clear" w:color="auto" w:fill="CFF0FC"/>
          </w:tcPr>
          <w:p>
            <w:pPr>
              <w:spacing w:after="0"/>
              <w:rPr>
                <w:sz w:val="24"/>
                <w:szCs w:val="24"/>
                <w:color w:val="auto"/>
              </w:rPr>
            </w:pPr>
          </w:p>
        </w:tc>
        <w:tc>
          <w:tcPr>
            <w:tcW w:w="56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1,001</w:t>
            </w:r>
          </w:p>
        </w:tc>
        <w:tc>
          <w:tcPr>
            <w:tcW w:w="1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964</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883</w:t>
            </w:r>
          </w:p>
        </w:tc>
      </w:tr>
      <w:tr>
        <w:trPr>
          <w:trHeight w:val="320"/>
        </w:trPr>
        <w:tc>
          <w:tcPr>
            <w:tcW w:w="8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presents segment equity in the net (income) loss of investees accounted for by the equity method:</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in (Income) Loss</w:t>
            </w: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7"/>
        </w:trPr>
        <w:tc>
          <w:tcPr>
            <w:tcW w:w="66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76"/>
        </w:trPr>
        <w:tc>
          <w:tcPr>
            <w:tcW w:w="664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Equity in Income</w:t>
            </w:r>
          </w:p>
        </w:tc>
        <w:tc>
          <w:tcPr>
            <w:tcW w:w="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160" w:type="dxa"/>
            <w:vAlign w:val="bottom"/>
            <w:tcBorders>
              <w:bottom w:val="single" w:sz="8" w:color="CFF0FC"/>
            </w:tcBorders>
            <w:gridSpan w:val="2"/>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-4708525</wp:posOffset>
            </wp:positionV>
            <wp:extent cx="939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-4708525</wp:posOffset>
            </wp:positionV>
            <wp:extent cx="857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-4366260</wp:posOffset>
            </wp:positionV>
            <wp:extent cx="939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-4366260</wp:posOffset>
            </wp:positionV>
            <wp:extent cx="857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-2970530</wp:posOffset>
            </wp:positionV>
            <wp:extent cx="857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-2953385</wp:posOffset>
            </wp:positionV>
            <wp:extent cx="857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-2970530</wp:posOffset>
            </wp:positionV>
            <wp:extent cx="857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-2953385</wp:posOffset>
            </wp:positionV>
            <wp:extent cx="857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-2628265</wp:posOffset>
            </wp:positionV>
            <wp:extent cx="857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-2611120</wp:posOffset>
            </wp:positionV>
            <wp:extent cx="857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-2628265</wp:posOffset>
            </wp:positionV>
            <wp:extent cx="857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-2611120</wp:posOffset>
            </wp:positionV>
            <wp:extent cx="857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-1600835</wp:posOffset>
            </wp:positionV>
            <wp:extent cx="857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-1583690</wp:posOffset>
            </wp:positionV>
            <wp:extent cx="857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-1600835</wp:posOffset>
            </wp:positionV>
            <wp:extent cx="857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-1583690</wp:posOffset>
            </wp:positionV>
            <wp:extent cx="857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-1257935</wp:posOffset>
            </wp:positionV>
            <wp:extent cx="857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-1240790</wp:posOffset>
            </wp:positionV>
            <wp:extent cx="857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-1257935</wp:posOffset>
            </wp:positionV>
            <wp:extent cx="857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-1240790</wp:posOffset>
            </wp:positionV>
            <wp:extent cx="857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-24765</wp:posOffset>
            </wp:positionV>
            <wp:extent cx="939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-7620</wp:posOffset>
            </wp:positionV>
            <wp:extent cx="939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857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857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total segment equity in income for 2023 compared to 2022 was driven by decreased profitability of our TireHub joint venture in Americas.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Accounts Receivable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2,833</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2,722</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74"/>
        </w:trPr>
        <w:tc>
          <w:tcPr>
            <w:tcW w:w="772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2,731</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2,610</w:t>
            </w:r>
          </w:p>
        </w:tc>
      </w:tr>
      <w:tr>
        <w:trPr>
          <w:trHeight w:val="428"/>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11. Inventories</w:t>
            </w:r>
          </w:p>
        </w:tc>
        <w:tc>
          <w:tcPr>
            <w:tcW w:w="2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393"/>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785</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1,191</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20"/>
                <w:szCs w:val="20"/>
                <w:color w:val="auto"/>
              </w:rPr>
            </w:pP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187</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2,707</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3,193</w:t>
            </w:r>
          </w:p>
        </w:tc>
      </w:tr>
      <w:tr>
        <w:trPr>
          <w:trHeight w:val="238"/>
        </w:trPr>
        <w:tc>
          <w:tcPr>
            <w:tcW w:w="77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3,698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4,571</w:t>
            </w: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-1335405</wp:posOffset>
            </wp:positionV>
            <wp:extent cx="1111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-1318260</wp:posOffset>
            </wp:positionV>
            <wp:extent cx="1111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-187960</wp:posOffset>
            </wp:positionV>
            <wp:extent cx="1111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Goodwill and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net carrying amount of goodwill allocated by segment, and changes during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48"/>
        </w:trPr>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724</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724</w:t>
            </w:r>
          </w:p>
        </w:tc>
      </w:tr>
      <w:tr>
        <w:trPr>
          <w:trHeight w:val="243"/>
        </w:trPr>
        <w:tc>
          <w:tcPr>
            <w:tcW w:w="35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Europe, Middle East and Africa </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21"/>
                <w:szCs w:val="21"/>
                <w:color w:val="auto"/>
              </w:rPr>
            </w:pPr>
          </w:p>
        </w:tc>
        <w:tc>
          <w:tcPr>
            <w:tcW w:w="11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57</w:t>
            </w:r>
          </w:p>
        </w:tc>
      </w:tr>
      <w:tr>
        <w:trPr>
          <w:trHeight w:val="238"/>
        </w:trPr>
        <w:tc>
          <w:tcPr>
            <w:tcW w:w="35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1,014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781</w:t>
            </w:r>
          </w:p>
        </w:tc>
      </w:tr>
      <w:tr>
        <w:trPr>
          <w:trHeight w:val="20"/>
        </w:trPr>
        <w:tc>
          <w:tcPr>
            <w:tcW w:w="3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3061970</wp:posOffset>
            </wp:positionH>
            <wp:positionV relativeFrom="paragraph">
              <wp:posOffset>-187960</wp:posOffset>
            </wp:positionV>
            <wp:extent cx="857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-187960</wp:posOffset>
            </wp:positionV>
            <wp:extent cx="857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-187960</wp:posOffset>
            </wp:positionV>
            <wp:extent cx="768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-187960</wp:posOffset>
            </wp:positionV>
            <wp:extent cx="768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-187960</wp:posOffset>
            </wp:positionV>
            <wp:extent cx="768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net carrying amount of goodwill allocated by segment, and changes during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48"/>
        </w:trPr>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3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709</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724</w:t>
            </w: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60" w:type="dxa"/>
            <w:vAlign w:val="bottom"/>
          </w:tcPr>
          <w:p>
            <w:pPr>
              <w:spacing w:after="0"/>
              <w:rPr>
                <w:sz w:val="20"/>
                <w:szCs w:val="20"/>
                <w:color w:val="auto"/>
              </w:rPr>
            </w:pPr>
          </w:p>
        </w:tc>
        <w:tc>
          <w:tcPr>
            <w:tcW w:w="12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232</w:t>
            </w:r>
          </w:p>
        </w:tc>
      </w:tr>
      <w:tr>
        <w:trPr>
          <w:trHeight w:val="243"/>
        </w:trPr>
        <w:tc>
          <w:tcPr>
            <w:tcW w:w="4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58</w:t>
            </w:r>
          </w:p>
        </w:tc>
      </w:tr>
      <w:tr>
        <w:trPr>
          <w:trHeight w:val="238"/>
        </w:trPr>
        <w:tc>
          <w:tcPr>
            <w:tcW w:w="40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1,004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33</w:t>
            </w:r>
          </w:p>
        </w:tc>
        <w:tc>
          <w:tcPr>
            <w:tcW w:w="112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1,014</w:t>
            </w:r>
          </w:p>
        </w:tc>
      </w:tr>
      <w:tr>
        <w:trPr>
          <w:trHeight w:val="20"/>
        </w:trPr>
        <w:tc>
          <w:tcPr>
            <w:tcW w:w="4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-187960</wp:posOffset>
            </wp:positionV>
            <wp:extent cx="939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-187960</wp:posOffset>
            </wp:positionV>
            <wp:extent cx="939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-187960</wp:posOffset>
            </wp:positionV>
            <wp:extent cx="939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-187960</wp:posOffset>
            </wp:positionV>
            <wp:extent cx="857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0" w:lineRule="exact"/>
        <w:rPr>
          <w:sz w:val="20"/>
          <w:szCs w:val="20"/>
          <w:color w:val="auto"/>
        </w:rPr>
      </w:pPr>
    </w:p>
    <w:p>
      <w:pPr>
        <w:ind w:firstLine="8"/>
        <w:spacing w:after="0" w:line="281" w:lineRule="auto"/>
        <w:tabs>
          <w:tab w:leader="none" w:pos="25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during 2023 was due to the EMEA goodwill impairment. The accumulated amount of impairment recognized against EMEA's goodwill is $412 million.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intangible assets at December 31: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177"/>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19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77"/>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19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17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7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7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9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97"/>
              <w:spacing w:after="0" w:line="189" w:lineRule="exact"/>
              <w:rPr>
                <w:sz w:val="20"/>
                <w:szCs w:val="20"/>
                <w:color w:val="auto"/>
              </w:rPr>
            </w:pPr>
            <w:r>
              <w:rPr>
                <w:rFonts w:ascii="Times New Roman" w:cs="Times New Roman" w:eastAsia="Times New Roman" w:hAnsi="Times New Roman"/>
                <w:sz w:val="14"/>
                <w:szCs w:val="14"/>
                <w:b w:val="1"/>
                <w:bCs w:val="1"/>
                <w:color w:val="auto"/>
                <w:w w:val="97"/>
              </w:rPr>
              <w:t>Amount</w:t>
            </w:r>
            <w:r>
              <w:rPr>
                <w:rFonts w:ascii="Times New Roman" w:cs="Times New Roman" w:eastAsia="Times New Roman" w:hAnsi="Times New Roman"/>
                <w:sz w:val="19"/>
                <w:szCs w:val="19"/>
                <w:b w:val="1"/>
                <w:bCs w:val="1"/>
                <w:color w:val="auto"/>
                <w:w w:val="97"/>
                <w:vertAlign w:val="superscript"/>
              </w:rPr>
              <w:t>(1)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7"/>
              <w:spacing w:after="0" w:line="189" w:lineRule="exact"/>
              <w:rPr>
                <w:sz w:val="20"/>
                <w:szCs w:val="20"/>
                <w:color w:val="auto"/>
              </w:rPr>
            </w:pPr>
            <w:r>
              <w:rPr>
                <w:rFonts w:ascii="Times New Roman" w:cs="Times New Roman" w:eastAsia="Times New Roman" w:hAnsi="Times New Roman"/>
                <w:sz w:val="14"/>
                <w:szCs w:val="14"/>
                <w:b w:val="1"/>
                <w:bCs w:val="1"/>
                <w:color w:val="auto"/>
                <w:w w:val="99"/>
              </w:rPr>
              <w:t>Amortization</w:t>
            </w:r>
            <w:r>
              <w:rPr>
                <w:rFonts w:ascii="Times New Roman" w:cs="Times New Roman" w:eastAsia="Times New Roman" w:hAnsi="Times New Roman"/>
                <w:sz w:val="19"/>
                <w:szCs w:val="19"/>
                <w:b w:val="1"/>
                <w:bCs w:val="1"/>
                <w:color w:val="auto"/>
                <w:w w:val="99"/>
                <w:vertAlign w:val="superscript"/>
              </w:rPr>
              <w:t>(1)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7"/>
              <w:spacing w:after="0" w:line="189" w:lineRule="exact"/>
              <w:rPr>
                <w:sz w:val="20"/>
                <w:szCs w:val="20"/>
                <w:color w:val="auto"/>
              </w:rPr>
            </w:pPr>
            <w:r>
              <w:rPr>
                <w:rFonts w:ascii="Times New Roman" w:cs="Times New Roman" w:eastAsia="Times New Roman" w:hAnsi="Times New Roman"/>
                <w:sz w:val="14"/>
                <w:szCs w:val="14"/>
                <w:b w:val="1"/>
                <w:bCs w:val="1"/>
                <w:color w:val="auto"/>
                <w:w w:val="97"/>
              </w:rPr>
              <w:t>Amount</w:t>
            </w:r>
            <w:r>
              <w:rPr>
                <w:rFonts w:ascii="Times New Roman" w:cs="Times New Roman" w:eastAsia="Times New Roman" w:hAnsi="Times New Roman"/>
                <w:sz w:val="19"/>
                <w:szCs w:val="19"/>
                <w:b w:val="1"/>
                <w:bCs w:val="1"/>
                <w:color w:val="auto"/>
                <w:w w:val="97"/>
                <w:vertAlign w:val="superscript"/>
              </w:rPr>
              <w:t>(1)</w:t>
            </w:r>
          </w:p>
        </w:tc>
        <w:tc>
          <w:tcPr>
            <w:tcW w:w="100" w:type="dxa"/>
            <w:vAlign w:val="bottom"/>
          </w:tcPr>
          <w:p>
            <w:pPr>
              <w:spacing w:after="0"/>
              <w:rPr>
                <w:sz w:val="16"/>
                <w:szCs w:val="16"/>
                <w:color w:val="auto"/>
              </w:rPr>
            </w:pPr>
          </w:p>
        </w:tc>
        <w:tc>
          <w:tcPr>
            <w:tcW w:w="1240" w:type="dxa"/>
            <w:vAlign w:val="bottom"/>
            <w:tcBorders>
              <w:bottom w:val="single" w:sz="8" w:color="auto"/>
            </w:tcBorders>
            <w:gridSpan w:val="2"/>
          </w:tcPr>
          <w:p>
            <w:pPr>
              <w:jc w:val="center"/>
              <w:ind w:right="15"/>
              <w:spacing w:after="0" w:line="189" w:lineRule="exact"/>
              <w:rPr>
                <w:sz w:val="20"/>
                <w:szCs w:val="20"/>
                <w:color w:val="auto"/>
              </w:rPr>
            </w:pPr>
            <w:r>
              <w:rPr>
                <w:rFonts w:ascii="Times New Roman" w:cs="Times New Roman" w:eastAsia="Times New Roman" w:hAnsi="Times New Roman"/>
                <w:sz w:val="14"/>
                <w:szCs w:val="14"/>
                <w:b w:val="1"/>
                <w:bCs w:val="1"/>
                <w:color w:val="auto"/>
                <w:w w:val="99"/>
              </w:rPr>
              <w:t>Amortization</w:t>
            </w:r>
            <w:r>
              <w:rPr>
                <w:rFonts w:ascii="Times New Roman" w:cs="Times New Roman" w:eastAsia="Times New Roman" w:hAnsi="Times New Roman"/>
                <w:sz w:val="19"/>
                <w:szCs w:val="19"/>
                <w:b w:val="1"/>
                <w:bCs w:val="1"/>
                <w:color w:val="auto"/>
                <w:w w:val="99"/>
                <w:vertAlign w:val="superscript"/>
              </w:rPr>
              <w:t>(1)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687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681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687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3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20"/>
                <w:szCs w:val="20"/>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47"/>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patents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1,096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(127 )</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969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1,098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(94 )</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1,004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760" w:hanging="752"/>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impact of foreign currency translation.</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Intangible assets are primarily comprised of rights to use the Cooper and Dunlop brand names and related trademarks, Cooper Tire customer relationships, and certain other brand names and trademarks.</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Amortization expense for intangible assets totaled $33 million in 2023, $35 million in 2022, and $21 million in 2021. We estimate that annual amortization expense related to intangible assets will be $32 million in 2024, and an average of $30 million in 2025 through 2028. The weighted average remaining amortization period is approximately 9 years.</w:t>
      </w:r>
    </w:p>
    <w:p>
      <w:pPr>
        <w:spacing w:after="0" w:line="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our annual impairment analysis as of October 31, 2023, we completed a quantitative impairment analysis at our North America, Asia Pacific and EMEA reporting units to determine if their fair values were less than their carrying amounts. We determined the estimated fair value for the reporting units based on their discounted cash flow projections and market values for comparable businesses. The most critical assumptions used in the calculation of the fair value of each reporting unit are the projected revenue, projected operating margin, discount rate and the selection of the market multiples. Based on the quantitative test, the fair values of the North America and Asia Pacific reporting units substantially exceeded their carrying values. As previously disclosed, during the third quarter of 2023, we reduced the near-term and long-term outlook of our EMEA segment based on recent business performance and the industry outlook. As a result, we performed a quantitative analysis as of September 30, 2023 of the fair value of the EMEA reporting unit, which resulted in an estimated fair value that exceeded its carrying value, including goodwill. During the fourth quarter of 2023, the industry continued to decline, which resulted in a further reduction in our near-term and long-term outlook to include the updated industry outlook and additional strategic actions and rationalizations. The forecast resulted in lower than previously projected cash flows for the EMEA reporting unit, which negatively affected the valuation compared to the previous valuation. As a result, the fair value of the EMEA reporting unit as of October 31, 2023, was less than its carrying value, resulting in a non-cash impairment charge of $230 million during the fourth quarter of 2023.</w:t>
      </w:r>
    </w:p>
    <w:p>
      <w:pPr>
        <w:spacing w:after="0" w:line="7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As part of our annual impairment analysis as of October 31, 2023, we completed a quantitative impairment analysis of our indefinite-lived intangible assets to determine if their fair values were less than their carrying amounts. We determined the fair</w:t>
      </w:r>
    </w:p>
    <w:p>
      <w:pPr>
        <w:sectPr>
          <w:pgSz w:w="11900" w:h="16838" w:orient="portrait"/>
          <w:cols w:equalWidth="0" w:num="1">
            <w:col w:w="11240"/>
          </w:cols>
          <w:pgMar w:left="320" w:top="764" w:right="339"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value of the indefinite-lived intangible assets using the relief from royalty method, which calculates the cost savings associated with owning rather than licensing the assets. The most critical assumptions used in the calculation of the fair value are projected revenue, discount rate and royalty rate. Based on the results of the quantitative impairment analyses, the Company determined that no impairment was required as the estimated fair values of our indefinite-lived intangible assets exceeded or approximated their respective carrying values. We identified $530 million of indefinite-lived intangible assets related to the recent Cooper Tire acquisition, which have carrying values that approximate the estimated fair value as of the annual impairment testing date and no impairment was required.</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assessed the period from October 31, 2023 to December 31, 2023 and determined there were no factors that caused us to change our conclusions as of October 31, 2023. Future changes in the judgments, assumptions and estimates that are used in our impairment testing for goodwill and indefinite-lived intangible assets, including discount rates, royalty rates and cash flow projections, could result in significantly different estimates of the fair values. A significant reduction in the estimated fair values could result in additional impairment charges that could adversely affect our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Other Assets and Investments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Dividends received from our consolidated subsidiaries were $150 million, $115 million and $177 million in 2023, 2022 and 2021, respectively. Dividends received in 2023 were primarily from Brazil, Mexico and Singapore and paid to the United States. Dividends received in 2022 were primarily from Brazil, Mexico and Singapore and paid to the United States. Dividends received in 2021 were primarily from Brazil, Singapore and Peru and paid to the United States. Dividends received from our affiliates accounted for using the equity method were $19 million, $7 million and $6 million in 2023, 2022 and 2021,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TireHub</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value of our investment in TireHub was $22 million and $60 million at December 31, 2023 and 2022, respectively, and was included in Other Assets on our Consolidated Balance Sheets. In addition, we had an outstanding loan receivable from TireHub of $96 million, which includes $2 million of interest, at December 31, 2023, which was also included in Other Assets on our Consolidated Balance Sheets compared to an outstanding loan receivable of $17 million at December 31, 2022. Our investment in TireHub is accounted for under the equity method of accounting and, as such, includes our 50% share of the net income (losses) of TireHub, which was a net loss of $25 million in 2023 and net income of $1 million and $4 million in 2022 and 2021,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ACTR Company Limited</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part of the Cooper Tire acquisition, Goodyear acquired a 35% equity interest in ACTR Company Limited, a tire manufacturing joint venture in Vietnam, valued at $76 million and $70 million at December 31, 2023 and 2022, respectively. Our investment in ACTR is accounted for under the equity method of accounting and, as such, includes our 35% share of the net income of ACTR, which totaled $15 million, $12 million and $4 million in 2023, 2022 and 2021,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Property, Plant and Equipment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31"/>
        </w:trPr>
        <w:tc>
          <w:tcPr>
            <w:tcW w:w="4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253"/>
              <w:spacing w:after="0" w:line="131" w:lineRule="exact"/>
              <w:rPr>
                <w:sz w:val="20"/>
                <w:szCs w:val="20"/>
                <w:color w:val="auto"/>
              </w:rPr>
            </w:pPr>
            <w:r>
              <w:rPr>
                <w:rFonts w:ascii="Times New Roman" w:cs="Times New Roman" w:eastAsia="Times New Roman" w:hAnsi="Times New Roman"/>
                <w:sz w:val="14"/>
                <w:szCs w:val="14"/>
                <w:b w:val="1"/>
                <w:bCs w:val="1"/>
                <w:color w:val="auto"/>
              </w:rPr>
              <w:t>Finance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Finance</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87"/>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6"/>
                <w:szCs w:val="16"/>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tcPr>
          <w:p>
            <w:pPr>
              <w:spacing w:after="0"/>
              <w:rPr>
                <w:sz w:val="16"/>
                <w:szCs w:val="16"/>
                <w:color w:val="auto"/>
              </w:rPr>
            </w:pPr>
          </w:p>
        </w:tc>
        <w:tc>
          <w:tcPr>
            <w:tcW w:w="9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r>
      <w:tr>
        <w:trPr>
          <w:trHeight w:val="238"/>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450</w:t>
            </w:r>
          </w:p>
        </w:tc>
      </w:tr>
      <w:tr>
        <w:trPr>
          <w:trHeight w:val="247"/>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Buildings</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3,058</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2,640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2,857</w:t>
            </w:r>
          </w:p>
        </w:tc>
      </w:tr>
      <w:tr>
        <w:trPr>
          <w:trHeight w:val="238"/>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14,889</w:t>
            </w:r>
          </w:p>
        </w:tc>
      </w:tr>
      <w:tr>
        <w:trPr>
          <w:trHeight w:val="243"/>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1,173</w:t>
            </w:r>
          </w:p>
        </w:tc>
      </w:tr>
      <w:tr>
        <w:trPr>
          <w:trHeight w:val="236"/>
        </w:trPr>
        <w:tc>
          <w:tcPr>
            <w:tcW w:w="40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20,305</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20,593</w:t>
            </w:r>
          </w:p>
        </w:tc>
        <w:tc>
          <w:tcPr>
            <w:tcW w:w="12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19,100</w:t>
            </w: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19,369</w:t>
            </w:r>
          </w:p>
        </w:tc>
      </w:tr>
      <w:tr>
        <w:trPr>
          <w:trHeight w:val="243"/>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(12,392 )</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(12,472 )</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(11,308 )</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(11,377 )</w:t>
            </w:r>
          </w:p>
        </w:tc>
      </w:tr>
      <w:tr>
        <w:trPr>
          <w:trHeight w:val="236"/>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7,992</w:t>
            </w:r>
          </w:p>
        </w:tc>
      </w:tr>
      <w:tr>
        <w:trPr>
          <w:trHeight w:val="243"/>
        </w:trPr>
        <w:tc>
          <w:tcPr>
            <w:tcW w:w="4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Spare parts</w:t>
            </w: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302</w:t>
            </w:r>
          </w:p>
        </w:tc>
      </w:tr>
      <w:tr>
        <w:trPr>
          <w:trHeight w:val="238"/>
        </w:trPr>
        <w:tc>
          <w:tcPr>
            <w:tcW w:w="40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8,284</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8,492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8,094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8,294</w:t>
            </w:r>
          </w:p>
        </w:tc>
      </w:tr>
      <w:tr>
        <w:trPr>
          <w:trHeight w:val="20"/>
        </w:trPr>
        <w:tc>
          <w:tcPr>
            <w:tcW w:w="4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3352800</wp:posOffset>
            </wp:positionH>
            <wp:positionV relativeFrom="paragraph">
              <wp:posOffset>-821055</wp:posOffset>
            </wp:positionV>
            <wp:extent cx="857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-821055</wp:posOffset>
            </wp:positionV>
            <wp:extent cx="768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-821055</wp:posOffset>
            </wp:positionV>
            <wp:extent cx="768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-821055</wp:posOffset>
            </wp:positionV>
            <wp:extent cx="768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-821055</wp:posOffset>
            </wp:positionV>
            <wp:extent cx="768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-504825</wp:posOffset>
            </wp:positionV>
            <wp:extent cx="857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-504825</wp:posOffset>
            </wp:positionV>
            <wp:extent cx="768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-504825</wp:posOffset>
            </wp:positionV>
            <wp:extent cx="768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-504825</wp:posOffset>
            </wp:positionV>
            <wp:extent cx="768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-504825</wp:posOffset>
            </wp:positionV>
            <wp:extent cx="768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-187960</wp:posOffset>
            </wp:positionV>
            <wp:extent cx="857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-187960</wp:posOffset>
            </wp:positionV>
            <wp:extent cx="76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-187960</wp:posOffset>
            </wp:positionV>
            <wp:extent cx="768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-187960</wp:posOffset>
            </wp:positionV>
            <wp:extent cx="768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-187960</wp:posOffset>
            </wp:positionV>
            <wp:extent cx="768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range of useful lives of property used in arriving at the annual amount of depreciation is as follows: buildings and improvements, 3 to 45 years; and machinery and equipment, 3 to 40 years.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included in Income (Loss) before Income Taxes for the years ended December 31, 2023, 2022 and 2021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60" w:type="dxa"/>
            <w:vAlign w:val="bottom"/>
            <w:gridSpan w:val="2"/>
            <w:shd w:val="clear" w:color="auto" w:fill="CFF0FC"/>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c>
          <w:tcPr>
            <w:tcW w:w="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300</w:t>
            </w:r>
          </w:p>
        </w:tc>
        <w:tc>
          <w:tcPr>
            <w:tcW w:w="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295</w:t>
            </w:r>
          </w:p>
        </w:tc>
        <w:tc>
          <w:tcPr>
            <w:tcW w:w="60" w:type="dxa"/>
            <w:vAlign w:val="bottom"/>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 Term Lease Expense</w:t>
            </w:r>
          </w:p>
        </w:tc>
        <w:tc>
          <w:tcPr>
            <w:tcW w:w="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60" w:type="dxa"/>
            <w:vAlign w:val="bottom"/>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1060" w:type="dxa"/>
            <w:vAlign w:val="bottom"/>
            <w:tcBorders>
              <w:bottom w:val="single" w:sz="8" w:color="auto"/>
            </w:tcBorders>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338</w:t>
            </w:r>
          </w:p>
        </w:tc>
        <w:tc>
          <w:tcPr>
            <w:tcW w:w="120" w:type="dxa"/>
            <w:vAlign w:val="bottom"/>
          </w:tcPr>
          <w:p>
            <w:pPr>
              <w:spacing w:after="0"/>
              <w:rPr>
                <w:sz w:val="20"/>
                <w:szCs w:val="20"/>
                <w:color w:val="auto"/>
              </w:rPr>
            </w:pPr>
          </w:p>
        </w:tc>
        <w:tc>
          <w:tcPr>
            <w:tcW w:w="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341</w:t>
            </w:r>
          </w:p>
        </w:tc>
        <w:tc>
          <w:tcPr>
            <w:tcW w:w="120" w:type="dxa"/>
            <w:vAlign w:val="bottom"/>
          </w:tcPr>
          <w:p>
            <w:pPr>
              <w:spacing w:after="0"/>
              <w:rPr>
                <w:sz w:val="20"/>
                <w:szCs w:val="20"/>
                <w:color w:val="auto"/>
              </w:rPr>
            </w:pPr>
          </w:p>
        </w:tc>
        <w:tc>
          <w:tcPr>
            <w:tcW w:w="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333</w:t>
            </w:r>
          </w:p>
        </w:tc>
        <w:tc>
          <w:tcPr>
            <w:tcW w:w="6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6"/>
        </w:trPr>
        <w:tc>
          <w:tcPr>
            <w:tcW w:w="9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years ended December 31, 2023, 2022 and 2021 is as follows: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24"/>
                <w:szCs w:val="2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0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276</w:t>
            </w: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278</w:t>
            </w:r>
          </w:p>
        </w:tc>
        <w:tc>
          <w:tcPr>
            <w:tcW w:w="60" w:type="dxa"/>
            <w:vAlign w:val="bottom"/>
          </w:tcPr>
          <w:p>
            <w:pPr>
              <w:spacing w:after="0"/>
              <w:rPr>
                <w:sz w:val="20"/>
                <w:szCs w:val="20"/>
                <w:color w:val="auto"/>
              </w:rPr>
            </w:pP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ROU Assets Obtained in Exchange for Lease Obligations</w:t>
            </w:r>
          </w:p>
        </w:tc>
        <w:tc>
          <w:tcPr>
            <w:tcW w:w="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378</w:t>
            </w:r>
          </w:p>
        </w:tc>
        <w:tc>
          <w:tcPr>
            <w:tcW w:w="60" w:type="dxa"/>
            <w:vAlign w:val="bottom"/>
          </w:tcPr>
          <w:p>
            <w:pPr>
              <w:spacing w:after="0"/>
              <w:rPr>
                <w:sz w:val="20"/>
                <w:szCs w:val="20"/>
                <w:color w:val="auto"/>
              </w:rPr>
            </w:pP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1"/>
                <w:szCs w:val="21"/>
                <w:color w:val="auto"/>
              </w:rPr>
            </w:pPr>
          </w:p>
        </w:tc>
      </w:tr>
      <w:tr>
        <w:trPr>
          <w:trHeight w:val="324"/>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as of December 31, 2023 and 2022 is as follows: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lease term and discount rate)</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24"/>
                <w:szCs w:val="2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Lease ROU Assets</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985</w:t>
            </w: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976</w:t>
            </w:r>
          </w:p>
        </w:tc>
        <w:tc>
          <w:tcPr>
            <w:tcW w:w="6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5"/>
        </w:trPr>
        <w:tc>
          <w:tcPr>
            <w:tcW w:w="6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gridSpan w:val="2"/>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due Within One Year</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821</w:t>
            </w:r>
          </w:p>
        </w:tc>
        <w:tc>
          <w:tcPr>
            <w:tcW w:w="60" w:type="dxa"/>
            <w:vAlign w:val="bottom"/>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1,025</w:t>
            </w: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1,020</w:t>
            </w:r>
          </w:p>
        </w:tc>
        <w:tc>
          <w:tcPr>
            <w:tcW w:w="6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5"/>
        </w:trPr>
        <w:tc>
          <w:tcPr>
            <w:tcW w:w="6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288</w:t>
            </w:r>
          </w:p>
        </w:tc>
        <w:tc>
          <w:tcPr>
            <w:tcW w:w="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269</w:t>
            </w:r>
          </w:p>
        </w:tc>
        <w:tc>
          <w:tcPr>
            <w:tcW w:w="60" w:type="dxa"/>
            <w:vAlign w:val="bottom"/>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60" w:type="dxa"/>
            <w:vAlign w:val="bottom"/>
          </w:tcPr>
          <w:p>
            <w:pPr>
              <w:spacing w:after="0"/>
              <w:rPr>
                <w:sz w:val="20"/>
                <w:szCs w:val="20"/>
                <w:color w:val="auto"/>
              </w:rPr>
            </w:pPr>
          </w:p>
        </w:tc>
      </w:tr>
      <w:tr>
        <w:trPr>
          <w:trHeight w:val="278"/>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208</w:t>
            </w:r>
          </w:p>
        </w:tc>
        <w:tc>
          <w:tcPr>
            <w:tcW w:w="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200</w:t>
            </w:r>
          </w:p>
        </w:tc>
        <w:tc>
          <w:tcPr>
            <w:tcW w:w="60" w:type="dxa"/>
            <w:vAlign w:val="bottom"/>
          </w:tcPr>
          <w:p>
            <w:pPr>
              <w:spacing w:after="0"/>
              <w:rPr>
                <w:sz w:val="24"/>
                <w:szCs w:val="24"/>
                <w:color w:val="auto"/>
              </w:rPr>
            </w:pPr>
          </w:p>
        </w:tc>
      </w:tr>
      <w:tr>
        <w:trPr>
          <w:trHeight w:val="225"/>
        </w:trPr>
        <w:tc>
          <w:tcPr>
            <w:tcW w:w="662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1040" w:type="dxa"/>
            <w:vAlign w:val="bottom"/>
            <w:tcBorders>
              <w:top w:val="single" w:sz="8" w:color="CFF0FC"/>
            </w:tcBorders>
          </w:tcPr>
          <w:p>
            <w:pPr>
              <w:spacing w:after="0"/>
              <w:rPr>
                <w:sz w:val="19"/>
                <w:szCs w:val="19"/>
                <w:color w:val="auto"/>
              </w:rPr>
            </w:pPr>
          </w:p>
        </w:tc>
        <w:tc>
          <w:tcPr>
            <w:tcW w:w="4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gridSpan w:val="2"/>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gridSpan w:val="2"/>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 Term Debt and Finance Leases due Within One Year</w:t>
            </w:r>
          </w:p>
        </w:tc>
        <w:tc>
          <w:tcPr>
            <w:tcW w:w="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 Term Debt and Finance Leases</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247</w:t>
            </w:r>
          </w:p>
        </w:tc>
        <w:tc>
          <w:tcPr>
            <w:tcW w:w="60" w:type="dxa"/>
            <w:vAlign w:val="bottom"/>
          </w:tcPr>
          <w:p>
            <w:pPr>
              <w:spacing w:after="0"/>
              <w:rPr>
                <w:sz w:val="20"/>
                <w:szCs w:val="20"/>
                <w:color w:val="auto"/>
              </w:rPr>
            </w:pPr>
          </w:p>
        </w:tc>
      </w:tr>
      <w:tr>
        <w:trPr>
          <w:trHeight w:val="278"/>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Finance Lease Liabilities</w:t>
            </w:r>
          </w:p>
        </w:tc>
        <w:tc>
          <w:tcPr>
            <w:tcW w:w="2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268</w:t>
            </w:r>
          </w:p>
        </w:tc>
        <w:tc>
          <w:tcPr>
            <w:tcW w:w="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255</w:t>
            </w:r>
          </w:p>
        </w:tc>
        <w:tc>
          <w:tcPr>
            <w:tcW w:w="60" w:type="dxa"/>
            <w:vAlign w:val="bottom"/>
          </w:tcPr>
          <w:p>
            <w:pPr>
              <w:spacing w:after="0"/>
              <w:rPr>
                <w:sz w:val="24"/>
                <w:szCs w:val="24"/>
                <w:color w:val="auto"/>
              </w:rPr>
            </w:pPr>
          </w:p>
        </w:tc>
      </w:tr>
      <w:tr>
        <w:trPr>
          <w:trHeight w:val="198"/>
        </w:trPr>
        <w:tc>
          <w:tcPr>
            <w:tcW w:w="66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040" w:type="dxa"/>
            <w:vAlign w:val="bottom"/>
            <w:tcBorders>
              <w:top w:val="single" w:sz="8" w:color="CFF0FC"/>
            </w:tcBorders>
          </w:tcPr>
          <w:p>
            <w:pPr>
              <w:spacing w:after="0"/>
              <w:rPr>
                <w:sz w:val="17"/>
                <w:szCs w:val="17"/>
                <w:color w:val="auto"/>
              </w:rPr>
            </w:pPr>
          </w:p>
        </w:tc>
        <w:tc>
          <w:tcPr>
            <w:tcW w:w="4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20"/>
                <w:szCs w:val="20"/>
                <w:color w:val="auto"/>
              </w:rPr>
            </w:pP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92"/>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29.2</w:t>
            </w:r>
          </w:p>
        </w:tc>
        <w:tc>
          <w:tcPr>
            <w:tcW w:w="60" w:type="dxa"/>
            <w:vAlign w:val="bottom"/>
          </w:tcPr>
          <w:p>
            <w:pPr>
              <w:spacing w:after="0"/>
              <w:rPr>
                <w:sz w:val="21"/>
                <w:szCs w:val="21"/>
                <w:color w:val="auto"/>
              </w:rPr>
            </w:pPr>
          </w:p>
        </w:tc>
      </w:tr>
      <w:tr>
        <w:trPr>
          <w:trHeight w:val="243"/>
        </w:trPr>
        <w:tc>
          <w:tcPr>
            <w:tcW w:w="6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7.24 %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6.82 %</w:t>
            </w: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8.17 %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-5770245</wp:posOffset>
            </wp:positionV>
            <wp:extent cx="768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-5770245</wp:posOffset>
            </wp:positionV>
            <wp:extent cx="768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-2850515</wp:posOffset>
            </wp:positionV>
            <wp:extent cx="857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-1883410</wp:posOffset>
            </wp:positionV>
            <wp:extent cx="857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-1866265</wp:posOffset>
            </wp:positionV>
            <wp:extent cx="857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-1232535</wp:posOffset>
            </wp:positionV>
            <wp:extent cx="857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-1215390</wp:posOffset>
            </wp:positionV>
            <wp:extent cx="857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maturities of our lease liabilities, excluding subleases, as of December 31, 2023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r>
      <w:tr>
        <w:trPr>
          <w:trHeight w:val="238"/>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r>
      <w:tr>
        <w:trPr>
          <w:trHeight w:val="247"/>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r>
      <w:tr>
        <w:trPr>
          <w:trHeight w:val="238"/>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0"/>
                <w:szCs w:val="20"/>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r>
      <w:tr>
        <w:trPr>
          <w:trHeight w:val="247"/>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r>
      <w:tr>
        <w:trPr>
          <w:trHeight w:val="238"/>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617</w:t>
            </w:r>
          </w:p>
        </w:tc>
      </w:tr>
      <w:tr>
        <w:trPr>
          <w:trHeight w:val="240"/>
        </w:trPr>
        <w:tc>
          <w:tcPr>
            <w:tcW w:w="8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1,334</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755</w:t>
            </w:r>
          </w:p>
        </w:tc>
      </w:tr>
      <w:tr>
        <w:trPr>
          <w:trHeight w:val="238"/>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487</w:t>
            </w:r>
          </w:p>
        </w:tc>
      </w:tr>
      <w:tr>
        <w:trPr>
          <w:trHeight w:val="278"/>
        </w:trPr>
        <w:tc>
          <w:tcPr>
            <w:tcW w:w="8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1,025</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6152515</wp:posOffset>
            </wp:positionH>
            <wp:positionV relativeFrom="paragraph">
              <wp:posOffset>-24765</wp:posOffset>
            </wp:positionV>
            <wp:extent cx="857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857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As of December 31, 2023, we have additional operating and finance leases that have not yet commenced for which the present value of lease payments over the respective lease terms totals $162 million. Accordingly, these leases are not recorded on the Consolidated Balance Sheets at December 31, 2023. These leases will commence in 2024 and 2025 with lease terms of 1 year to 40 years.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Financing Arrangements and Derivative Financial Instruments</w:t>
      </w:r>
    </w:p>
    <w:p>
      <w:pPr>
        <w:spacing w:after="0" w:line="121"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At December 31, 2023, we had total credit arrangements of $11,743 million, of which $4,247 million were unused. At that date, approximately 20% of our debt was at variable interest rates averaging 8.09%.</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Notes Payable and Overdrafts, Long Term Debt and Finance Leases due Within One Year and Short Term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we had short term committed and uncommitted credit arrangements totaling $760 million, of which $380 million were unused.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arrangements are available primarily to certain of our foreign subsidiaries through various banks at quoted market interest rates.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due within one year:</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9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2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 and Overdrafts</w:t>
            </w:r>
          </w:p>
        </w:tc>
        <w:tc>
          <w:tcPr>
            <w:tcW w:w="27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344</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10.52 %</w:t>
            </w:r>
          </w:p>
        </w:tc>
        <w:tc>
          <w:tcPr>
            <w:tcW w:w="2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0" w:type="dxa"/>
            <w:vAlign w:val="bottom"/>
          </w:tcPr>
          <w:p>
            <w:pPr>
              <w:spacing w:after="0"/>
              <w:rPr>
                <w:sz w:val="1"/>
                <w:szCs w:val="1"/>
                <w:color w:val="auto"/>
              </w:rPr>
            </w:pPr>
          </w:p>
        </w:tc>
      </w:tr>
      <w:tr>
        <w:trPr>
          <w:trHeight w:val="247"/>
        </w:trPr>
        <w:tc>
          <w:tcPr>
            <w:tcW w:w="5020" w:type="dxa"/>
            <w:vAlign w:val="bottom"/>
            <w:shd w:val="clear" w:color="auto" w:fill="CFF0FC"/>
          </w:tcPr>
          <w:p>
            <w:pPr>
              <w:spacing w:after="0"/>
              <w:rPr>
                <w:sz w:val="21"/>
                <w:szCs w:val="21"/>
                <w:color w:val="auto"/>
              </w:rPr>
            </w:pPr>
          </w:p>
        </w:tc>
        <w:tc>
          <w:tcPr>
            <w:tcW w:w="2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foreign and domestic debt (including finance leases)</w:t>
            </w:r>
          </w:p>
        </w:tc>
        <w:tc>
          <w:tcPr>
            <w:tcW w:w="27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 Term Debt and Finance Leases due Within One Year</w:t>
            </w:r>
          </w:p>
        </w:tc>
        <w:tc>
          <w:tcPr>
            <w:tcW w:w="2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449</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vMerge w:val="continue"/>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7.27 %</w:t>
            </w:r>
          </w:p>
        </w:tc>
        <w:tc>
          <w:tcPr>
            <w:tcW w:w="2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obligations due within one year</w:t>
            </w:r>
          </w:p>
        </w:tc>
        <w:tc>
          <w:tcPr>
            <w:tcW w:w="27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793</w:t>
            </w: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72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0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0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5989955</wp:posOffset>
            </wp:positionH>
            <wp:positionV relativeFrom="paragraph">
              <wp:posOffset>-2071370</wp:posOffset>
            </wp:positionV>
            <wp:extent cx="1028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-2054225</wp:posOffset>
            </wp:positionV>
            <wp:extent cx="10287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-1429385</wp:posOffset>
            </wp:positionV>
            <wp:extent cx="1028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-1240790</wp:posOffset>
            </wp:positionV>
            <wp:extent cx="7132320" cy="1625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 Term Debt and Finance Leases and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we had long term credit arrangements totaling $10,983 million, of which $3,867 million were unused.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long term debt and finance leases, net of unamortized discounts, and interest rates: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4"/>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266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69"/>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60" w:type="dxa"/>
            <w:vAlign w:val="bottom"/>
          </w:tcPr>
          <w:p>
            <w:pPr>
              <w:spacing w:after="0"/>
              <w:rPr>
                <w:sz w:val="14"/>
                <w:szCs w:val="14"/>
                <w:color w:val="auto"/>
              </w:rPr>
            </w:pPr>
          </w:p>
        </w:tc>
      </w:tr>
      <w:tr>
        <w:trPr>
          <w:trHeight w:val="23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9.5% due 2025</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801</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 due 2026</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4.875% due 2027</w:t>
            </w:r>
          </w:p>
        </w:tc>
        <w:tc>
          <w:tcPr>
            <w:tcW w:w="2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7.625% due 2027</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 due 2028</w:t>
            </w:r>
          </w:p>
        </w:tc>
        <w:tc>
          <w:tcPr>
            <w:tcW w:w="2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2.75% Euro Notes due 2028</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 due 2029</w:t>
            </w:r>
          </w:p>
        </w:tc>
        <w:tc>
          <w:tcPr>
            <w:tcW w:w="2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5.25% due April 2031</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5.25% due July 2031</w:t>
            </w:r>
          </w:p>
        </w:tc>
        <w:tc>
          <w:tcPr>
            <w:tcW w:w="2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5.625% due 2033</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First lien revolving credit facility due 2026</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385</w:t>
            </w:r>
          </w:p>
        </w:tc>
        <w:tc>
          <w:tcPr>
            <w:tcW w:w="16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6.71 %</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4"/>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European revolving credit facility due 2028</w:t>
            </w:r>
          </w:p>
        </w:tc>
        <w:tc>
          <w:tcPr>
            <w:tcW w:w="2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374</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3.39 %</w:t>
            </w:r>
          </w:p>
        </w:tc>
      </w:tr>
      <w:tr>
        <w:trPr>
          <w:trHeight w:val="23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Pan-European accounts receivable facility</w:t>
            </w:r>
          </w:p>
        </w:tc>
        <w:tc>
          <w:tcPr>
            <w:tcW w:w="2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244</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6.11 %</w:t>
            </w:r>
          </w:p>
        </w:tc>
        <w:tc>
          <w:tcPr>
            <w:tcW w:w="24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267</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3.77 %</w:t>
            </w: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7.57 %</w:t>
            </w:r>
          </w:p>
        </w:tc>
        <w:tc>
          <w:tcPr>
            <w:tcW w:w="2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6.29 %</w:t>
            </w:r>
          </w:p>
        </w:tc>
      </w:tr>
      <w:tr>
        <w:trPr>
          <w:trHeight w:val="231"/>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174</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3.94 %</w:t>
            </w:r>
          </w:p>
        </w:tc>
        <w:tc>
          <w:tcPr>
            <w:tcW w:w="24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235</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4.23 %</w:t>
            </w:r>
          </w:p>
        </w:tc>
      </w:tr>
      <w:tr>
        <w:trPr>
          <w:trHeight w:val="268"/>
        </w:trPr>
        <w:tc>
          <w:tcPr>
            <w:tcW w:w="538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Other foreign and domestic debt</w:t>
            </w:r>
            <w:r>
              <w:rPr>
                <w:rFonts w:ascii="Times New Roman" w:cs="Times New Roman" w:eastAsia="Times New Roman" w:hAnsi="Times New Roman"/>
                <w:sz w:val="24"/>
                <w:szCs w:val="24"/>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591</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7.44 %</w:t>
            </w: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650</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6.58 %</w:t>
            </w:r>
          </w:p>
        </w:tc>
      </w:tr>
      <w:tr>
        <w:trPr>
          <w:trHeight w:val="236"/>
        </w:trPr>
        <w:tc>
          <w:tcPr>
            <w:tcW w:w="5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7,049</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7,286</w:t>
            </w: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7,012</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7,240</w:t>
            </w: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3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4"/>
                <w:szCs w:val="24"/>
                <w:color w:val="auto"/>
                <w:vertAlign w:val="superscript"/>
              </w:rPr>
              <w:t>(2)</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7,280</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7,495</w:t>
            </w: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portion due within one year</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8"/>
        </w:trPr>
        <w:tc>
          <w:tcPr>
            <w:tcW w:w="53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6,831</w:t>
            </w:r>
          </w:p>
        </w:tc>
        <w:tc>
          <w:tcPr>
            <w:tcW w:w="14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7,267</w:t>
            </w:r>
          </w:p>
        </w:tc>
        <w:tc>
          <w:tcPr>
            <w:tcW w:w="12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-1754505</wp:posOffset>
            </wp:positionV>
            <wp:extent cx="7132320" cy="1543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-1446530</wp:posOffset>
            </wp:positionV>
            <wp:extent cx="7132320" cy="1543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-24765</wp:posOffset>
            </wp:positionV>
            <wp:extent cx="76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-7620</wp:posOffset>
            </wp:positionV>
            <wp:extent cx="768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760" w:hanging="75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are weighted average interest rates related to various foreign credit facilities with customary terms and conditions.</w:t>
      </w:r>
    </w:p>
    <w:p>
      <w:pPr>
        <w:spacing w:after="0" w:line="116" w:lineRule="exact"/>
        <w:rPr>
          <w:rFonts w:ascii="Times New Roman" w:cs="Times New Roman" w:eastAsia="Times New Roman" w:hAnsi="Times New Roman"/>
          <w:sz w:val="18"/>
          <w:szCs w:val="18"/>
          <w:color w:val="auto"/>
        </w:rPr>
      </w:pPr>
    </w:p>
    <w:p>
      <w:pPr>
        <w:ind w:left="760" w:right="60" w:hanging="752"/>
        <w:spacing w:after="0" w:line="281"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financing additions of $17 million and $20 million during the twelve month period ended December 31, 2023 and 2022, respectively.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9.5% Senior Notes due 2025</w:t>
      </w:r>
    </w:p>
    <w:p>
      <w:pPr>
        <w:spacing w:after="0" w:line="119"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At December 31, 2023, $800 million aggregate principal amount of 9.5% senior notes due 2025 were outstanding. $600 million of these notes were sold at 100% of the principal amount and $200 million of these notes were sold at 101.75% of the principal amount at an effective yield of 9.056%. These notes will mature on May 31, 2025. These notes are unsecured senior obligations and are guaranteed by our U.S. and Canadian subsidiaries that also guarantee our obligations under our U.S. first lien revolving credit facility described below.</w:t>
      </w:r>
    </w:p>
    <w:p>
      <w:pPr>
        <w:spacing w:after="0" w:line="74"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at a redemption price of 102.375% and 100% during the 12-month periods commencing on May 31, 2023 and 2024 and thereafter, respectively, plus accrued and unpaid interest to the redemption date.</w:t>
      </w:r>
    </w:p>
    <w:p>
      <w:pPr>
        <w:spacing w:after="0" w:line="55"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the ability of the Company and certain of its subsidiaries, including Goodyear Europe B.V. ("GEBV"), to (i) incur additional debt or issue redeemable preferred stock, (ii) pay dividends, repurchase shares or make certain other restricted payments or investments, (iii) incur liens, (iv) sell assets, (v) incur restrictions on the ability of our subsidiaries to pay dividends or to make other payments to us, (vi) enter into affiliate transactions, (vii) engage in sale and leaseback transactions, and (viii) consolidate, merge, sell or otherwise dispose of all or substantially all of our assets. These covenants are subject to significant exceptions and qualifications. For example, if these notes are assigned an investment grade rating from at least two of Moody's, Standard and Poor's and Fitch and no default has occurred and is</w:t>
      </w:r>
    </w:p>
    <w:p>
      <w:pPr>
        <w:sectPr>
          <w:pgSz w:w="11900" w:h="16838" w:orient="portrait"/>
          <w:cols w:equalWidth="0" w:num="1">
            <w:col w:w="11300"/>
          </w:cols>
          <w:pgMar w:left="320" w:top="764" w:right="279" w:bottom="1440" w:gutter="0" w:footer="0" w:header="0"/>
        </w:sectPr>
      </w:pP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continuing, certain covenants will be suspended and we may elect to suspend the subsidiary guarantees. The indenture has customary defaults, including a cross-default to material indebtedness of Goodyear and our subsidiaries.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$900 million 5% Senior Notes due 2026</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2023, $900 million aggregate principal amount of 5% senior notes due 2026 were outstanding. These notes were sold at 100% of the principal amount and will mature on May 31, 2026. These notes are unsecured senior obligations and are guaranteed by our U.S. and Canadian subsidiaries that also guarantee our obligations under our U.S. first lien revolving credit facility described below.</w:t>
      </w:r>
    </w:p>
    <w:p>
      <w:pPr>
        <w:spacing w:after="0" w:line="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at a redemption price of 100.833% and 100% during the 12-month periods commencing on May 31, 2023 and 2024 and thereafter, respectively, plus accrued and unpaid interest to the redemption date.</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9.5% senior notes due 2025, described above.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$700 million 4.875% Senior Notes due 2027</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2023, $700 million aggregate principal amount of 4.875% senior notes due 2027 were outstanding. These notes were sold at 100% of the principal amount and will mature on March 15, 2027. These notes are unsecured senior obligations and are guaranteed by our U.S. and Canadian subsidiaries that also guarantee our obligations under our U.S. first lien revolving credit facility described below.</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prior to their maturity. If we elect to redeem the notes prior to December 15, 2026, we will pay a redemption price equal to the greater of 100% of the principal amount of the notes redeemed or the sum of the present values of the remaining scheduled payments on the notes redeemed, discounted using a defined treasury rate plus 50 basis points, plus in either case accrued and unpaid interest to the redemption date. If we elect to redeem the notes on or after December 15, 2026, we will pay a redemption price equal to 100% of the principal amount of the notes redeemed plus accrued and unpaid interest to the redemption date.</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our ability and the ability of certain of our subsidiaries to (i) incur certain liens, (ii) engage in sale and leaseback transactions, and (iii) consolidate, merge, sell or otherwise dispose of all or substantially all of our assets. These covenants are subject to significant exceptions and qualifications.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$117 million 7.625% Senior Notes due 2027</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Following the Cooper Tire acquisition and at December 31, 2023, $117 million aggregate principal amount of 7.625% senior notes due 2027 were outstanding. These notes also included a $19 million fair value step-up, which is being amortized against interest expense over the remaining life of the notes. Amortization since the Closing Date was approximately $8 million. These notes are unsecured senior obligations and will mature on March 15, 2027. These notes are not redeemable prior to maturity.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25, 2022, Goodyear assumed Cooper Tire's obligations under these notes.</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our ability and the ability of certain of our subsidiaries to (i) incur certain liens, (ii) enter into certain sale and leaseback transactions, and (iii) consolidate, merge, sell or otherwise dispose of all or substantially all of our assets. These covenants are subject to significant exceptions and qualifications.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$150 million 7% Senior Notes due 2028</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At December 31, 2023, $150 million aggregate principal amount of 7% notes due 2028 were outstanding. These notes are unsecured senior obligations and will mature on March 15, 2028.</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at a redemption price equal to the greater of 100% of the principal amount thereof or the sum of the present values of the remaining scheduled payments thereon, discounted using a defined treasury rate plus 15 basis points, plus in either case accrued and unpaid interest to the redemption date.</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our ability and the ability of certain of our subsidiaries to (i) incur secured debt, (ii) engage in sale and leaseback transactions, and (iii) consolidate, merge, sell or otherwise dispose of all or substantially all of our assets. These covenants are subject to significant exceptions and qualifications.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€400 million 2.75% Senior Notes due 2028 of GEBV</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At December 31, 2023, €400 million in aggregate principal amount of GEBV 2.75% senior notes due 2028 were outstanding. These notes were sold at 100% of the principal amount and will mature on August 15, 2028. These notes are unsecured senior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obligations of GEBV and are guaranteed, on an unsecured senior basis, by the Company and our U.S. and Canadian subsidiaries that also guarantee our obligations under our U.S. first lien revolving credit facility described below.</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on or after August 15, 2024 at a redemption price of 101.375%, 100.688%, and 100% during the 12-month periods commencing on August 15, 2024, 2025, and 2026 and thereafter, respectively, plus accrued and unpaid interest to the redemption date. Prior to August 15, 2024, we may redeem these notes, in whole or in part, at a redemption price equal to 100% of the principal amount plus a make-whole premium and accrued and unpaid interest to the redemption date. In addition, prior to August 15, 2024, we may redeem up to 35% of the original aggregate principal amount of these notes from the net cash proceeds of certain equity offerings at a redemption price equal to 102.75% of the principal amount plus accrued and unpaid interest to the redemption date.</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$850 million 5% Senior Notes due 2029</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2023, $850 million in aggregate principal amount of 5% senior notes due 2029 were outstanding. These notes were sold at 100% of the principal amount and will mature on July 15, 2029. These notes are unsecured senior obligations and are guaranteed by our U.S. and Canadian subsidiaries that also guarantee our obligations under our U.S. first lien revolving credit facility described below.</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prior to their maturity. If we elect to redeem these notes prior to three months before their maturity date, we will pay a redemption price equal to the greater of 100% of the principal amount of the notes redeemed or the sum of the present values of the remaining scheduled payments on the notes redeemed, discounted using a defined treasury rate plus 50 basis points, plus in either case accrued and unpaid interest to the redemption date. If we elect to redeem these notes on or after three months before their maturity date, we will pay a redemption price equal to 100% of the principal amount of the notes redeemed plus accrued and unpaid interest to the redemption date.</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$550 million 5.25% Senior Notes due April 2031</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2023, $550 million in aggregate principal amount of 5.25% senior notes due April 2031 were outstanding. These notes were sold at 100% of the principal amount and will mature on April 30, 2031. These notes are unsecured senior obligations and are guaranteed by our U.S. and Canadian subsidiaries that also guarantee our obligations under our U.S. first lien revolving credit facility described below.</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indenture for these notes includes redemption provisions that are substantially similar to those contained in the indenture governing our 5% senior notes due 2029, described above.</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$600 million 5.25% Senior Notes due July 2031</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2023, $600 million in aggregate principal amount of 5.25% senior notes due July 2031 were outstanding. These notes were sold at 100% of the principal amount and will mature on July 15, 2031. These notes are unsecured senior obligations and are guaranteed by our U.S. and Canadian subsidiaries that also guarantee our obligations under our U.S. first lien revolving credit facility described below.</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indenture for these notes includes redemption provisions that are substantially similar to those contained in the indenture governing our 5% senior notes due 2029, described above.</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$450 million 5.625% Senior Notes due 2033</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2023, $450 million in aggregate principal amount of 5.625% senior notes due 2033 were outstanding. These notes were sold at 100% of the principal amount and will mature on April 30, 2033. These notes are unsecured senior obligations and are guaranteed by our U.S. and Canadian subsidiaries that also guarantee our obligations under our U.S. first lien revolving credit facility described below.</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indenture for these notes includes redemption provisions that are substantially similar to those contained in the indenture governing our 5% senior notes due 2029, described above.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2026</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first lien revolving credit facility matures on June 8, 2026 and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collateral that includes, subject to certain exceptions:</w:t>
      </w:r>
    </w:p>
    <w:p>
      <w:pPr>
        <w:spacing w:after="0" w:line="55"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Canadian accounts receivable and inventory;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U.S. manufacturing facilities;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interests in our U.S. subsidiaries and up to 65% of the voting equity interests in most of our directly owned foreign subsidiaries;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other tangible and intangible assets, including equipment, contract rights and intellectual property.</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December 31, 2023, our borrowing base, and therefore our availability, under this facility was $123 million below the facility's stated amount of $2.75 billion.</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facility contains covenants that, among other things, limit our ability and the ability of certain of our subsidiaries to (i) incur additional debt or issue redeemable preferred stock, (ii) pay dividends, repurchase shares or make certain other restricted payments or investments, (iii) incur liens, (iv) sell assets,</w:t>
      </w:r>
    </w:p>
    <w:p>
      <w:pPr>
        <w:spacing w:after="0" w:line="1" w:lineRule="exact"/>
        <w:rPr>
          <w:sz w:val="20"/>
          <w:szCs w:val="20"/>
          <w:color w:val="auto"/>
        </w:rPr>
      </w:pPr>
    </w:p>
    <w:p>
      <w:pPr>
        <w:jc w:val="both"/>
        <w:ind w:firstLine="8"/>
        <w:spacing w:after="0" w:line="252" w:lineRule="auto"/>
        <w:tabs>
          <w:tab w:leader="none" w:pos="25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restrictions on the ability of our subsidiaries to pay dividends or to make other payments to us, (vi) enter into affiliate transactions, (vii) engage in sale and leaseback transactions, and (viii) consolidate, merge, sell or otherwise dispose of all or substantially all of our assets. These covenants are subject to significant exceptions and qualifications. In addition, in the event that the availability under the facility plus the aggregate amount of our Available Cash is less than $275 million, we will not be permitted to allow our ratio of EBITDA to Consolidated Interest Expense to be less than 2.0 to 1.0 for any period of four consecutive fiscal quarters. “Available Cash,” “EBITDA” and “Consolidated Interest Expense” have the meanings given them in the facility.</w:t>
      </w:r>
    </w:p>
    <w:p>
      <w:pPr>
        <w:spacing w:after="0" w:line="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The facility also has customary defaults, including a cross-default to material indebtedness of Goodyear and our subsidiaries.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Available Cash (as defined in the facility) plus the availability under the facility is greater than $750 million, amounts drawn under the facility will bear interest, at our option, at (i) 125 basis points over SOFR or (ii) 25 basis points over an alternate base rate (the higher of (a) the prime rate, (b) the federal funds effective rate or the overnight bank funding rate plus 50 basis points or (c) SOFR for a one month interest period plus 100 basis points). If Available Cash plus the availability under the facility is equal to or less than $750 million, then amounts drawn under the facility will bear interest, at our option, at (i) 150 basis points over SOFR or (ii) 50 basis points over an alternate base rate. Based on our current liquidity, amounts drawn under this facility bear interest at SOFR plus 125 basis points. Undrawn amounts under the facility are subject to an annual commitment fee of 25 basis points.</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At December 31, 2023, we had $385 million of borrowings and $1 million of letters of credit issued under the revolving credit facility. At December 31, 2022, we had no borrowings and $3 million of letters of credit issued under the revolving credit facility.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GEBV, Goodyear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GEBV and certain of its subsidiaries in the United Kingdom, Luxembourg, France and Germany provide guarantees to support the facility. GEBV’s obligations under the facility and the obligations of its subsidiaries under the related guarantees are secured by security interests in collateral that includes, subject to certain exceptions:</w:t>
      </w:r>
    </w:p>
    <w:p>
      <w:pPr>
        <w:spacing w:after="0" w:line="69"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stock of the principal subsidiaries of GEBV; and</w:t>
      </w:r>
    </w:p>
    <w:p>
      <w:pPr>
        <w:spacing w:after="0" w:line="116" w:lineRule="exact"/>
        <w:rPr>
          <w:rFonts w:ascii="Times New Roman" w:cs="Times New Roman" w:eastAsia="Times New Roman" w:hAnsi="Times New Roman"/>
          <w:sz w:val="18"/>
          <w:szCs w:val="18"/>
          <w:color w:val="auto"/>
        </w:rPr>
      </w:pPr>
    </w:p>
    <w:p>
      <w:pPr>
        <w:jc w:val="both"/>
        <w:ind w:left="760" w:right="20" w:hanging="378"/>
        <w:spacing w:after="0" w:line="265"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the tangible and intangible assets of GEBV and certain of its subsidiaries in the United Kingdom, Luxembourg, France and Germany, including real property, equipment, inventory, contract rights, intercompany receivables and cash accounts, but excluding accounts receivable and certain cash accounts in subsidiaries that are or may become parties to securitization or factoring transactions.</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first lien revolving credit facility described above also provide unsecured guarantees in support of the facility.</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facility contains covenants similar to those in our first lien revolving credit facility, with additional limitations applicable to GEBV and its subsidiaries. In addition, under the facility, GEBV’s ratio of Consolidated Net GEBV Indebtedness to Consolidated GEBV EBITDA for a period of four consecutive fiscal quarters is not permitted to be greater than 3.0 to 1.0 at the end of any fiscal quarter. “Consolidated Net GEBV Indebtedness” and “Consolidated GEBV EBITDA” have the meanings given them in the facility.</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2021. The facility also has customary defaults, including a cross-default to material indebtedness of Goodyear and our subsidiaries.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2023, we had no borrowings and no letters of credit outstanding under the European revolving credit facility. At December 31, 2022, there were no borrowings outstanding under the German tranche, $374 million (€350 million) of borrowings outstanding under the all-borrower tranche and no letters of credit outstanding under the European revolving credit facility.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20, 2022 through October 18, 2023, the designated maximum amount of the facility was €300 million. For the period from October 19, 2023 through October 16, 2024, the designated maximum amount of the facility will remain €300 million.</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16, 2024.</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2023, the amounts available and utilized under this program totaled $244 million (€221 million). At December 31, 2022, the amounts available and utilized under this program totaled $267 million (€250 million). The program does not qualify for sale accounting, and accordingly, these amounts are included in Long Term Debt and Finance Leases.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December 31, 2023, the gross amount of receivables sold was $693 million, compared to $744 million at December 31, 2022.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Foreign Credit Facilities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Mexican subsidiary and a U.S. subsidiary have a revolving credit facility in Mexico. At December 31, 2023, the amounts available and utilized under this facility were $200 million and $84 million, respectively. At December 31, 2022, the amounts available and utilized under this facility were $200 million. The facility ultimately matures on November 22, 2024, has covenants relating to the Mexican and U.S. subsidiaries, and has customary representations and warranties and defaults relating to the Mexican and U.S. subsidiaries' ability to perform their respective obligations under the facility.</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Chinese subsidiaries have several financing arrangements in China. These facilities contain covenants relating to these Chinese subsidiaries and have customary representations and warranties and defaults relating to these Chinese subsidiaries' ability to perform their respective obligations under these facilities. These facilities are also available for other off-balance sheet utilization, such as letters of credit and bank acceptances.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total amounts available and utilized under the Chinese financing arrangements: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74"/>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available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937</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852</w:t>
            </w:r>
          </w:p>
        </w:tc>
      </w:tr>
      <w:tr>
        <w:trPr>
          <w:trHeight w:val="221"/>
        </w:trPr>
        <w:tc>
          <w:tcPr>
            <w:tcW w:w="7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Amounts utilized:</w:t>
            </w:r>
          </w:p>
        </w:tc>
        <w:tc>
          <w:tcPr>
            <w:tcW w:w="3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r>
      <w:tr>
        <w:trPr>
          <w:trHeight w:val="247"/>
        </w:trPr>
        <w:tc>
          <w:tcPr>
            <w:tcW w:w="7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Notes Payable and Overdrafts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r>
      <w:tr>
        <w:trPr>
          <w:trHeight w:val="238"/>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 Term Debt due Within One Year</w:t>
            </w:r>
          </w:p>
        </w:tc>
        <w:tc>
          <w:tcPr>
            <w:tcW w:w="320" w:type="dxa"/>
            <w:vAlign w:val="bottom"/>
          </w:tcPr>
          <w:p>
            <w:pPr>
              <w:spacing w:after="0"/>
              <w:rPr>
                <w:sz w:val="20"/>
                <w:szCs w:val="20"/>
                <w:color w:val="auto"/>
              </w:rPr>
            </w:pP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136</w:t>
            </w:r>
          </w:p>
        </w:tc>
      </w:tr>
      <w:tr>
        <w:trPr>
          <w:trHeight w:val="247"/>
        </w:trPr>
        <w:tc>
          <w:tcPr>
            <w:tcW w:w="7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 Term Debt</w:t>
            </w: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w:t>
            </w:r>
          </w:p>
        </w:tc>
      </w:tr>
      <w:tr>
        <w:trPr>
          <w:trHeight w:val="238"/>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Letters of credit, bank acceptances and other utilization</w:t>
            </w: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75</w:t>
            </w:r>
          </w:p>
        </w:tc>
      </w:tr>
      <w:tr>
        <w:trPr>
          <w:trHeight w:val="278"/>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utilized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280</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336</w:t>
            </w:r>
          </w:p>
        </w:tc>
      </w:tr>
      <w:tr>
        <w:trPr>
          <w:trHeight w:val="225"/>
        </w:trPr>
        <w:tc>
          <w:tcPr>
            <w:tcW w:w="708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r>
      <w:tr>
        <w:trPr>
          <w:trHeight w:val="243"/>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w:t>
            </w: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2/24-8/28</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1/23-8/25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5767705</wp:posOffset>
            </wp:positionH>
            <wp:positionV relativeFrom="paragraph">
              <wp:posOffset>-1292225</wp:posOffset>
            </wp:positionV>
            <wp:extent cx="1111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-1275080</wp:posOffset>
            </wp:positionV>
            <wp:extent cx="11112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-333375</wp:posOffset>
            </wp:positionV>
            <wp:extent cx="11112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-316230</wp:posOffset>
            </wp:positionV>
            <wp:extent cx="11112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Certain of these facilities can only be used to finance the expansion of two of our manufacturing facilities in China and, at December 31, 2023 and December 31, 2022, the unused amounts available under these facilities were $93 million and $63 million, respectively.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Maturities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annual aggregate maturities of our debt (excluding the impact of deferred financing fees, unamortized discounts and the fair value step-up related to the Cooper Tire acquisition), finance leases and notes payable and overdrafts for the five years subsequent to December 31, 2023 are presented below. Maturities of debt credit agreements have been reported on the basis that the commitments to lend under these agreements will be terminated effective at the end of their current terms.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2028</w:t>
            </w:r>
          </w:p>
        </w:tc>
      </w:tr>
      <w:tr>
        <w:trPr>
          <w:trHeight w:val="23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93</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805</w:t>
            </w:r>
          </w:p>
        </w:tc>
        <w:tc>
          <w:tcPr>
            <w:tcW w:w="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1,288</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820</w:t>
            </w:r>
          </w:p>
        </w:tc>
        <w:tc>
          <w:tcPr>
            <w:tcW w:w="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150</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699</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551</w:t>
            </w:r>
          </w:p>
        </w:tc>
      </w:tr>
      <w:tr>
        <w:trPr>
          <w:trHeight w:val="274"/>
        </w:trPr>
        <w:tc>
          <w:tcPr>
            <w:tcW w:w="39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792</w:t>
            </w:r>
          </w:p>
        </w:tc>
        <w:tc>
          <w:tcPr>
            <w:tcW w:w="16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1,089</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1,304</w:t>
            </w:r>
          </w:p>
        </w:tc>
        <w:tc>
          <w:tcPr>
            <w:tcW w:w="1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1,078</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-24765</wp:posOffset>
            </wp:positionV>
            <wp:extent cx="939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-7620</wp:posOffset>
            </wp:positionV>
            <wp:extent cx="939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-24765</wp:posOffset>
            </wp:positionV>
            <wp:extent cx="857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-7620</wp:posOffset>
            </wp:positionV>
            <wp:extent cx="857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-24765</wp:posOffset>
            </wp:positionV>
            <wp:extent cx="857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-7620</wp:posOffset>
            </wp:positionV>
            <wp:extent cx="8572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8572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8572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Contracts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fair values for foreign currency hedge contracts that do not meet the criteria to be accounted for as cash flow hedging instruments: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126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260" w:type="dxa"/>
            <w:vAlign w:val="bottom"/>
          </w:tcPr>
          <w:p>
            <w:pPr>
              <w:jc w:val="right"/>
              <w:ind w:right="106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1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December 31, 2023 and 2022, these outstanding foreign currency derivatives had notional amounts of $1,930 million and $1,197 million, respectively, and were primarily related to intercompany loans. Other (Income) Expense included net transaction losses on derivatives of $8 million in 2023 and net transaction gains on derivatives of $34 million in 2022. These amounts were substantially offset in Other (Income) Expense by the effect of changing exchange rates on the underlying currency exposures.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fair values for foreign currency hedge contracts that meet the criteria to be accounted for as cash flow hedging instruments: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130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300" w:type="dxa"/>
            <w:vAlign w:val="bottom"/>
          </w:tcPr>
          <w:p>
            <w:pPr>
              <w:jc w:val="right"/>
              <w:ind w:right="110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bl>
    <w:p>
      <w:pPr>
        <w:spacing w:after="0" w:line="10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2023 and 2022, these outstanding foreign currency derivatives had notional amounts of $27 million and $71 million, respectively, and primarily related to U.S. dollar denominated intercompany transactions. Based on our current forecasts, we believe that it is probable that the underlying hedge transactions will occur within an appropriate time frame in order to continue to qualify for cash flow hedge accounting treatment.</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classification of changes in fair values of foreign currency contracts that meet the criteria to be accounted for as cash flow hedging instruments (before tax and minority):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69"/>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 of gains (losses) deferred to AOCL</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amounts recognized in CGS</w:t>
            </w:r>
          </w:p>
        </w:tc>
        <w:tc>
          <w:tcPr>
            <w:tcW w:w="340" w:type="dxa"/>
            <w:vAlign w:val="bottom"/>
          </w:tcPr>
          <w:p>
            <w:pPr>
              <w:spacing w:after="0"/>
              <w:rPr>
                <w:sz w:val="20"/>
                <w:szCs w:val="20"/>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$2 million of estimated deferred losses at December 31, 2023 that are expected to be reclassified to earnings within the next twelve months.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default probabilities,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assets and liabilities recorded at fair value on the Consolidated Balance Sheet at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4"/>
            <w:vMerge w:val="restart"/>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Total 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3"/>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4"/>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left="319"/>
              <w:spacing w:after="0" w:line="149" w:lineRule="exact"/>
              <w:rPr>
                <w:sz w:val="20"/>
                <w:szCs w:val="20"/>
                <w:color w:val="auto"/>
              </w:rPr>
            </w:pPr>
            <w:r>
              <w:rPr>
                <w:rFonts w:ascii="Times New Roman" w:cs="Times New Roman" w:eastAsia="Times New Roman" w:hAnsi="Times New Roman"/>
                <w:sz w:val="14"/>
                <w:szCs w:val="14"/>
                <w:b w:val="1"/>
                <w:bCs w:val="1"/>
                <w:color w:val="auto"/>
              </w:rPr>
              <w:t>Value in the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4"/>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4"/>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4"/>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center"/>
              <w:ind w:left="27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4"/>
                <w:szCs w:val="14"/>
                <w:color w:val="auto"/>
              </w:rPr>
            </w:pPr>
          </w:p>
        </w:tc>
        <w:tc>
          <w:tcPr>
            <w:tcW w:w="7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6"/>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21</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19</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w:t>
            </w:r>
          </w:p>
        </w:tc>
        <w:tc>
          <w:tcPr>
            <w:tcW w:w="6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-684530</wp:posOffset>
            </wp:positionV>
            <wp:extent cx="768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-684530</wp:posOffset>
            </wp:positionV>
            <wp:extent cx="768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-684530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-684530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-684530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-684530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-684530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-24765</wp:posOffset>
            </wp:positionV>
            <wp:extent cx="768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-7620</wp:posOffset>
            </wp:positionV>
            <wp:extent cx="768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-24765</wp:posOffset>
            </wp:positionV>
            <wp:extent cx="768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-7620</wp:posOffset>
            </wp:positionV>
            <wp:extent cx="768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-24765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-7620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-24765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-7620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-24765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-7620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-24765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-7620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presents supplemental fair value information about long term fixed rate and variable rate debt, excluding finance leases, at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0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Fixed Rate Debt</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5,720</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5,766</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5,488</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5,198</w:t>
            </w:r>
          </w:p>
        </w:tc>
      </w:tr>
      <w:tr>
        <w:trPr>
          <w:trHeight w:val="243"/>
        </w:trPr>
        <w:tc>
          <w:tcPr>
            <w:tcW w:w="77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Variable Rate Debt</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1,292</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1,474</w:t>
            </w: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24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1,286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1,437</w:t>
            </w:r>
          </w:p>
        </w:tc>
      </w:tr>
    </w:tbl>
    <w:p>
      <w:pPr>
        <w:spacing w:after="0" w:line="112" w:lineRule="exact"/>
        <w:rPr>
          <w:sz w:val="20"/>
          <w:szCs w:val="20"/>
          <w:color w:val="auto"/>
        </w:rPr>
      </w:pPr>
    </w:p>
    <w:p>
      <w:pPr>
        <w:jc w:val="both"/>
        <w:ind w:left="760" w:right="20" w:hanging="752"/>
        <w:spacing w:after="0" w:line="265"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Notes Payable and Overdrafts of $344 million and $395 million at December 31, 2023 and 2022, respectively, of which $111 million and $217 million, respectively, are at fixed rates and $233 million and $178 million, respectively, are at variable rates. The carrying value of Notes Payable and Overdrafts approximates fair value due to the short term nature of the facilities.</w:t>
      </w:r>
    </w:p>
    <w:p>
      <w:pPr>
        <w:spacing w:after="0" w:line="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Long term debt with fair values of $5,301 million and $4,946 million at December 31, 2023 and 2022, respectively, were estimated using quoted Level 1 market prices. The carrying value of the remaining debt was based upon internal estimates of fair value derived from market prices for similar debt.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Pension, Other Postretirement Benefits and Savings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employees with defined benefit pension or defined contribution savings plans. Our hourly U.S. pension plans are frozen, except for certain grandfathered participants in the Cooper Tire hourly pension plans who continue to accrue benefits, and provide benefits based on length of service. The principal salaried U.S. pension plans are frozen and provide benefits based on compensation and length of service. Salaried employees who made voluntary contributions to these plans receive higher benefits. We also provide certain U.S. employees and employees at certain non-U.S. subsidiaries with health care benefits or life insurance benefits upon retirement. Substantial portions of retiree health care benefits are not insured and are funded from operations.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2023, we recognized settlement charges of $40 million in Other (Income) Expense, primarily related to the settlement of all plan benefits of the Cooper Tire U.S. salaried defined benefit pension plan with lump sum payments to electing participants and the purchase of a group annuity contract. After settlement, excess plan assets of $18 million were used to fund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obligations associated with our U.S. salaried defined contribution savings plan. During 2023, we recognized termination benefits charges of $1 million in Rationalizations related to the closure of the Fulda tire manufacturing facility.</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During 2022, we recognized settlement charges of $124 million in Other (Income) Expense, primarily related to our U.S. pension plans. The settlement charges resulted from total lump sum payments exceeding annual service and interest cost of the applicable plans.</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During 2021, we recognized settlement charges of $43 million in Other (Income) Expense, primarily related to our salaried U.S pension plans. The settlement charges resulted from total lump sum payments exceeding annual service and interest cost of the applicable plans.</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U.K. pension plan obligations include $37 million to recognize the estimated impact to our plans from court rulings in 2018 and later, involving a plan with similar features to ours that was sponsored by another company, that required equal guaranteed minimum pension benefits for males and females. These amounts have been recognized in AOCL, including a $16 million actuarial loss in 2023 from an agreement with the plan trustees on implementation of changes for certain participants in one of our U.K. pension plans. The actual impact to our U.K. pension plans is still subject to the finalization of plan amendments for all impacted participants in response to the court rulings.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benefits cost and amounts recognized in other comprehensive (income) loss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0" w:type="dxa"/>
            <w:vAlign w:val="bottom"/>
          </w:tcPr>
          <w:p>
            <w:pPr>
              <w:spacing w:after="0"/>
              <w:rPr>
                <w:sz w:val="1"/>
                <w:szCs w:val="1"/>
                <w:color w:val="auto"/>
              </w:rPr>
            </w:pPr>
          </w:p>
        </w:tc>
      </w:tr>
      <w:tr>
        <w:trPr>
          <w:trHeight w:val="169"/>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Benefits cost (credit):</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losses (gains)</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0"/>
        </w:trPr>
        <w:tc>
          <w:tcPr>
            <w:tcW w:w="3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Net periodic cost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52</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11"/>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curtailments/settlements/</w:t>
            </w:r>
          </w:p>
        </w:tc>
        <w:tc>
          <w:tcPr>
            <w:tcW w:w="140" w:type="dxa"/>
            <w:vAlign w:val="bottom"/>
          </w:tcPr>
          <w:p>
            <w:pPr>
              <w:spacing w:after="0"/>
              <w:rPr>
                <w:sz w:val="18"/>
                <w:szCs w:val="18"/>
                <w:color w:val="auto"/>
              </w:rPr>
            </w:pPr>
          </w:p>
        </w:tc>
        <w:tc>
          <w:tcPr>
            <w:tcW w:w="60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benefits cost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104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157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59</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0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in other comprehensive (income)</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 and minority:</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Prior service cost (credit) from plan amendments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net actuarial losses</w:t>
            </w:r>
          </w:p>
        </w:tc>
        <w:tc>
          <w:tcPr>
            <w:tcW w:w="140" w:type="dxa"/>
            <w:vAlign w:val="bottom"/>
          </w:tcPr>
          <w:p>
            <w:pPr>
              <w:spacing w:after="0"/>
              <w:rPr>
                <w:sz w:val="20"/>
                <w:szCs w:val="20"/>
                <w:color w:val="auto"/>
              </w:rPr>
            </w:pP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5"/>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 in net</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periodic cost</w:t>
            </w: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1"/>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(losses) gains in net periodic</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8"/>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Immediate recognition of prior service cost and</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gains and losses due to curtailments</w:t>
            </w:r>
          </w:p>
        </w:tc>
        <w:tc>
          <w:tcPr>
            <w:tcW w:w="14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settlements</w:t>
            </w:r>
          </w:p>
        </w:tc>
        <w:tc>
          <w:tcPr>
            <w:tcW w:w="1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7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Total recognized in other comprehensive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(92 )</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(318 )</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(193 )</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89</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(34 )</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(170 )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(102 )</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0" w:type="dxa"/>
            <w:vAlign w:val="bottom"/>
          </w:tcPr>
          <w:p>
            <w:pPr>
              <w:spacing w:after="0"/>
              <w:rPr>
                <w:sz w:val="1"/>
                <w:szCs w:val="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tax and minority</w:t>
            </w:r>
          </w:p>
        </w:tc>
        <w:tc>
          <w:tcPr>
            <w:tcW w:w="14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760" w:type="dxa"/>
            <w:vAlign w:val="bottom"/>
            <w:shd w:val="clear" w:color="auto" w:fill="CFF0FC"/>
          </w:tcPr>
          <w:p>
            <w:pPr>
              <w:ind w:left="120"/>
              <w:spacing w:after="0" w:line="201" w:lineRule="exact"/>
              <w:rPr>
                <w:sz w:val="20"/>
                <w:szCs w:val="20"/>
                <w:color w:val="auto"/>
              </w:rPr>
            </w:pPr>
            <w:r>
              <w:rPr>
                <w:rFonts w:ascii="Times New Roman" w:cs="Times New Roman" w:eastAsia="Times New Roman" w:hAnsi="Times New Roman"/>
                <w:sz w:val="18"/>
                <w:szCs w:val="18"/>
                <w:b w:val="1"/>
                <w:bCs w:val="1"/>
                <w:color w:val="auto"/>
              </w:rPr>
              <w:t>Total recognized in total benefits cost and</w:t>
            </w: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(161 )</w:t>
            </w:r>
          </w:p>
        </w:tc>
        <w:tc>
          <w:tcPr>
            <w:tcW w:w="12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(138 )</w:t>
            </w:r>
          </w:p>
        </w:tc>
        <w:tc>
          <w:tcPr>
            <w:tcW w:w="12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148</w:t>
            </w:r>
          </w:p>
        </w:tc>
        <w:tc>
          <w:tcPr>
            <w:tcW w:w="10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(105 )</w:t>
            </w:r>
          </w:p>
        </w:tc>
        <w:tc>
          <w:tcPr>
            <w:tcW w:w="100" w:type="dxa"/>
            <w:vAlign w:val="bottom"/>
            <w:vMerge w:val="restart"/>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c>
          <w:tcPr>
            <w:tcW w:w="120" w:type="dxa"/>
            <w:vAlign w:val="bottom"/>
            <w:vMerge w:val="restart"/>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0" w:type="dxa"/>
            <w:vAlign w:val="bottom"/>
          </w:tcPr>
          <w:p>
            <w:pPr>
              <w:spacing w:after="0"/>
              <w:rPr>
                <w:sz w:val="1"/>
                <w:szCs w:val="1"/>
                <w:color w:val="auto"/>
              </w:rPr>
            </w:pPr>
          </w:p>
        </w:tc>
      </w:tr>
      <w:tr>
        <w:trPr>
          <w:trHeight w:val="251"/>
        </w:trPr>
        <w:tc>
          <w:tcPr>
            <w:tcW w:w="3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and minority</w:t>
            </w: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5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5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58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-727075</wp:posOffset>
            </wp:positionV>
            <wp:extent cx="768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-727075</wp:posOffset>
            </wp:positionV>
            <wp:extent cx="768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-727075</wp:posOffset>
            </wp:positionV>
            <wp:extent cx="768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-727075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-727075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-727075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-727075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-727075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-24765</wp:posOffset>
            </wp:positionV>
            <wp:extent cx="768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-7620</wp:posOffset>
            </wp:positionV>
            <wp:extent cx="768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-24765</wp:posOffset>
            </wp:positionV>
            <wp:extent cx="768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-7620</wp:posOffset>
            </wp:positionV>
            <wp:extent cx="768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-24765</wp:posOffset>
            </wp:positionV>
            <wp:extent cx="768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-7620</wp:posOffset>
            </wp:positionV>
            <wp:extent cx="7683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-24765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-7620</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-24765</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-7620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-24765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-24765</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-24765</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-7620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Service cost is recorded in CGS or SAG. Other components of net periodic cost are recorded in Other (Income) Expense. Net curtailments, settlements and termination benefits are recorded in Other (Income) Expense or Rationalizations if related to a rationalization plan.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fair value of pension assets in the calculation of pension expense for all plans.</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Total benefits cost for our other postretirement benefits was $5 million, $12 million and $5 million for our U.S. plans in 2023, 2022 and 2021, respectively, and $3 million, $4 million and $4 million for our non-U.S. plans in 2023, 2022 and 2021, respectively.</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provides plan sponsors a federal subsidy for certain qualifying prescription drug benefits covered under the sponsor’s postretirement health care plans. Our other postretirement benefits cost is presented net of this subsidy, which is less than $1 million annually.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change in benefit obligation and plan assets for 2023 and 2022 and the amounts recognized in our Consolidated Balance Sheets at December 31, 2023 and 2022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9"/>
        </w:trPr>
        <w:tc>
          <w:tcPr>
            <w:tcW w:w="4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Non-U.S.</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69"/>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r>
      <w:tr>
        <w:trPr>
          <w:trHeight w:val="240"/>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(4,084 )</w:t>
            </w: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(5,798 )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(2,227 )</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(3,464 )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(292 )</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(406 )</w:t>
            </w:r>
          </w:p>
        </w:tc>
      </w:tr>
      <w:tr>
        <w:trPr>
          <w:trHeight w:val="245"/>
        </w:trPr>
        <w:tc>
          <w:tcPr>
            <w:tcW w:w="4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 cost — benefits earned</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8"/>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47"/>
        </w:trPr>
        <w:tc>
          <w:tcPr>
            <w:tcW w:w="4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Plan amendments</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Actuarial gain (loss)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r>
      <w:tr>
        <w:trPr>
          <w:trHeight w:val="247"/>
        </w:trPr>
        <w:tc>
          <w:tcPr>
            <w:tcW w:w="4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11"/>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Curtailments/settlements/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1"/>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benefits</w:t>
            </w:r>
          </w:p>
        </w:tc>
        <w:tc>
          <w:tcPr>
            <w:tcW w:w="2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r>
      <w:tr>
        <w:trPr>
          <w:trHeight w:val="238"/>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 payments</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r>
      <w:tr>
        <w:trPr>
          <w:trHeight w:val="240"/>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(3,659 )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(4,084 )</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(2,392 )</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(2,227 )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(287 )</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(292 )</w:t>
            </w:r>
          </w:p>
        </w:tc>
      </w:tr>
      <w:tr>
        <w:trPr>
          <w:trHeight w:val="24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5"/>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4,174</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5,720</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2,043</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3,272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Company contributions to plan assets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funding of direct participant payments</w:t>
            </w:r>
          </w:p>
        </w:tc>
        <w:tc>
          <w:tcPr>
            <w:tcW w:w="2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r>
      <w:tr>
        <w:trPr>
          <w:trHeight w:val="247"/>
        </w:trPr>
        <w:tc>
          <w:tcPr>
            <w:tcW w:w="4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r>
      <w:tr>
        <w:trPr>
          <w:trHeight w:val="238"/>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Settlements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 payments</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8"/>
        </w:trPr>
        <w:tc>
          <w:tcPr>
            <w:tcW w:w="4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3,724</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4,174</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2,146</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2,043</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 at end of year</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65</w:t>
            </w: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90</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(246 )</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(287 )</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(292 )</w:t>
            </w:r>
          </w:p>
        </w:tc>
      </w:tr>
      <w:tr>
        <w:trPr>
          <w:trHeight w:val="20"/>
        </w:trPr>
        <w:tc>
          <w:tcPr>
            <w:tcW w:w="4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-187960</wp:posOffset>
            </wp:positionV>
            <wp:extent cx="8572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-187960</wp:posOffset>
            </wp:positionV>
            <wp:extent cx="768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-187960</wp:posOffset>
            </wp:positionV>
            <wp:extent cx="768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-187960</wp:posOffset>
            </wp:positionV>
            <wp:extent cx="768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-187960</wp:posOffset>
            </wp:positionV>
            <wp:extent cx="7683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actuarial gains or losses related to changes in benefit obligations for 2023 and 2022 primarily resulted from changes in discount rates.</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Other postretirement benefits unfunded status was $195 million and $205 million for our U.S. plans at December 31, 2023 and 2022, respectively, and $92 million and $87 million for our non-U.S. plans at December 31, 2023 and 2022,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funded status at December 31 recognized in the Consolidated Balance Sheets consists of:</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Other Postretirement</w:t>
            </w:r>
          </w:p>
        </w:tc>
      </w:tr>
      <w:tr>
        <w:trPr>
          <w:trHeight w:val="169"/>
        </w:trPr>
        <w:tc>
          <w:tcPr>
            <w:tcW w:w="3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920" w:type="dxa"/>
            <w:vAlign w:val="bottom"/>
            <w:tcBorders>
              <w:bottom w:val="single" w:sz="8" w:color="auto"/>
            </w:tcBorders>
          </w:tcPr>
          <w:p>
            <w:pPr>
              <w:spacing w:after="0"/>
              <w:rPr>
                <w:sz w:val="14"/>
                <w:szCs w:val="14"/>
                <w:color w:val="auto"/>
              </w:rPr>
            </w:pPr>
          </w:p>
        </w:tc>
      </w:tr>
      <w:tr>
        <w:trPr>
          <w:trHeight w:val="169"/>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164</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215</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258</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47"/>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(268 )</w:t>
            </w:r>
          </w:p>
        </w:tc>
      </w:tr>
      <w:tr>
        <w:trPr>
          <w:trHeight w:val="236"/>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amount recognized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65</w:t>
            </w:r>
          </w:p>
        </w:tc>
        <w:tc>
          <w:tcPr>
            <w:tcW w:w="1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90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(246 )</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(292 )</w:t>
            </w:r>
          </w:p>
        </w:tc>
      </w:tr>
      <w:tr>
        <w:trPr>
          <w:trHeight w:val="20"/>
        </w:trPr>
        <w:tc>
          <w:tcPr>
            <w:tcW w:w="3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3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49"/>
        </w:trPr>
        <w:tc>
          <w:tcPr>
            <w:tcW w:w="3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3104515</wp:posOffset>
            </wp:positionH>
            <wp:positionV relativeFrom="paragraph">
              <wp:posOffset>-1086485</wp:posOffset>
            </wp:positionV>
            <wp:extent cx="8572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-1086485</wp:posOffset>
            </wp:positionV>
            <wp:extent cx="768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-1086485</wp:posOffset>
            </wp:positionV>
            <wp:extent cx="7683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-1086485</wp:posOffset>
            </wp:positionV>
            <wp:extent cx="7683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-1086485</wp:posOffset>
            </wp:positionV>
            <wp:extent cx="7683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recorded in AOCL at December 31, net of tax and minority interest, consist of:</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Other Postretirement</w:t>
            </w:r>
          </w:p>
        </w:tc>
      </w:tr>
      <w:tr>
        <w:trPr>
          <w:trHeight w:val="169"/>
        </w:trPr>
        <w:tc>
          <w:tcPr>
            <w:tcW w:w="3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920" w:type="dxa"/>
            <w:vAlign w:val="bottom"/>
            <w:tcBorders>
              <w:bottom w:val="single" w:sz="8" w:color="auto"/>
            </w:tcBorders>
          </w:tcPr>
          <w:p>
            <w:pPr>
              <w:spacing w:after="0"/>
              <w:rPr>
                <w:sz w:val="14"/>
                <w:szCs w:val="14"/>
                <w:color w:val="auto"/>
              </w:rPr>
            </w:pPr>
          </w:p>
        </w:tc>
      </w:tr>
      <w:tr>
        <w:trPr>
          <w:trHeight w:val="169"/>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Prior service (credit) cost</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actuarial loss (gain)</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1,836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36"/>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Gross amount recorded</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1,747</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1,839</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546</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457</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(89 )</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Minority shareholders’ equity</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amount recorded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1,850</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1,920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465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394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(99 )</w:t>
            </w:r>
          </w:p>
        </w:tc>
      </w:tr>
      <w:tr>
        <w:trPr>
          <w:trHeight w:val="20"/>
        </w:trPr>
        <w:tc>
          <w:tcPr>
            <w:tcW w:w="3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3104515</wp:posOffset>
            </wp:positionH>
            <wp:positionV relativeFrom="paragraph">
              <wp:posOffset>-187960</wp:posOffset>
            </wp:positionV>
            <wp:extent cx="7683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-187960</wp:posOffset>
            </wp:positionV>
            <wp:extent cx="7683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-187960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-187960</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-187960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significant weighted average assumptions used to determine benefit obligations at December 31: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69"/>
        </w:trPr>
        <w:tc>
          <w:tcPr>
            <w:tcW w:w="574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2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r>
      <w:tr>
        <w:trPr>
          <w:trHeight w:val="236"/>
        </w:trPr>
        <w:tc>
          <w:tcPr>
            <w:tcW w:w="6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5.12 %</w:t>
            </w:r>
          </w:p>
        </w:tc>
        <w:tc>
          <w:tcPr>
            <w:tcW w:w="380" w:type="dxa"/>
            <w:vAlign w:val="bottom"/>
          </w:tcPr>
          <w:p>
            <w:pPr>
              <w:spacing w:after="0"/>
              <w:rPr>
                <w:sz w:val="20"/>
                <w:szCs w:val="20"/>
                <w:color w:val="auto"/>
              </w:rPr>
            </w:pP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5.45 %</w:t>
            </w:r>
          </w:p>
        </w:tc>
        <w:tc>
          <w:tcPr>
            <w:tcW w:w="13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5.16 %</w:t>
            </w:r>
          </w:p>
        </w:tc>
        <w:tc>
          <w:tcPr>
            <w:tcW w:w="13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w w:val="94"/>
              </w:rPr>
              <w:t>5.51 %</w:t>
            </w:r>
          </w:p>
        </w:tc>
      </w:tr>
      <w:tr>
        <w:trPr>
          <w:trHeight w:val="247"/>
        </w:trPr>
        <w:tc>
          <w:tcPr>
            <w:tcW w:w="6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6.75</w:t>
            </w:r>
          </w:p>
        </w:tc>
        <w:tc>
          <w:tcPr>
            <w:tcW w:w="60" w:type="dxa"/>
            <w:vAlign w:val="bottom"/>
          </w:tcPr>
          <w:p>
            <w:pPr>
              <w:spacing w:after="0"/>
              <w:rPr>
                <w:sz w:val="21"/>
                <w:szCs w:val="21"/>
                <w:color w:val="auto"/>
              </w:rPr>
            </w:pPr>
          </w:p>
        </w:tc>
      </w:tr>
      <w:tr>
        <w:trPr>
          <w:trHeight w:val="238"/>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Rate of compensation increase:</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1"/>
                <w:szCs w:val="21"/>
                <w:color w:val="auto"/>
              </w:rPr>
            </w:pPr>
          </w:p>
        </w:tc>
      </w:tr>
      <w:tr>
        <w:trPr>
          <w:trHeight w:val="234"/>
        </w:trPr>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0"/>
                <w:szCs w:val="20"/>
                <w:color w:val="auto"/>
              </w:rPr>
            </w:pPr>
          </w:p>
        </w:tc>
        <w:tc>
          <w:tcPr>
            <w:tcW w:w="13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0"/>
                <w:szCs w:val="20"/>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significant weighted average assumptions used to determine benefits cost for the years ended December 31: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580" w:type="dxa"/>
            <w:vAlign w:val="bottom"/>
          </w:tcPr>
          <w:p>
            <w:pPr>
              <w:spacing w:after="0"/>
              <w:rPr>
                <w:sz w:val="14"/>
                <w:szCs w:val="14"/>
                <w:color w:val="auto"/>
              </w:rPr>
            </w:pPr>
          </w:p>
        </w:tc>
        <w:tc>
          <w:tcPr>
            <w:tcW w:w="1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9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3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 for determining interest cost:</w:t>
            </w: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11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5.34 %</w:t>
            </w:r>
          </w:p>
        </w:tc>
        <w:tc>
          <w:tcPr>
            <w:tcW w:w="1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2.74 %</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1.72 %</w:t>
            </w:r>
          </w:p>
        </w:tc>
        <w:tc>
          <w:tcPr>
            <w:tcW w:w="1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5.37 %</w:t>
            </w:r>
          </w:p>
        </w:tc>
        <w:tc>
          <w:tcPr>
            <w:tcW w:w="1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2.33 %</w:t>
            </w:r>
          </w:p>
        </w:tc>
        <w:tc>
          <w:tcPr>
            <w:tcW w:w="300" w:type="dxa"/>
            <w:vAlign w:val="bottom"/>
          </w:tcPr>
          <w:p>
            <w:pPr>
              <w:spacing w:after="0"/>
              <w:rPr>
                <w:sz w:val="20"/>
                <w:szCs w:val="20"/>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4"/>
              </w:rPr>
              <w:t>1.97 %</w:t>
            </w:r>
          </w:p>
        </w:tc>
      </w:tr>
      <w:tr>
        <w:trPr>
          <w:trHeight w:val="247"/>
        </w:trPr>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10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Pr>
          <w:p>
            <w:pPr>
              <w:spacing w:after="0"/>
              <w:rPr>
                <w:sz w:val="21"/>
                <w:szCs w:val="21"/>
                <w:color w:val="auto"/>
              </w:rPr>
            </w:pPr>
          </w:p>
        </w:tc>
      </w:tr>
      <w:tr>
        <w:trPr>
          <w:trHeight w:val="23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long term return on plan assets: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10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gridSpan w:val="3"/>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1"/>
                <w:szCs w:val="21"/>
                <w:color w:val="auto"/>
              </w:rPr>
            </w:pPr>
          </w:p>
        </w:tc>
      </w:tr>
      <w:tr>
        <w:trPr>
          <w:trHeight w:val="238"/>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20"/>
                <w:szCs w:val="20"/>
                <w:color w:val="auto"/>
              </w:rPr>
            </w:pPr>
          </w:p>
        </w:tc>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0"/>
                <w:szCs w:val="20"/>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20"/>
                <w:szCs w:val="20"/>
                <w:color w:val="auto"/>
              </w:rPr>
            </w:pPr>
          </w:p>
        </w:tc>
        <w:tc>
          <w:tcPr>
            <w:tcW w:w="1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0"/>
                <w:szCs w:val="20"/>
                <w:color w:val="auto"/>
              </w:rPr>
            </w:pP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Rate of compensation increase:</w:t>
            </w: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11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0"/>
                <w:szCs w:val="20"/>
                <w:color w:val="auto"/>
              </w:rPr>
            </w:pPr>
          </w:p>
        </w:tc>
      </w:tr>
      <w:tr>
        <w:trPr>
          <w:trHeight w:val="251"/>
        </w:trPr>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10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gridSpan w:val="3"/>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1"/>
                <w:szCs w:val="21"/>
                <w:color w:val="auto"/>
              </w:rPr>
            </w:pPr>
          </w:p>
        </w:tc>
      </w:tr>
    </w:tbl>
    <w:p>
      <w:pPr>
        <w:spacing w:after="0" w:line="103"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For 2023, a weighted average discount rate of 5.34% was used to determine interest cost for the U.S. pension plans. This rate was derived from spot rates along a yield curve developed from a portfolio of corporate bonds from issuers rated AA or higher by established rating agencies as of December 31, 2022, applied to our expected benefit payment cash flows. For our non-U.S. locations, a weighted average discount rate of 4.72% was used. This rate was developed based on the nature of the liabilities and local environments, using available bond indices, yield curves, projected cash flows, and long term inflation.</w:t>
      </w:r>
    </w:p>
    <w:p>
      <w:pPr>
        <w:spacing w:after="0" w:line="74"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For 2023, an assumed weighted average long term rate of return of 6.27% was used for the U.S. pension plans. In developing the long term rate of return, we evaluated input from our pension fund consultant on asset class return expectations, including determining the appropriate rate of return for our plans, which are substantially invested in fixed income securities. For our non-U.S. locations, an assumed weighted average long term rate of return of 4.79% was used. Input from local pension fund consultants concerning asset class return expectations and long term inflation form the basis of this assumption.</w:t>
      </w:r>
    </w:p>
    <w:p>
      <w:pPr>
        <w:spacing w:after="0" w:line="74"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The U.S. pension plan mortality assumption is based on our actual historical experience or published actuarial tables, and expected future mortality improvements based on published actuarial tables. For our non-U.S. locations, mortality assumptions are based on published actuarial tables which include projections of future mortality improvements.</w:t>
      </w: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8"/>
          <w:szCs w:val="18"/>
          <w:color w:val="auto"/>
        </w:rPr>
        <w:t>The following table presents estimated future benefit payments from the plans as of December 31, 2023. Benefit payments for other postretirement benefits are presented net of retiree contributions and Medicare Part D Subsidy Receipts: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69"/>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U.S.</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1"/>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1"/>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2029-2033</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34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on our pension plans at December 31: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All plans:</w:t>
            </w: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3,650</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3"/>
              </w:rPr>
              <w:t>4,077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2,330</w:t>
            </w:r>
          </w:p>
        </w:tc>
        <w:tc>
          <w:tcPr>
            <w:tcW w:w="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Plans not fully-funded:</w:t>
            </w: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905</w:t>
            </w:r>
          </w:p>
        </w:tc>
        <w:tc>
          <w:tcPr>
            <w:tcW w:w="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7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5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858</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34"/>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74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Certain non-U.S. subsidiaries maintain unfunded pension plans consistent with local practices and requirements. At December 31, 2023, these plans accounted for $182 million of our accumulated pension benefit obligation, $222 million of our projected pension benefit obligation, and $32 million of our AOCL adjustment. At December 31, 2022, these plans accounted for $176 million of our accumulated pension benefit obligation, $211 million of our projected pension benefit obligation, and $28 million of our AOCL adjustment.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contribute $25 million to $50 million to our funded pension plans in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health care cost trend rates at December 31 follow: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22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the next year</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6.75 %</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r>
      <w:tr>
        <w:trPr>
          <w:trHeight w:val="24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Rate to which the cost trend rate is assumed to decline (the ultimate trend rate)</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1"/>
                <w:szCs w:val="21"/>
                <w:color w:val="auto"/>
              </w:rPr>
            </w:pPr>
          </w:p>
        </w:tc>
      </w:tr>
      <w:tr>
        <w:trPr>
          <w:trHeight w:val="249"/>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tcPr>
          <w:p>
            <w:pPr>
              <w:spacing w:after="0"/>
              <w:rPr>
                <w:sz w:val="21"/>
                <w:szCs w:val="21"/>
                <w:color w:val="auto"/>
              </w:rPr>
            </w:pPr>
          </w:p>
        </w:tc>
      </w:tr>
      <w:tr>
        <w:trPr>
          <w:trHeight w:val="337"/>
        </w:trPr>
        <w:tc>
          <w:tcPr>
            <w:tcW w:w="7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pension plan weighted average investment allocation at December 31, by asset category, follows: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5680" w:type="dxa"/>
            <w:vAlign w:val="bottom"/>
          </w:tcPr>
          <w:p>
            <w:pPr>
              <w:spacing w:after="0"/>
              <w:rPr>
                <w:sz w:val="24"/>
                <w:szCs w:val="24"/>
                <w:color w:val="auto"/>
              </w:rPr>
            </w:pPr>
          </w:p>
        </w:tc>
        <w:tc>
          <w:tcPr>
            <w:tcW w:w="176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5680" w:type="dxa"/>
            <w:vAlign w:val="bottom"/>
          </w:tcPr>
          <w:p>
            <w:pPr>
              <w:spacing w:after="0"/>
              <w:rPr>
                <w:sz w:val="14"/>
                <w:szCs w:val="14"/>
                <w:color w:val="auto"/>
              </w:rPr>
            </w:pPr>
          </w:p>
        </w:tc>
        <w:tc>
          <w:tcPr>
            <w:tcW w:w="13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2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short term securities</w:t>
            </w:r>
          </w:p>
        </w:tc>
        <w:tc>
          <w:tcPr>
            <w:tcW w:w="17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r>
      <w:tr>
        <w:trPr>
          <w:trHeight w:val="24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r>
      <w:tr>
        <w:trPr>
          <w:trHeight w:val="249"/>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21"/>
                <w:szCs w:val="21"/>
                <w:color w:val="auto"/>
              </w:rPr>
            </w:pP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Alternatives</w:t>
            </w: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r>
      <w:tr>
        <w:trPr>
          <w:trHeight w:val="236"/>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100 %</w:t>
            </w:r>
          </w:p>
        </w:tc>
        <w:tc>
          <w:tcPr>
            <w:tcW w:w="32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100 %</w:t>
            </w:r>
          </w:p>
        </w:tc>
        <w:tc>
          <w:tcPr>
            <w:tcW w:w="240" w:type="dxa"/>
            <w:vAlign w:val="bottom"/>
          </w:tcPr>
          <w:p>
            <w:pPr>
              <w:spacing w:after="0"/>
              <w:rPr>
                <w:sz w:val="20"/>
                <w:szCs w:val="20"/>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100 %</w:t>
            </w:r>
          </w:p>
        </w:tc>
        <w:tc>
          <w:tcPr>
            <w:tcW w:w="2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56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-1797685</wp:posOffset>
            </wp:positionV>
            <wp:extent cx="7132320" cy="1543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3"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Our pension investment policies recognize the long-term nature of pension liabilities, and are primarily designed to offset the future impact of discount rate movements on the funded status for our plans, with target return-seeking allocations based upon given funded ratio levels. All assets are managed externally according to target asset allocation guidelines we have established. Manager guidelines prohibit the use of any type of investment derivative without our prior approval. Portfolio risk is controlled by having managers comply with guidelines, establishing the maximum size of any single holding in their portfolios, and using managers with different investment styles. We periodically undertake asset and liability modeling studies to determine the appropriateness of the investments.</w:t>
      </w:r>
    </w:p>
    <w:p>
      <w:pPr>
        <w:spacing w:after="0" w:line="78"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The portfolio of our U.S. pension plan assets includes holdings of global high quality and high yield fixed income securities, short term interest bearing deposits, and private equity and credit securities. The target asset allocation of our U.S. pension plans is 95% in duration-matched fixed income securities and 5% in private equity and credit securities. Actual U.S. pension fund asset allocations are reviewed on a periodic basis and the pension funds are rebalanced to target ranges on an as needed basis.</w:t>
      </w:r>
    </w:p>
    <w:p>
      <w:pPr>
        <w:sectPr>
          <w:pgSz w:w="11900" w:h="16838" w:orient="portrait"/>
          <w:cols w:equalWidth="0" w:num="1">
            <w:col w:w="11320"/>
          </w:cols>
          <w:pgMar w:left="320" w:top="764" w:right="259" w:bottom="1440" w:gutter="0" w:footer="0" w:header="0"/>
        </w:sectPr>
      </w:pPr>
    </w:p>
    <w:p>
      <w:pPr>
        <w:spacing w:after="0" w:line="1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764" w:right="25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portfolios of our non-U.S. pension plans include holdings of global high quality and high yield fixed income securities, U.S. and non-U.S. equities, real estate funds, insurance contracts, repurchase agreements, and short term interest bearing deposits. The weighted average target asset allocation of the non-U.S. pension funds is approximately 90% fixed income, 5% equities and 5% in real estate funds.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pension plan assets at December 31, 2023 by asset category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Non-U.S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58"/>
              <w:spacing w:after="0" w:line="139" w:lineRule="exact"/>
              <w:rPr>
                <w:sz w:val="20"/>
                <w:szCs w:val="20"/>
                <w:color w:val="auto"/>
              </w:rPr>
            </w:pPr>
            <w:r>
              <w:rPr>
                <w:rFonts w:ascii="Times New Roman" w:cs="Times New Roman" w:eastAsia="Times New Roman" w:hAnsi="Times New Roman"/>
                <w:sz w:val="13"/>
                <w:szCs w:val="13"/>
                <w:b w:val="1"/>
                <w:bCs w:val="1"/>
                <w:color w:val="auto"/>
              </w:rPr>
              <w:t>Quoted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18"/>
              <w:spacing w:after="0" w:line="139" w:lineRule="exact"/>
              <w:rPr>
                <w:sz w:val="20"/>
                <w:szCs w:val="20"/>
                <w:color w:val="auto"/>
              </w:rPr>
            </w:pPr>
            <w:r>
              <w:rPr>
                <w:rFonts w:ascii="Times New Roman" w:cs="Times New Roman" w:eastAsia="Times New Roman" w:hAnsi="Times New Roman"/>
                <w:sz w:val="13"/>
                <w:szCs w:val="13"/>
                <w:b w:val="1"/>
                <w:bCs w:val="1"/>
                <w:color w:val="auto"/>
              </w:rPr>
              <w:t>Quoted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3"/>
                <w:szCs w:val="13"/>
                <w:b w:val="1"/>
                <w:bCs w:val="1"/>
                <w:color w:val="auto"/>
              </w:rPr>
              <w:t>Prices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3"/>
                <w:szCs w:val="13"/>
                <w:b w:val="1"/>
                <w:bCs w:val="1"/>
                <w:color w:val="auto"/>
                <w:w w:val="99"/>
              </w:rPr>
              <w:t>Prices 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3"/>
                <w:szCs w:val="13"/>
                <w:b w:val="1"/>
                <w:bCs w:val="1"/>
                <w:color w:val="auto"/>
              </w:rPr>
              <w:t>in Active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3"/>
                <w:szCs w:val="13"/>
                <w:b w:val="1"/>
                <w:bCs w:val="1"/>
                <w:color w:val="auto"/>
              </w:rPr>
              <w:t>Active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3"/>
                <w:szCs w:val="13"/>
                <w:b w:val="1"/>
                <w:bCs w:val="1"/>
                <w:color w:val="auto"/>
              </w:rPr>
              <w:t>Markets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410"/>
              <w:spacing w:after="0" w:line="149"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3"/>
                <w:szCs w:val="13"/>
                <w:b w:val="1"/>
                <w:bCs w:val="1"/>
                <w:color w:val="auto"/>
              </w:rPr>
              <w:t>Markets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3"/>
                <w:szCs w:val="13"/>
                <w:b w:val="1"/>
                <w:bCs w:val="1"/>
                <w:color w:val="auto"/>
              </w:rPr>
              <w:t>for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410"/>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3"/>
                <w:szCs w:val="13"/>
                <w:b w:val="1"/>
                <w:bCs w:val="1"/>
                <w:color w:val="auto"/>
                <w:w w:val="96"/>
              </w:rPr>
              <w:t>for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3"/>
                <w:szCs w:val="13"/>
                <w:b w:val="1"/>
                <w:bCs w:val="1"/>
                <w:color w:val="auto"/>
              </w:rPr>
              <w:t>Identical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3"/>
                <w:szCs w:val="13"/>
                <w:b w:val="1"/>
                <w:bCs w:val="1"/>
                <w:color w:val="auto"/>
              </w:rPr>
              <w:t>Observable</w:t>
            </w:r>
          </w:p>
        </w:tc>
        <w:tc>
          <w:tcPr>
            <w:tcW w:w="120" w:type="dxa"/>
            <w:vAlign w:val="bottom"/>
          </w:tcPr>
          <w:p>
            <w:pPr>
              <w:spacing w:after="0"/>
              <w:rPr>
                <w:sz w:val="12"/>
                <w:szCs w:val="12"/>
                <w:color w:val="auto"/>
              </w:rPr>
            </w:pPr>
          </w:p>
        </w:tc>
        <w:tc>
          <w:tcPr>
            <w:tcW w:w="1340" w:type="dxa"/>
            <w:vAlign w:val="bottom"/>
            <w:gridSpan w:val="4"/>
          </w:tcPr>
          <w:p>
            <w:pPr>
              <w:jc w:val="center"/>
              <w:ind w:right="290"/>
              <w:spacing w:after="0" w:line="149" w:lineRule="exact"/>
              <w:rPr>
                <w:sz w:val="20"/>
                <w:szCs w:val="20"/>
                <w:color w:val="auto"/>
              </w:rPr>
            </w:pPr>
            <w:r>
              <w:rPr>
                <w:rFonts w:ascii="Times New Roman" w:cs="Times New Roman" w:eastAsia="Times New Roman" w:hAnsi="Times New Roman"/>
                <w:sz w:val="13"/>
                <w:szCs w:val="13"/>
                <w:b w:val="1"/>
                <w:bCs w:val="1"/>
                <w:color w:val="auto"/>
              </w:rPr>
              <w:t>Unobservable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3"/>
                <w:szCs w:val="13"/>
                <w:b w:val="1"/>
                <w:bCs w:val="1"/>
                <w:color w:val="auto"/>
              </w:rPr>
              <w:t>Identical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3"/>
                <w:szCs w:val="13"/>
                <w:b w:val="1"/>
                <w:bCs w:val="1"/>
                <w:color w:val="auto"/>
              </w:rPr>
              <w:t>Observable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3"/>
                <w:szCs w:val="13"/>
                <w:b w:val="1"/>
                <w:bCs w:val="1"/>
                <w:color w:val="auto"/>
              </w:rPr>
              <w:t>Unobservable</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3"/>
                <w:szCs w:val="13"/>
                <w:b w:val="1"/>
                <w:bCs w:val="1"/>
                <w:color w:val="auto"/>
              </w:rPr>
              <w:t>Inputs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410"/>
              <w:spacing w:after="0" w:line="149" w:lineRule="exact"/>
              <w:rPr>
                <w:sz w:val="20"/>
                <w:szCs w:val="20"/>
                <w:color w:val="auto"/>
              </w:rPr>
            </w:pPr>
            <w:r>
              <w:rPr>
                <w:rFonts w:ascii="Times New Roman" w:cs="Times New Roman" w:eastAsia="Times New Roman" w:hAnsi="Times New Roman"/>
                <w:sz w:val="13"/>
                <w:szCs w:val="13"/>
                <w:b w:val="1"/>
                <w:bCs w:val="1"/>
                <w:color w:val="auto"/>
              </w:rPr>
              <w:t>Inputs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3"/>
                <w:szCs w:val="13"/>
                <w:b w:val="1"/>
                <w:bCs w:val="1"/>
                <w:color w:val="auto"/>
              </w:rPr>
              <w:t>Inputs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3"/>
                <w:szCs w:val="13"/>
                <w:b w:val="1"/>
                <w:bCs w:val="1"/>
                <w:color w:val="auto"/>
              </w:rPr>
              <w:t>Inputs</w:t>
            </w:r>
          </w:p>
        </w:tc>
        <w:tc>
          <w:tcPr>
            <w:tcW w:w="0" w:type="dxa"/>
            <w:vAlign w:val="bottom"/>
          </w:tcPr>
          <w:p>
            <w:pPr>
              <w:spacing w:after="0"/>
              <w:rPr>
                <w:sz w:val="1"/>
                <w:szCs w:val="1"/>
                <w:color w:val="auto"/>
              </w:rPr>
            </w:pPr>
          </w:p>
        </w:tc>
      </w:tr>
      <w:tr>
        <w:trPr>
          <w:trHeight w:val="179"/>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236"/>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Short Term Securities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tcPr>
          <w:p>
            <w:pPr>
              <w:spacing w:after="0"/>
              <w:rPr>
                <w:sz w:val="20"/>
                <w:szCs w:val="20"/>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1,831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Bonds</w:t>
            </w:r>
          </w:p>
        </w:tc>
        <w:tc>
          <w:tcPr>
            <w:tcW w:w="160" w:type="dxa"/>
            <w:vAlign w:val="bottom"/>
          </w:tcPr>
          <w:p>
            <w:pPr>
              <w:spacing w:after="0"/>
              <w:rPr>
                <w:sz w:val="20"/>
                <w:szCs w:val="20"/>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Repurchase Agreements</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Backed Securities</w:t>
            </w:r>
          </w:p>
        </w:tc>
        <w:tc>
          <w:tcPr>
            <w:tcW w:w="160" w:type="dxa"/>
            <w:vAlign w:val="bottom"/>
          </w:tcPr>
          <w:p>
            <w:pPr>
              <w:spacing w:after="0"/>
              <w:rPr>
                <w:sz w:val="20"/>
                <w:szCs w:val="20"/>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Pr>
          <w:p>
            <w:pPr>
              <w:spacing w:after="0"/>
              <w:rPr>
                <w:sz w:val="20"/>
                <w:szCs w:val="20"/>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Alternatives</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tcPr>
          <w:p>
            <w:pPr>
              <w:spacing w:after="0"/>
              <w:rPr>
                <w:sz w:val="20"/>
                <w:szCs w:val="20"/>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Insurance Contracts</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8"/>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Pr>
          <w:p>
            <w:pPr>
              <w:spacing w:after="0"/>
              <w:rPr>
                <w:sz w:val="20"/>
                <w:szCs w:val="20"/>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264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b w:val="1"/>
                <w:bCs w:val="1"/>
                <w:color w:val="auto"/>
              </w:rPr>
              <w:t>Total Investments in the Fair</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6</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2,733</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200</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1,423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11"/>
        </w:trPr>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Value Hierarchy</w:t>
            </w:r>
          </w:p>
        </w:tc>
        <w:tc>
          <w:tcPr>
            <w:tcW w:w="16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2,741</w:t>
            </w:r>
          </w:p>
        </w:tc>
        <w:tc>
          <w:tcPr>
            <w:tcW w:w="24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1,644</w:t>
            </w:r>
          </w:p>
        </w:tc>
        <w:tc>
          <w:tcPr>
            <w:tcW w:w="2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4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Investments Measured at Net</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 Value, as Practical</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Expedient:</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Pr>
          <w:p>
            <w:pPr>
              <w:spacing w:after="0"/>
              <w:rPr>
                <w:sz w:val="20"/>
                <w:szCs w:val="20"/>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Partnership Interests</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Pr>
          <w:p>
            <w:pPr>
              <w:spacing w:after="0"/>
              <w:rPr>
                <w:sz w:val="20"/>
                <w:szCs w:val="20"/>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Partnership Interests</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 Term Securities</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Alternatives</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Partnership Interests</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3,718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2,172</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3,724</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gridSpan w:val="2"/>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2,146</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2222500</wp:posOffset>
            </wp:positionH>
            <wp:positionV relativeFrom="paragraph">
              <wp:posOffset>-3235960</wp:posOffset>
            </wp:positionV>
            <wp:extent cx="768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2847975</wp:posOffset>
            </wp:positionH>
            <wp:positionV relativeFrom="paragraph">
              <wp:posOffset>-3235960</wp:posOffset>
            </wp:positionV>
            <wp:extent cx="768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-3235960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-3235960</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-3235960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-3235960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-3235960</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-24765</wp:posOffset>
            </wp:positionV>
            <wp:extent cx="768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-7620</wp:posOffset>
            </wp:positionV>
            <wp:extent cx="7683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-24765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-7620</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pension plan assets at December 31, 2022 by asset category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Non-U.S</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38"/>
              <w:spacing w:after="0" w:line="139" w:lineRule="exact"/>
              <w:rPr>
                <w:sz w:val="20"/>
                <w:szCs w:val="20"/>
                <w:color w:val="auto"/>
              </w:rPr>
            </w:pPr>
            <w:r>
              <w:rPr>
                <w:rFonts w:ascii="Times New Roman" w:cs="Times New Roman" w:eastAsia="Times New Roman" w:hAnsi="Times New Roman"/>
                <w:sz w:val="13"/>
                <w:szCs w:val="13"/>
                <w:b w:val="1"/>
                <w:bCs w:val="1"/>
                <w:color w:val="auto"/>
              </w:rPr>
              <w:t>Quoted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135"/>
              <w:spacing w:after="0" w:line="139" w:lineRule="exact"/>
              <w:rPr>
                <w:sz w:val="20"/>
                <w:szCs w:val="20"/>
                <w:color w:val="auto"/>
              </w:rPr>
            </w:pPr>
            <w:r>
              <w:rPr>
                <w:rFonts w:ascii="Times New Roman" w:cs="Times New Roman" w:eastAsia="Times New Roman" w:hAnsi="Times New Roman"/>
                <w:sz w:val="13"/>
                <w:szCs w:val="13"/>
                <w:b w:val="1"/>
                <w:bCs w:val="1"/>
                <w:color w:val="auto"/>
              </w:rPr>
              <w:t>Quoted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3"/>
                <w:szCs w:val="13"/>
                <w:b w:val="1"/>
                <w:bCs w:val="1"/>
                <w:color w:val="auto"/>
              </w:rPr>
              <w:t>Prices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3"/>
                <w:szCs w:val="13"/>
                <w:b w:val="1"/>
                <w:bCs w:val="1"/>
                <w:color w:val="auto"/>
              </w:rPr>
              <w:t>Prices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38"/>
              <w:spacing w:after="0" w:line="149" w:lineRule="exact"/>
              <w:rPr>
                <w:sz w:val="20"/>
                <w:szCs w:val="20"/>
                <w:color w:val="auto"/>
              </w:rPr>
            </w:pPr>
            <w:r>
              <w:rPr>
                <w:rFonts w:ascii="Times New Roman" w:cs="Times New Roman" w:eastAsia="Times New Roman" w:hAnsi="Times New Roman"/>
                <w:sz w:val="13"/>
                <w:szCs w:val="13"/>
                <w:b w:val="1"/>
                <w:bCs w:val="1"/>
                <w:color w:val="auto"/>
              </w:rPr>
              <w:t>in Active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3"/>
                <w:szCs w:val="13"/>
                <w:b w:val="1"/>
                <w:bCs w:val="1"/>
                <w:color w:val="auto"/>
              </w:rPr>
              <w:t>Active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3"/>
                <w:szCs w:val="13"/>
                <w:b w:val="1"/>
                <w:bCs w:val="1"/>
                <w:color w:val="auto"/>
              </w:rPr>
              <w:t>Markets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410"/>
              <w:spacing w:after="0" w:line="149"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3"/>
                <w:szCs w:val="13"/>
                <w:b w:val="1"/>
                <w:bCs w:val="1"/>
                <w:color w:val="auto"/>
              </w:rPr>
              <w:t>Markets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3"/>
                <w:szCs w:val="13"/>
                <w:b w:val="1"/>
                <w:bCs w:val="1"/>
                <w:color w:val="auto"/>
              </w:rPr>
              <w:t>for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410"/>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3"/>
                <w:szCs w:val="13"/>
                <w:b w:val="1"/>
                <w:bCs w:val="1"/>
                <w:color w:val="auto"/>
              </w:rPr>
              <w:t>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3"/>
                <w:szCs w:val="13"/>
                <w:b w:val="1"/>
                <w:bCs w:val="1"/>
                <w:color w:val="auto"/>
              </w:rPr>
              <w:t>Identical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3"/>
                <w:szCs w:val="13"/>
                <w:b w:val="1"/>
                <w:bCs w:val="1"/>
                <w:color w:val="auto"/>
              </w:rPr>
              <w:t>Observable</w:t>
            </w:r>
          </w:p>
        </w:tc>
        <w:tc>
          <w:tcPr>
            <w:tcW w:w="100" w:type="dxa"/>
            <w:vAlign w:val="bottom"/>
          </w:tcPr>
          <w:p>
            <w:pPr>
              <w:spacing w:after="0"/>
              <w:rPr>
                <w:sz w:val="12"/>
                <w:szCs w:val="12"/>
                <w:color w:val="auto"/>
              </w:rPr>
            </w:pPr>
          </w:p>
        </w:tc>
        <w:tc>
          <w:tcPr>
            <w:tcW w:w="1340" w:type="dxa"/>
            <w:vAlign w:val="bottom"/>
            <w:gridSpan w:val="4"/>
          </w:tcPr>
          <w:p>
            <w:pPr>
              <w:jc w:val="center"/>
              <w:ind w:right="290"/>
              <w:spacing w:after="0" w:line="149" w:lineRule="exact"/>
              <w:rPr>
                <w:sz w:val="20"/>
                <w:szCs w:val="20"/>
                <w:color w:val="auto"/>
              </w:rPr>
            </w:pPr>
            <w:r>
              <w:rPr>
                <w:rFonts w:ascii="Times New Roman" w:cs="Times New Roman" w:eastAsia="Times New Roman" w:hAnsi="Times New Roman"/>
                <w:sz w:val="13"/>
                <w:szCs w:val="13"/>
                <w:b w:val="1"/>
                <w:bCs w:val="1"/>
                <w:color w:val="auto"/>
              </w:rPr>
              <w:t>Unobservable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3"/>
                <w:szCs w:val="13"/>
                <w:b w:val="1"/>
                <w:bCs w:val="1"/>
                <w:color w:val="auto"/>
              </w:rPr>
              <w:t>Identical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3"/>
                <w:szCs w:val="13"/>
                <w:b w:val="1"/>
                <w:bCs w:val="1"/>
                <w:color w:val="auto"/>
              </w:rPr>
              <w:t>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3"/>
                <w:szCs w:val="13"/>
                <w:b w:val="1"/>
                <w:bCs w:val="1"/>
                <w:color w:val="auto"/>
              </w:rPr>
              <w:t>Unobservable</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410"/>
              <w:spacing w:after="0" w:line="149" w:lineRule="exact"/>
              <w:rPr>
                <w:sz w:val="20"/>
                <w:szCs w:val="20"/>
                <w:color w:val="auto"/>
              </w:rPr>
            </w:pPr>
            <w:r>
              <w:rPr>
                <w:rFonts w:ascii="Times New Roman" w:cs="Times New Roman" w:eastAsia="Times New Roman" w:hAnsi="Times New Roman"/>
                <w:sz w:val="13"/>
                <w:szCs w:val="13"/>
                <w:b w:val="1"/>
                <w:bCs w:val="1"/>
                <w:color w:val="auto"/>
              </w:rPr>
              <w:t>Inputs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3"/>
                <w:szCs w:val="13"/>
                <w:b w:val="1"/>
                <w:bCs w:val="1"/>
                <w:color w:val="auto"/>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3"/>
                <w:szCs w:val="13"/>
                <w:b w:val="1"/>
                <w:bCs w:val="1"/>
                <w:color w:val="auto"/>
              </w:rPr>
              <w:t>Inputs</w:t>
            </w:r>
          </w:p>
        </w:tc>
        <w:tc>
          <w:tcPr>
            <w:tcW w:w="0" w:type="dxa"/>
            <w:vAlign w:val="bottom"/>
          </w:tcPr>
          <w:p>
            <w:pPr>
              <w:spacing w:after="0"/>
              <w:rPr>
                <w:sz w:val="1"/>
                <w:szCs w:val="1"/>
                <w:color w:val="auto"/>
              </w:rPr>
            </w:pPr>
          </w:p>
        </w:tc>
      </w:tr>
      <w:tr>
        <w:trPr>
          <w:trHeight w:val="179"/>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c>
          <w:tcPr>
            <w:tcW w:w="800" w:type="dxa"/>
            <w:vAlign w:val="bottom"/>
            <w:tcBorders>
              <w:bottom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23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Short Term Securities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4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1,873</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Bonds</w:t>
            </w:r>
          </w:p>
        </w:tc>
        <w:tc>
          <w:tcPr>
            <w:tcW w:w="14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Repurchase Agreements</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Backed Securities</w:t>
            </w:r>
          </w:p>
        </w:tc>
        <w:tc>
          <w:tcPr>
            <w:tcW w:w="14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Alternatives</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4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Insurance Contracts</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Derivatives</w:t>
            </w: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2860" w:type="dxa"/>
            <w:vAlign w:val="bottom"/>
            <w:shd w:val="clear" w:color="auto" w:fill="CFF0FC"/>
          </w:tcPr>
          <w:p>
            <w:pPr>
              <w:ind w:left="200"/>
              <w:spacing w:after="0" w:line="201" w:lineRule="exact"/>
              <w:rPr>
                <w:sz w:val="20"/>
                <w:szCs w:val="20"/>
                <w:color w:val="auto"/>
              </w:rPr>
            </w:pPr>
            <w:r>
              <w:rPr>
                <w:rFonts w:ascii="Times New Roman" w:cs="Times New Roman" w:eastAsia="Times New Roman" w:hAnsi="Times New Roman"/>
                <w:sz w:val="18"/>
                <w:szCs w:val="18"/>
                <w:b w:val="1"/>
                <w:bCs w:val="1"/>
                <w:color w:val="auto"/>
              </w:rPr>
              <w:t>Total Investments in the Fair</w:t>
            </w: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5</w:t>
            </w:r>
          </w:p>
        </w:tc>
        <w:tc>
          <w:tcPr>
            <w:tcW w:w="260" w:type="dxa"/>
            <w:vAlign w:val="bottom"/>
            <w:gridSpan w:val="2"/>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2,679</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177</w:t>
            </w:r>
          </w:p>
        </w:tc>
        <w:tc>
          <w:tcPr>
            <w:tcW w:w="2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1,224</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shd w:val="clear" w:color="auto" w:fill="CFF0FC"/>
          </w:tcPr>
          <w:p>
            <w:pPr>
              <w:ind w:left="720"/>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51"/>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Value Hierarchy</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2,685</w:t>
            </w:r>
          </w:p>
        </w:tc>
        <w:tc>
          <w:tcPr>
            <w:tcW w:w="240" w:type="dxa"/>
            <w:vAlign w:val="bottom"/>
            <w:gridSpan w:val="2"/>
            <w:vMerge w:val="continue"/>
            <w:shd w:val="clear" w:color="auto" w:fill="CFF0FC"/>
          </w:tcPr>
          <w:p>
            <w:pPr>
              <w:spacing w:after="0"/>
              <w:rPr>
                <w:sz w:val="21"/>
                <w:szCs w:val="21"/>
                <w:color w:val="auto"/>
              </w:rPr>
            </w:pPr>
          </w:p>
        </w:tc>
        <w:tc>
          <w:tcPr>
            <w:tcW w:w="720" w:type="dxa"/>
            <w:vAlign w:val="bottom"/>
            <w:vMerge w:val="continue"/>
            <w:shd w:val="clear" w:color="auto" w:fill="CFF0FC"/>
          </w:tcPr>
          <w:p>
            <w:pPr>
              <w:spacing w:after="0"/>
              <w:rPr>
                <w:sz w:val="21"/>
                <w:szCs w:val="21"/>
                <w:color w:val="auto"/>
              </w:rPr>
            </w:pPr>
          </w:p>
        </w:tc>
        <w:tc>
          <w:tcPr>
            <w:tcW w:w="260" w:type="dxa"/>
            <w:vAlign w:val="bottom"/>
            <w:gridSpan w:val="2"/>
            <w:vMerge w:val="continue"/>
            <w:shd w:val="clear" w:color="auto" w:fill="CFF0FC"/>
          </w:tcPr>
          <w:p>
            <w:pPr>
              <w:spacing w:after="0"/>
              <w:rPr>
                <w:sz w:val="21"/>
                <w:szCs w:val="21"/>
                <w:color w:val="auto"/>
              </w:rPr>
            </w:pPr>
          </w:p>
        </w:tc>
        <w:tc>
          <w:tcPr>
            <w:tcW w:w="960" w:type="dxa"/>
            <w:vAlign w:val="bottom"/>
            <w:vMerge w:val="continue"/>
            <w:shd w:val="clear" w:color="auto" w:fill="CFF0FC"/>
          </w:tcPr>
          <w:p>
            <w:pPr>
              <w:spacing w:after="0"/>
              <w:rPr>
                <w:sz w:val="21"/>
                <w:szCs w:val="21"/>
                <w:color w:val="auto"/>
              </w:rPr>
            </w:pPr>
          </w:p>
        </w:tc>
        <w:tc>
          <w:tcPr>
            <w:tcW w:w="240" w:type="dxa"/>
            <w:vAlign w:val="bottom"/>
            <w:gridSpan w:val="2"/>
            <w:vMerge w:val="continue"/>
            <w:shd w:val="clear" w:color="auto" w:fill="CFF0FC"/>
          </w:tcPr>
          <w:p>
            <w:pPr>
              <w:spacing w:after="0"/>
              <w:rPr>
                <w:sz w:val="21"/>
                <w:szCs w:val="21"/>
                <w:color w:val="auto"/>
              </w:rPr>
            </w:pPr>
          </w:p>
        </w:tc>
        <w:tc>
          <w:tcPr>
            <w:tcW w:w="94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1,421</w:t>
            </w:r>
          </w:p>
        </w:tc>
        <w:tc>
          <w:tcPr>
            <w:tcW w:w="220" w:type="dxa"/>
            <w:vAlign w:val="bottom"/>
            <w:gridSpan w:val="2"/>
            <w:vMerge w:val="continue"/>
            <w:shd w:val="clear" w:color="auto" w:fill="CFF0FC"/>
          </w:tcPr>
          <w:p>
            <w:pPr>
              <w:spacing w:after="0"/>
              <w:rPr>
                <w:sz w:val="21"/>
                <w:szCs w:val="21"/>
                <w:color w:val="auto"/>
              </w:rPr>
            </w:pPr>
          </w:p>
        </w:tc>
        <w:tc>
          <w:tcPr>
            <w:tcW w:w="680" w:type="dxa"/>
            <w:vAlign w:val="bottom"/>
            <w:vMerge w:val="continue"/>
            <w:shd w:val="clear" w:color="auto" w:fill="CFF0FC"/>
          </w:tcPr>
          <w:p>
            <w:pPr>
              <w:spacing w:after="0"/>
              <w:rPr>
                <w:sz w:val="21"/>
                <w:szCs w:val="21"/>
                <w:color w:val="auto"/>
              </w:rPr>
            </w:pPr>
          </w:p>
        </w:tc>
        <w:tc>
          <w:tcPr>
            <w:tcW w:w="240" w:type="dxa"/>
            <w:vAlign w:val="bottom"/>
            <w:gridSpan w:val="2"/>
            <w:vMerge w:val="continue"/>
            <w:shd w:val="clear" w:color="auto" w:fill="CFF0FC"/>
          </w:tcPr>
          <w:p>
            <w:pPr>
              <w:spacing w:after="0"/>
              <w:rPr>
                <w:sz w:val="21"/>
                <w:szCs w:val="21"/>
                <w:color w:val="auto"/>
              </w:rPr>
            </w:pPr>
          </w:p>
        </w:tc>
        <w:tc>
          <w:tcPr>
            <w:tcW w:w="940" w:type="dxa"/>
            <w:vAlign w:val="bottom"/>
            <w:vMerge w:val="continue"/>
            <w:shd w:val="clear" w:color="auto" w:fill="CFF0FC"/>
          </w:tcPr>
          <w:p>
            <w:pPr>
              <w:spacing w:after="0"/>
              <w:rPr>
                <w:sz w:val="21"/>
                <w:szCs w:val="21"/>
                <w:color w:val="auto"/>
              </w:rPr>
            </w:pPr>
          </w:p>
        </w:tc>
        <w:tc>
          <w:tcPr>
            <w:tcW w:w="200" w:type="dxa"/>
            <w:vAlign w:val="bottom"/>
            <w:gridSpan w:val="2"/>
            <w:vMerge w:val="continue"/>
            <w:shd w:val="clear" w:color="auto" w:fill="CFF0FC"/>
          </w:tcPr>
          <w:p>
            <w:pPr>
              <w:spacing w:after="0"/>
              <w:rPr>
                <w:sz w:val="21"/>
                <w:szCs w:val="21"/>
                <w:color w:val="auto"/>
              </w:rPr>
            </w:pPr>
          </w:p>
        </w:tc>
        <w:tc>
          <w:tcPr>
            <w:tcW w:w="1020" w:type="dxa"/>
            <w:vAlign w:val="bottom"/>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860" w:type="dxa"/>
            <w:vAlign w:val="bottom"/>
            <w:tcBorders>
              <w:top w:val="single" w:sz="8" w:color="CFF0FC"/>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Investments Measured at Net</w:t>
            </w:r>
          </w:p>
        </w:tc>
        <w:tc>
          <w:tcPr>
            <w:tcW w:w="140" w:type="dxa"/>
            <w:vAlign w:val="bottom"/>
            <w:tcBorders>
              <w:top w:val="single" w:sz="8" w:color="CFF0FC"/>
            </w:tcBorders>
          </w:tcPr>
          <w:p>
            <w:pPr>
              <w:spacing w:after="0"/>
              <w:rPr>
                <w:sz w:val="16"/>
                <w:szCs w:val="16"/>
                <w:color w:val="auto"/>
              </w:rPr>
            </w:pPr>
          </w:p>
        </w:tc>
        <w:tc>
          <w:tcPr>
            <w:tcW w:w="68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6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Value, as Practical</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Expedient:</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4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Partnership Interests</w:t>
            </w:r>
          </w:p>
        </w:tc>
        <w:tc>
          <w:tcPr>
            <w:tcW w:w="14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4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Partnership Interests</w:t>
            </w:r>
          </w:p>
        </w:tc>
        <w:tc>
          <w:tcPr>
            <w:tcW w:w="14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Short Term Securities</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4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Pooled Separate Accounts</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Alternatives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Partnership Interests</w:t>
            </w: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4,185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2,064</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4,174</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2,043</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2950210</wp:posOffset>
            </wp:positionH>
            <wp:positionV relativeFrom="paragraph">
              <wp:posOffset>-3115945</wp:posOffset>
            </wp:positionV>
            <wp:extent cx="768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-3098800</wp:posOffset>
            </wp:positionV>
            <wp:extent cx="768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-3115945</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-3098800</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-3115945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-3098800</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-3115945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-3098800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-3115945</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-3098800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2342515</wp:posOffset>
            </wp:positionH>
            <wp:positionV relativeFrom="paragraph">
              <wp:posOffset>-24765</wp:posOffset>
            </wp:positionV>
            <wp:extent cx="7683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2342515</wp:posOffset>
            </wp:positionH>
            <wp:positionV relativeFrom="paragraph">
              <wp:posOffset>-7620</wp:posOffset>
            </wp:positionV>
            <wp:extent cx="7683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-24765</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-7620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and 2022, the Plans did not directly hold any of our common stock.</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 Investments that are measured at Net Asset Value ("NAV") as a practical expedient to estimate fair value are not classified in the fair value hierarchy. Under the practical expedient approach, the NAV is based on the fair value of the underlying investments held by each fund less its liabilities. This practical expedient would not be used when it is determined to be probable that the fund will sell the investment for an amount different than the reported NAV. The fair value amounts presented in this table are intended to permit reconciliation of the fair value hierarchy to total plan assets. Valuation methodologies used for assets and liabilities measured at fair value are as follows:</w:t>
      </w:r>
    </w:p>
    <w:p>
      <w:pPr>
        <w:spacing w:after="0" w:line="76" w:lineRule="exact"/>
        <w:rPr>
          <w:sz w:val="20"/>
          <w:szCs w:val="20"/>
          <w:color w:val="auto"/>
        </w:rPr>
      </w:pPr>
    </w:p>
    <w:p>
      <w:pPr>
        <w:jc w:val="both"/>
        <w:ind w:left="760" w:hanging="378"/>
        <w:spacing w:after="0" w:line="267"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Short Term Securities: </w:t>
      </w:r>
      <w:r>
        <w:rPr>
          <w:rFonts w:ascii="Times New Roman" w:cs="Times New Roman" w:eastAsia="Times New Roman" w:hAnsi="Times New Roman"/>
          <w:sz w:val="18"/>
          <w:szCs w:val="18"/>
          <w:color w:val="auto"/>
        </w:rPr>
        <w:t>Cash and cash equivalents consist of U.S. and foreign currencies. Foreign currencies are reported in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dollars based on currency exchange rates readily available in active markets. Short term securities held in commingled funds or pooled separate accounts are valued at the NAV of units held at year end, as determined by the investment manager.</w:t>
      </w:r>
    </w:p>
    <w:p>
      <w:pPr>
        <w:spacing w:after="0" w:line="64"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Securities: </w:t>
      </w:r>
      <w:r>
        <w:rPr>
          <w:rFonts w:ascii="Times New Roman" w:cs="Times New Roman" w:eastAsia="Times New Roman" w:hAnsi="Times New Roman"/>
          <w:sz w:val="18"/>
          <w:szCs w:val="18"/>
          <w:color w:val="auto"/>
        </w:rPr>
        <w:t>Common and preferred stock, which are held in non-U.S. companies, are valued at the closing price reported on the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on which the individual securities are traded. Commingled funds are primarily valued at the NAV of units held at year end, as determined by a pricing vendor or the fund family. Mutual funds are valued at the NAV of shares held at year end, as determined by the closing price reported on the active market on which the individual securities are traded, or a pricing vendor or the fund family if an active market is not available. Partnership interests in private equity securities are priced based on valuations using the partnership’s latest available financial statements and the plan's percent ownership, adjusted for any cash transactions which occurred between the date of those financial statements and our year end.</w:t>
      </w:r>
    </w:p>
    <w:p>
      <w:pPr>
        <w:spacing w:after="0" w:line="78"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Securities: </w:t>
      </w:r>
      <w:r>
        <w:rPr>
          <w:rFonts w:ascii="Times New Roman" w:cs="Times New Roman" w:eastAsia="Times New Roman" w:hAnsi="Times New Roman"/>
          <w:sz w:val="18"/>
          <w:szCs w:val="18"/>
          <w:color w:val="auto"/>
        </w:rPr>
        <w:t>Corporate and government bonds, including asset backed securities, are valued at the closing price reported on the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on which the individual securities are traded, or based on institutional bid evaluations using proprietary models if an active market is not available. Repurchase agreements are valued at the contract price plus accrued interest. These secured borrowings are collateralized by government bonds held by the non-U.S. plans and have maturities less than one year. Commingled funds are primarily valued at the NAV of units held at year end, as determined by a pricing vendor or the fund family. Mutual funds are valued at the NAV of shares held at year end, as determined by the closing price reported on the active market on which the individual securities are traded, or a pricing vendor or the fund family if an active market is not available. Partnership interests in private credit securities are priced based on valuations using the partnership’s latest available financial statements and the plan's percent ownership, adjusted for any cash transactions which occurred between the date of those financial statements and our year end.</w:t>
      </w:r>
    </w:p>
    <w:p>
      <w:pPr>
        <w:spacing w:after="0" w:line="78"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Alternatives: </w:t>
      </w:r>
      <w:r>
        <w:rPr>
          <w:rFonts w:ascii="Times New Roman" w:cs="Times New Roman" w:eastAsia="Times New Roman" w:hAnsi="Times New Roman"/>
          <w:sz w:val="18"/>
          <w:szCs w:val="18"/>
          <w:color w:val="auto"/>
        </w:rPr>
        <w:t>Commingled and mutual funds, which primarily consist of real estate funds, are valued based on the NAV as determined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manager using the most recent financial information available, or the closing price on the active market on which the individual securities are traded, if an active market is available. Partnership interests are invested in real estate and priced based on valuations using the partnership's latest available financial statements and the plan's percent ownership, adjusted for any cash transactions which occurred between the date of those financial statements and our year end. Other investments primarily include derivative financial instruments, which are valued using independent pricing sources which utilize industry standard derivative valuation models. Directed insurance contracts are valued as reported by the issuer, based on discounted cash flows using a weighted average discount rate of 3.0% at December 31, 2023 and 2022.</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changes in fair value of the non-U.S. pension plan insurance contracts classified as Level 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 w:type="dxa"/>
            <w:vAlign w:val="bottom"/>
          </w:tcPr>
          <w:p>
            <w:pPr>
              <w:spacing w:after="0"/>
              <w:rPr>
                <w:sz w:val="16"/>
                <w:szCs w:val="16"/>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2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20</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relating to instruments still held at the reporting date</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2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21</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0" w:type="dxa"/>
            <w:vAlign w:val="bottom"/>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5938520</wp:posOffset>
            </wp:positionH>
            <wp:positionV relativeFrom="paragraph">
              <wp:posOffset>-1086485</wp:posOffset>
            </wp:positionV>
            <wp:extent cx="12001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Savings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employees in the U.S. and employees of certain non-U.S. locations are eligible to participate in defined contribution savings plans.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recognized for contributions to these plans were $131 million, $127 million and $116 million for 2023, 2022 and 2021,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Stock Compensation Plans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stock compensation plans (collectively, the “Plans”) permit the grant of stock options, stock appreciation rights (“SARs”), performance share units, restricted stock, restricted stock units and other stock-based awards to employees and directors. Our current stock compensation plan, the 2022 Performance Plan, was adopted on April 11, 2022 and expires on February 28, 2032. A total of 21 million shares of our common stock may be issued in respect of grants made under the 2022 Performance Plan. Any shares of common stock that are subject to awards of stock options or SARs will be counted as one share for each share granted for purposes of the aggregate share limit and any shares of common stock that are subject to any other awards will be counted as 2 shares for each share granted for purposes of the aggregate share limit. In addition, shares of common stock that are subject to awards issued under the 2022 Performance Plan or certain prior Plans that expire according to their terms or are forfeited, terminated, canceled or surrendered or are settled, or can be paid, only in cash, or are surrendered in payment of taxes associated with such awards (other than stock options or SARs) will be available for issuance pursuant to a new award under the 2022 Performance Plan. Shares issued under our Plans are usually issued from shares of our common stock held in treasury.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Grants of stock options and SARs (collectively referred to as “options”) under the Plans generally have a graded vesting period of four years whereby one-fourth of the awards vest on each of the first four anniversaries of the grant date, an exercise price equal to the fair market value of one share of our common stock on the date of grant (i.e., the closing market price on that date) and a contractual term of ten years. The exercise of tandem SARs cancels an equivalent number of stock options and, conversely, the exercise of stock options cancels an equivalent number of tandem SARs. Option grants are cancelled on, or 90 days following, termination of employment unless termination is due to retirement, death or disability under certain circumstances, in which case, all outstanding options vest fully and remain outstanding for a term set forth in the related grant agreement.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options during 2023: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restart"/>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5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5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1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28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150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1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7"/>
        </w:trPr>
        <w:tc>
          <w:tcPr>
            <w:tcW w:w="580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6"/>
                <w:szCs w:val="16"/>
                <w:color w:val="auto"/>
              </w:rPr>
            </w:pPr>
          </w:p>
        </w:tc>
        <w:tc>
          <w:tcPr>
            <w:tcW w:w="12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w:t>
            </w:r>
          </w:p>
        </w:tc>
        <w:tc>
          <w:tcPr>
            <w:tcW w:w="12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5,927,398</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17.20</w:t>
            </w: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(329,824 )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10.12</w:t>
            </w:r>
          </w:p>
        </w:tc>
        <w:tc>
          <w:tcPr>
            <w:tcW w:w="16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8"/>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expired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(315,118 )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15.69</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cancelled</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(217,641 )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17.48</w:t>
            </w:r>
          </w:p>
        </w:tc>
        <w:tc>
          <w:tcPr>
            <w:tcW w:w="1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w:t>
            </w:r>
          </w:p>
        </w:tc>
        <w:tc>
          <w:tcPr>
            <w:tcW w:w="1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5,064,815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17.74</w:t>
            </w:r>
          </w:p>
        </w:tc>
        <w:tc>
          <w:tcPr>
            <w:tcW w:w="1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13.1</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w:t>
            </w:r>
          </w:p>
        </w:tc>
        <w:tc>
          <w:tcPr>
            <w:tcW w:w="12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5,052,481</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17.76</w:t>
            </w:r>
          </w:p>
        </w:tc>
        <w:tc>
          <w:tcPr>
            <w:tcW w:w="138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w:t>
            </w:r>
          </w:p>
        </w:tc>
        <w:tc>
          <w:tcPr>
            <w:tcW w:w="1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3,861,080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20.12</w:t>
            </w:r>
          </w:p>
        </w:tc>
        <w:tc>
          <w:tcPr>
            <w:tcW w:w="1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 for grant at December 31</w:t>
            </w:r>
          </w:p>
        </w:tc>
        <w:tc>
          <w:tcPr>
            <w:tcW w:w="12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18,710,713</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-727075</wp:posOffset>
            </wp:positionV>
            <wp:extent cx="8572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-384810</wp:posOffset>
            </wp:positionV>
            <wp:extent cx="8572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-367665</wp:posOffset>
            </wp:positionV>
            <wp:extent cx="8572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-24765</wp:posOffset>
            </wp:positionV>
            <wp:extent cx="8572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-7620</wp:posOffset>
            </wp:positionV>
            <wp:extent cx="8572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ind w:left="5480" w:right="2120" w:hanging="5480"/>
        <w:spacing w:after="0" w:line="531" w:lineRule="auto"/>
        <w:rPr>
          <w:sz w:val="20"/>
          <w:szCs w:val="20"/>
          <w:color w:val="auto"/>
        </w:rPr>
      </w:pPr>
      <w:r>
        <w:rPr>
          <w:rFonts w:ascii="Times New Roman" w:cs="Times New Roman" w:eastAsia="Times New Roman" w:hAnsi="Times New Roman"/>
          <w:sz w:val="18"/>
          <w:szCs w:val="18"/>
          <w:color w:val="auto"/>
        </w:rPr>
        <w:t>In addition, the aggregate intrinsic value of options exercised in 2022 and 2021 was $0.4 million and $11 million, respectively.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Significant option groups outstanding at December 31, 2023 and related weighted average exercise price and remaining contractual term information follows:</w:t>
      </w:r>
    </w:p>
    <w:tbl>
      <w:tblPr>
        <w:tblLayout w:type="fixed"/>
        <w:tblInd w:w="0" w:type="dxa"/>
        <w:tblCellMar>
          <w:top w:w="0" w:type="dxa"/>
          <w:left w:w="0" w:type="dxa"/>
          <w:bottom w:w="0" w:type="dxa"/>
          <w:right w:w="0" w:type="dxa"/>
        </w:tblCellMar>
      </w:tblPr>
      <w:tr>
        <w:trPr>
          <w:trHeight w:val="138"/>
        </w:trPr>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vMerge w:val="restart"/>
          </w:tcPr>
          <w:p>
            <w:pPr>
              <w:jc w:val="right"/>
              <w:ind w:right="90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2300" w:type="dxa"/>
            <w:vAlign w:val="bottom"/>
            <w:vMerge w:val="restart"/>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60" w:type="dxa"/>
            <w:vAlign w:val="bottom"/>
            <w:vMerge w:val="restart"/>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226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87"/>
        </w:trPr>
        <w:tc>
          <w:tcPr>
            <w:tcW w:w="13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6"/>
                <w:szCs w:val="16"/>
                <w:color w:val="auto"/>
              </w:rPr>
            </w:pPr>
          </w:p>
        </w:tc>
        <w:tc>
          <w:tcPr>
            <w:tcW w:w="230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22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0" w:type="dxa"/>
            <w:vAlign w:val="bottom"/>
          </w:tcPr>
          <w:p>
            <w:pPr>
              <w:spacing w:after="0"/>
              <w:rPr>
                <w:sz w:val="1"/>
                <w:szCs w:val="1"/>
                <w:color w:val="auto"/>
              </w:rPr>
            </w:pPr>
          </w:p>
        </w:tc>
      </w:tr>
      <w:tr>
        <w:trPr>
          <w:trHeight w:val="236"/>
        </w:trPr>
        <w:tc>
          <w:tcPr>
            <w:tcW w:w="1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2/25/2020</w:t>
            </w:r>
          </w:p>
        </w:tc>
        <w:tc>
          <w:tcPr>
            <w:tcW w:w="252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3,110,848</w:t>
            </w:r>
          </w:p>
        </w:tc>
        <w:tc>
          <w:tcPr>
            <w:tcW w:w="25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1,907,360</w:t>
            </w: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10.12</w:t>
            </w:r>
          </w:p>
        </w:tc>
        <w:tc>
          <w:tcPr>
            <w:tcW w:w="2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38"/>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2/27/2017</w:t>
            </w:r>
          </w:p>
        </w:tc>
        <w:tc>
          <w:tcPr>
            <w:tcW w:w="25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511,087</w:t>
            </w:r>
          </w:p>
        </w:tc>
        <w:tc>
          <w:tcPr>
            <w:tcW w:w="25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511,087</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35.26</w:t>
            </w:r>
          </w:p>
        </w:tc>
        <w:tc>
          <w:tcPr>
            <w:tcW w:w="2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47"/>
        </w:trPr>
        <w:tc>
          <w:tcPr>
            <w:tcW w:w="1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2/22/2016</w:t>
            </w:r>
          </w:p>
        </w:tc>
        <w:tc>
          <w:tcPr>
            <w:tcW w:w="252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492,706</w:t>
            </w:r>
          </w:p>
        </w:tc>
        <w:tc>
          <w:tcPr>
            <w:tcW w:w="25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492,706</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29.90</w:t>
            </w:r>
          </w:p>
        </w:tc>
        <w:tc>
          <w:tcPr>
            <w:tcW w:w="2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8"/>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2/23/2015</w:t>
            </w:r>
          </w:p>
        </w:tc>
        <w:tc>
          <w:tcPr>
            <w:tcW w:w="25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444,806</w:t>
            </w:r>
          </w:p>
        </w:tc>
        <w:tc>
          <w:tcPr>
            <w:tcW w:w="25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444,806</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27.16</w:t>
            </w:r>
          </w:p>
        </w:tc>
        <w:tc>
          <w:tcPr>
            <w:tcW w:w="2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7"/>
        </w:trPr>
        <w:tc>
          <w:tcPr>
            <w:tcW w:w="1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2/24/2014</w:t>
            </w:r>
          </w:p>
        </w:tc>
        <w:tc>
          <w:tcPr>
            <w:tcW w:w="252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338,440</w:t>
            </w:r>
          </w:p>
        </w:tc>
        <w:tc>
          <w:tcPr>
            <w:tcW w:w="25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338,440</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26.44</w:t>
            </w:r>
          </w:p>
        </w:tc>
        <w:tc>
          <w:tcPr>
            <w:tcW w:w="2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43"/>
        </w:trPr>
        <w:tc>
          <w:tcPr>
            <w:tcW w:w="13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4"/>
                <w:szCs w:val="24"/>
                <w:color w:val="auto"/>
                <w:vertAlign w:val="superscript"/>
              </w:rPr>
              <w:t>(1)</w:t>
            </w:r>
          </w:p>
        </w:tc>
        <w:tc>
          <w:tcPr>
            <w:tcW w:w="25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166,928</w:t>
            </w:r>
          </w:p>
        </w:tc>
        <w:tc>
          <w:tcPr>
            <w:tcW w:w="25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166,681</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5,064,815</w:t>
            </w:r>
          </w:p>
        </w:tc>
        <w:tc>
          <w:tcPr>
            <w:tcW w:w="200" w:type="dxa"/>
            <w:vAlign w:val="bottom"/>
          </w:tcPr>
          <w:p>
            <w:pPr>
              <w:spacing w:after="0"/>
              <w:rPr>
                <w:sz w:val="20"/>
                <w:szCs w:val="20"/>
                <w:color w:val="auto"/>
              </w:rPr>
            </w:pPr>
          </w:p>
        </w:tc>
        <w:tc>
          <w:tcPr>
            <w:tcW w:w="23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3,861,080</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760" w:hanging="752"/>
        <w:spacing w:after="0" w:line="281"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in the “All Other” category had exercise prices ranging from $22.27 to $32.72. The weighted average exercise price for options outstanding and exercisable in that category was $27.61 for both, while the remaining weighted average contractual term was 1.4 years for both.</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Performance share units granted under the Plans are earned over a three-year period beginning January 1 of the year of grant. Total units earned for grants made in 2023, 2022 and 2021 may vary between 0% and 200% of the units granted based on the attainment of performance targets during the related three-year period and continued service. The performance targets are established by the Board of Directors. All of the units earned will be settled through the issuance of an equivalent number of shares of our common stock and are equity classified.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performance share units during 2023:</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2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6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27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January 1</w:t>
            </w:r>
          </w:p>
        </w:tc>
        <w:tc>
          <w:tcPr>
            <w:tcW w:w="16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663,690</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19.43</w:t>
            </w:r>
          </w:p>
        </w:tc>
        <w:tc>
          <w:tcPr>
            <w:tcW w:w="0" w:type="dxa"/>
            <w:vAlign w:val="bottom"/>
          </w:tcPr>
          <w:p>
            <w:pPr>
              <w:spacing w:after="0"/>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granted</w:t>
            </w: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381,169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Units vested</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(336,402 )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forfeited</w:t>
            </w:r>
          </w:p>
        </w:tc>
        <w:tc>
          <w:tcPr>
            <w:tcW w:w="16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w:t>
            </w:r>
          </w:p>
        </w:tc>
        <w:tc>
          <w:tcPr>
            <w:tcW w:w="16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708,457</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14.69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-24765</wp:posOffset>
            </wp:positionV>
            <wp:extent cx="11112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-7620</wp:posOffset>
            </wp:positionV>
            <wp:extent cx="11112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measure the fair value of grants of performance share units based primarily on the closing market price of a share of our common stock on the date of the grant, modified as appropriate to take into account the features of such grants.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Restricted stock units granted under the Plans typically vest over a three-year period beginning on the date of grant. Restricted stock units will be settled through the issuance of an equivalent number of shares of our common stock and are equity classified.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restricted stock units during 2023:</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3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580" w:type="dxa"/>
            <w:vAlign w:val="bottom"/>
          </w:tcPr>
          <w:p>
            <w:pPr>
              <w:spacing w:after="0"/>
              <w:rPr>
                <w:sz w:val="12"/>
                <w:szCs w:val="12"/>
                <w:color w:val="auto"/>
              </w:rPr>
            </w:pPr>
          </w:p>
        </w:tc>
        <w:tc>
          <w:tcPr>
            <w:tcW w:w="1740" w:type="dxa"/>
            <w:vAlign w:val="bottom"/>
            <w:vMerge w:val="restart"/>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31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7580" w:type="dxa"/>
            <w:vAlign w:val="bottom"/>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January 1</w:t>
            </w:r>
          </w:p>
        </w:tc>
        <w:tc>
          <w:tcPr>
            <w:tcW w:w="1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1,374,608</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12.95</w:t>
            </w:r>
          </w:p>
        </w:tc>
        <w:tc>
          <w:tcPr>
            <w:tcW w:w="0" w:type="dxa"/>
            <w:vAlign w:val="bottom"/>
          </w:tcPr>
          <w:p>
            <w:pPr>
              <w:spacing w:after="0"/>
              <w:rPr>
                <w:sz w:val="1"/>
                <w:szCs w:val="1"/>
                <w:color w:val="auto"/>
              </w:rPr>
            </w:pPr>
          </w:p>
        </w:tc>
      </w:tr>
      <w:tr>
        <w:trPr>
          <w:trHeight w:val="23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granted</w:t>
            </w:r>
          </w:p>
        </w:tc>
        <w:tc>
          <w:tcPr>
            <w:tcW w:w="1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1,361,432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Units vested</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(1,270,023 )</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forfeited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(63,887 )</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76"/>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w:t>
            </w:r>
          </w:p>
        </w:tc>
        <w:tc>
          <w:tcPr>
            <w:tcW w:w="17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1,402,131</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13.60</w:t>
            </w: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vested but not released</w:t>
            </w:r>
          </w:p>
        </w:tc>
        <w:tc>
          <w:tcPr>
            <w:tcW w:w="1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1,884,258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76"/>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w:t>
            </w:r>
          </w:p>
        </w:tc>
        <w:tc>
          <w:tcPr>
            <w:tcW w:w="17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3,286,389</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14.10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-367665</wp:posOffset>
            </wp:positionV>
            <wp:extent cx="13716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-350520</wp:posOffset>
            </wp:positionV>
            <wp:extent cx="13716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-24765</wp:posOffset>
            </wp:positionV>
            <wp:extent cx="13716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-7620</wp:posOffset>
            </wp:positionV>
            <wp:extent cx="13716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measure the fair value of grants of restricted stock units based on the closing market price of a share of our common stock on the date of the grant.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cash payments made to settle SARs and cash received from the exercise of stock options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recognized</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After-tax stock-based compensation expense</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 to settle SARs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received from stock option exercises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-333375</wp:posOffset>
            </wp:positionV>
            <wp:extent cx="939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-316230</wp:posOffset>
            </wp:positionV>
            <wp:extent cx="939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-333375</wp:posOffset>
            </wp:positionV>
            <wp:extent cx="939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-316230</wp:posOffset>
            </wp:positionV>
            <wp:extent cx="939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As of December 31, 2023, unearned compensation cost related to the unvested portion of all stock-based awards was $14 million and is expected to be recognized over the remaining vesting period of the respective grants, through the fourth quarter of 2026.</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recorded liabilities totaling $80 million at both December 31, 2023 and 2022, for anticipated costs related to various environmental matters, primarily the remediation of numerous waste disposal sites and certain properties sold by us. Of these amounts, $27 million and $20 million were included in Other Current Liabilities at December 31, 2023 and 2022,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Compensation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recorded liabilities, on a discounted basis, totaling $167 million and $187 million for anticipated costs related to workers’ compensation at December 31, 2023 and 2022, respectively. Of these amounts, $37 million were included in Current Liabilities as part of Compensation and Benefits at both December 31, 2023 and 2022,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December 31, 2023 and 2022, the liability was discounted using a risk-free rate of return. At December 31, 2023, we estimate that it is reasonably possible that the liability could exceed our recorded amounts by approximately $20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Product Liability and Other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recorded liabilities for both asserted and unasserted claims totaling $438 million and $412 million, including related legal fees expected to be incurred, for potential product liability and other tort claims, including asbestos claims, at December 31, 2023 and 2022, respectively. Of these amounts, $46 million and $39 million were included in Other Current Liabilities at December 31, 2023 and 2022, respectively. The amounts recorded were estimated based on an assessment of potential liability using an analysis of available information with respect to pending claims, historical experience and, where available, recent and current trends. Based upon that assessment, at December 31, 2023,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have recorded an indemnification asset within Accounts Receivable of $11 million and within Other Assets of $4 million from Sumitomo Rubber Industries, Ltd.'s ("SRI") obligation to indemnify us for certain product liability claims related to products manufactured by a formerly consolidated joint venture entity, subject to certain caps and restrictions.</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Asbestos. </w:t>
      </w:r>
      <w:r>
        <w:rPr>
          <w:rFonts w:ascii="Times New Roman" w:cs="Times New Roman" w:eastAsia="Times New Roman" w:hAnsi="Times New Roman"/>
          <w:sz w:val="18"/>
          <w:szCs w:val="18"/>
          <w:color w:val="auto"/>
        </w:rPr>
        <w:t>We are a defendant in numerous lawsuits alleging various asbestos-related personal injuries purported to result from alleged exposure to asbestos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certain products manufactured by us or present in certain of our facilities. Typically, these lawsuits have been brought against multiple defendants in state and federal courts. To date, we have disposed of approximately 159,900 claims by defending, obtaining a dismissal thereof, or entering into a settlement. The sum of our accrued asbestos-related liability and gross payments to date, including legal costs, by us and our insurers totaled $580 million and $570 million through December 31, 2023 and 2022, respectively.</w:t>
      </w:r>
    </w:p>
    <w:p>
      <w:pPr>
        <w:spacing w:after="0" w:line="7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 summary of recent approximate asbestos claims activity follows. Because claims are often filed and disposed of by dismissal or settlement in large numbers, the amount and timing of settlements and the number of open claims during a particular period can fluctuate significantly.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beginning of year</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37,200</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38,200</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38,700</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 filed during the year</w:t>
            </w:r>
          </w:p>
        </w:tc>
        <w:tc>
          <w:tcPr>
            <w:tcW w:w="320" w:type="dxa"/>
            <w:vAlign w:val="bottom"/>
          </w:tcPr>
          <w:p>
            <w:pPr>
              <w:spacing w:after="0"/>
              <w:rPr>
                <w:sz w:val="20"/>
                <w:szCs w:val="20"/>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1,000</w:t>
            </w:r>
          </w:p>
        </w:tc>
      </w:tr>
      <w:tr>
        <w:trPr>
          <w:trHeight w:val="247"/>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settled/dismissed</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(1,500 )</w:t>
            </w: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end of year</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35,800</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37,200</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38,200</w:t>
            </w: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63"/>
        </w:trPr>
        <w:tc>
          <w:tcPr>
            <w:tcW w:w="6640" w:type="dxa"/>
            <w:vAlign w:val="bottom"/>
            <w:tcBorders>
              <w:bottom w:val="single" w:sz="8" w:color="CFF0FC"/>
            </w:tcBorders>
            <w:shd w:val="clear" w:color="auto" w:fill="CFF0FC"/>
          </w:tcPr>
          <w:p>
            <w:pPr>
              <w:ind w:left="20"/>
              <w:spacing w:after="0" w:line="224" w:lineRule="exact"/>
              <w:rPr>
                <w:sz w:val="20"/>
                <w:szCs w:val="20"/>
                <w:color w:val="auto"/>
              </w:rPr>
            </w:pPr>
            <w:r>
              <w:rPr>
                <w:rFonts w:ascii="Times New Roman" w:cs="Times New Roman" w:eastAsia="Times New Roman" w:hAnsi="Times New Roman"/>
                <w:sz w:val="18"/>
                <w:szCs w:val="18"/>
                <w:color w:val="auto"/>
              </w:rPr>
              <w:t>Payments</w:t>
            </w:r>
            <w:r>
              <w:rPr>
                <w:rFonts w:ascii="Times New Roman" w:cs="Times New Roman" w:eastAsia="Times New Roman" w:hAnsi="Times New Roman"/>
                <w:sz w:val="24"/>
                <w:szCs w:val="24"/>
                <w:color w:val="auto"/>
                <w:vertAlign w:val="superscript"/>
              </w:rPr>
              <w:t>(1)</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-367665</wp:posOffset>
            </wp:positionV>
            <wp:extent cx="10287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-367665</wp:posOffset>
            </wp:positionV>
            <wp:extent cx="939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-24765</wp:posOffset>
            </wp:positionV>
            <wp:extent cx="10287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10287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939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939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ind w:left="760" w:hanging="752"/>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payments made during the period by us and our insurers on asbestos litigation defense and claim resolution.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$120 million and $125 million at December 31, 2023 and 2022,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insurance receivable related to asbestos claims of $66 million and $70 million at December 31, 2023 and 2022, respectively. We expect that approximately 55% of asbestos claim related losses would be recoverable through insurance during the ten-year period covered by the estimated liability. Of these amounts, $10 million and $11 million were included in Current Assets as part of Accounts Receivable at December 31, 2023 and December 31, 2022, respectively.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believe that, at December 31, 2023, we had approximately $520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as well as coverage for indemnity and defense costs for asbestos premises claims pursuant to coverage-in-place agreements.</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believe that our reserve for asbestos claims, and the receivable for recoveries from insurance carriers recorded in respect of these claims, reflects reasonable and probable estimates of these amounts. The estimate of the liabilities and assets related to pending and expected future asbestos claims and insurance recoveries is subject to numerous uncertainties, including, but not limited to, changes in:</w:t>
      </w:r>
    </w:p>
    <w:p>
      <w:pPr>
        <w:spacing w:after="0" w:line="69" w:lineRule="exact"/>
        <w:rPr>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litigation environment,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 governing the compensation of asbestos claimants,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recoverability of receivables due to potential insolvency of insurance carriers,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defending and resolving claims,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payments made to claimants from other sources, including other defendants and 524(g) trusts.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Matters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apply consistent transfer pricing policies and practices globally, support transfer prices through economic studies, seek advance pricing agreements and joint audits to the extent possible and believe our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defending such claims, our results of operations could be materially adversely affected in the case we are unsuccessful in the defense of existing or future claims.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Binding Commitments and Guarantees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2023, we had binding commitments for raw materials, capital expenditures, utilities and various other types of contracts totaling approximately $2.8 billion, of which approximately $1.6 billion relate to commitments on contracts that extend beyond 2024. In addition, we have other contractual commitments, the amounts of which cannot be estimated, pursuant to certain long term agreements under which we will purchase varying amounts of certain raw materials and finished goods at agreed upon base prices that may be subject to periodic adjustments for changes in raw material costs and market price adjustments, or in quantities that may be subject to periodic adjustments for changes in our or our suppliers' production levels.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have off-balance sheet financial guarantees and other commitments totaling $31 million and $32 million at December 31, 2023 and 2022, respectively. We issue guarantees to financial institutions or other entities on behalf of certain of our affiliates, lessors or customers. We generally do not receive a separate premium as consideration for, and do not require collateral in connection with, the issuance of these guarantees.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2015, as a result of the dissolution of the global alliance with SRI, we issued a guarantee of $46 million to an insurance company related to SRI's obligation to pay certain outstanding workers' compensation claims of a formerly consolidated joint venture entity. As of December 31, 2023, this guarantee amount has been reduced to $17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our performance under these guarantees is triggered by non-payment or another specified event, we would be obligated to make payment to the financial institution or the other entity, and would typically have recourse to the affiliate, lessor, customer, or SRI. We are unable to estimate the extent to which our affiliates’, lessors’, customers’, or SRI's assets would be adequate to recover any payments made by us under the related guarantees.</w:t>
      </w:r>
    </w:p>
    <w:p>
      <w:pPr>
        <w:spacing w:after="0" w:line="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have an agreement to provide a revolving loan commitment to TireHub, LLC of up to $100 million. At December 31, 2023, $96 million was drawn on this commitment, which includes $2 million of interest. At December 31, 2022, $17 million was drawn on this commitment.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2023, we were a party to various agreements under which we had assumed obligations to indemnify the counterparties from certain potential claims and losses. These agreements typically involve standard commercial activities undertaken by us in the normal course of business; the sale of assets by us; the formation or dissolution of joint venture businesses to which we had contributed assets in exchange for ownership interests; and other financial transactions. Indemnifications provided by us pursuant to these agreements relate to various matters including, among other things, environmental, tax and shareholder matters; intellectual property rights; government regulations; employment-related matters; and dealer, supplier and other commercial matters.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Certain indemnifications expire from time to time, and certain other indemnifications are not subject to an expiration date. In addition, our potential liability under certain indemnifications is subject to maximum caps, while other indemnifications are not subject to caps. Although we have been subject to indemnification claims in the past, we cannot reasonably estimate the number, type and size of indemnification claims that may arise in the future. Due to these and other uncertainties associated with the indemnifications, our maximum exposure to loss under these agreements cannot be estimated.</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determined that there are no indemnifications or guarantees other than liabilities for which amounts are already recorded or reserved in our consolidated financial statements under which it is probable that we have incurred a liability.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recorded $21 million and $28 million for potential claims under warranties offered by us at December 31, 2023 and December 31, 2022, respectively, the majority of which are recorded in Other Current Liabilities.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warranty reserve during 2023 and 2022: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238"/>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47"/>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Expense recorded during the period</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r>
      <w:tr>
        <w:trPr>
          <w:trHeight w:val="238"/>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Translation adjustment</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8"/>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cash dividends were paid on our common stock in 2023, 2022 or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2023, 2022 and 2021, we did not repurchase any shares from employees.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AOCL by component for the years ended December 31, 2023, 2022 and 2021, after tax and minority interest: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100" w:type="dxa"/>
            <w:vAlign w:val="bottom"/>
            <w:gridSpan w:val="2"/>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Net Actuarial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Losses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2"/>
                <w:szCs w:val="12"/>
                <w:color w:val="auto"/>
              </w:rPr>
            </w:pPr>
          </w:p>
        </w:tc>
        <w:tc>
          <w:tcPr>
            <w:tcW w:w="11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Pr>
          <w:p>
            <w:pPr>
              <w:spacing w:after="0"/>
              <w:rPr>
                <w:sz w:val="12"/>
                <w:szCs w:val="12"/>
                <w:color w:val="auto"/>
              </w:rPr>
            </w:pPr>
          </w:p>
        </w:tc>
        <w:tc>
          <w:tcPr>
            <w:tcW w:w="1100" w:type="dxa"/>
            <w:vAlign w:val="bottom"/>
            <w:gridSpan w:val="2"/>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from Securities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Pr>
          <w:p>
            <w:pPr>
              <w:spacing w:after="0"/>
              <w:rPr>
                <w:sz w:val="16"/>
                <w:szCs w:val="16"/>
                <w:color w:val="auto"/>
              </w:rPr>
            </w:pPr>
          </w:p>
        </w:tc>
        <w:tc>
          <w:tcPr>
            <w:tcW w:w="1080" w:type="dxa"/>
            <w:vAlign w:val="bottom"/>
            <w:tcBorders>
              <w:bottom w:val="single" w:sz="8" w:color="auto"/>
            </w:tcBorders>
            <w:gridSpan w:val="2"/>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(1,284 )</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(2,856 )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(4,135 )</w:t>
            </w:r>
          </w:p>
        </w:tc>
        <w:tc>
          <w:tcPr>
            <w:tcW w:w="0" w:type="dxa"/>
            <w:vAlign w:val="bottom"/>
          </w:tcPr>
          <w:p>
            <w:pPr>
              <w:spacing w:after="0"/>
              <w:rPr>
                <w:sz w:val="1"/>
                <w:szCs w:val="1"/>
                <w:color w:val="auto"/>
              </w:rPr>
            </w:pPr>
          </w:p>
        </w:tc>
      </w:tr>
      <w:tr>
        <w:trPr>
          <w:trHeight w:val="238"/>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7"/>
        </w:trPr>
        <w:tc>
          <w:tcPr>
            <w:tcW w:w="5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(1,402 )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(2,565 )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(3,963 )</w:t>
            </w:r>
          </w:p>
        </w:tc>
        <w:tc>
          <w:tcPr>
            <w:tcW w:w="0" w:type="dxa"/>
            <w:vAlign w:val="bottom"/>
          </w:tcPr>
          <w:p>
            <w:pPr>
              <w:spacing w:after="0"/>
              <w:rPr>
                <w:sz w:val="1"/>
                <w:szCs w:val="1"/>
                <w:color w:val="auto"/>
              </w:rPr>
            </w:pPr>
          </w:p>
        </w:tc>
      </w:tr>
      <w:tr>
        <w:trPr>
          <w:trHeight w:val="245"/>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43"/>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(1,663 )</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(2,215 )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(3,875 )</w:t>
            </w:r>
          </w:p>
        </w:tc>
        <w:tc>
          <w:tcPr>
            <w:tcW w:w="0" w:type="dxa"/>
            <w:vAlign w:val="bottom"/>
          </w:tcPr>
          <w:p>
            <w:pPr>
              <w:spacing w:after="0"/>
              <w:rPr>
                <w:sz w:val="1"/>
                <w:szCs w:val="1"/>
                <w:color w:val="auto"/>
              </w:rPr>
            </w:pPr>
          </w:p>
        </w:tc>
      </w:tr>
      <w:tr>
        <w:trPr>
          <w:trHeight w:val="238"/>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47"/>
        </w:trPr>
        <w:tc>
          <w:tcPr>
            <w:tcW w:w="5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(1,613 )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(2,224 )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(3,835 )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-1129665</wp:posOffset>
            </wp:positionV>
            <wp:extent cx="7683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-1129665</wp:posOffset>
            </wp:positionV>
            <wp:extent cx="7683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-1129665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-1129665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-187960</wp:posOffset>
            </wp:positionV>
            <wp:extent cx="7683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-187960</wp:posOffset>
            </wp:positionV>
            <wp:extent cx="7683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-187960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-187960</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reclassifications out of AOCL for the years ended December 31, 2023, 2022 and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Expense</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9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31"/>
        </w:trPr>
        <w:tc>
          <w:tcPr>
            <w:tcW w:w="536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Component of AOCL</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gridSpan w:val="6"/>
          </w:tcPr>
          <w:p>
            <w:pPr>
              <w:jc w:val="center"/>
              <w:ind w:left="133"/>
              <w:spacing w:after="0" w:line="131" w:lineRule="exact"/>
              <w:rPr>
                <w:sz w:val="20"/>
                <w:szCs w:val="20"/>
                <w:color w:val="auto"/>
              </w:rPr>
            </w:pPr>
            <w:r>
              <w:rPr>
                <w:rFonts w:ascii="Times New Roman" w:cs="Times New Roman" w:eastAsia="Times New Roman" w:hAnsi="Times New Roman"/>
                <w:sz w:val="14"/>
                <w:szCs w:val="14"/>
                <w:b w:val="1"/>
                <w:bCs w:val="1"/>
                <w:color w:val="auto"/>
              </w:rPr>
              <w:t>Amount Reclassified from</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AOCL</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236"/>
        </w:trPr>
        <w:tc>
          <w:tcPr>
            <w:tcW w:w="5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and unrecognized gains and losses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125</w:t>
            </w:r>
          </w:p>
        </w:tc>
        <w:tc>
          <w:tcPr>
            <w:tcW w:w="42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20"/>
                <w:szCs w:val="20"/>
                <w:color w:val="auto"/>
              </w:rPr>
            </w:pPr>
          </w:p>
        </w:tc>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11"/>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Immediate recognition of prior service cost and unrecognized gains and</w:t>
            </w:r>
          </w:p>
        </w:tc>
        <w:tc>
          <w:tcPr>
            <w:tcW w:w="160" w:type="dxa"/>
            <w:vAlign w:val="bottom"/>
          </w:tcPr>
          <w:p>
            <w:pPr>
              <w:spacing w:after="0"/>
              <w:rPr>
                <w:sz w:val="18"/>
                <w:szCs w:val="18"/>
                <w:color w:val="auto"/>
              </w:rPr>
            </w:pPr>
          </w:p>
        </w:tc>
        <w:tc>
          <w:tcPr>
            <w:tcW w:w="68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w:t>
            </w:r>
          </w:p>
        </w:tc>
        <w:tc>
          <w:tcPr>
            <w:tcW w:w="0" w:type="dxa"/>
            <w:vAlign w:val="bottom"/>
          </w:tcPr>
          <w:p>
            <w:pPr>
              <w:spacing w:after="0"/>
              <w:rPr>
                <w:sz w:val="1"/>
                <w:szCs w:val="1"/>
                <w:color w:val="auto"/>
              </w:rPr>
            </w:pPr>
          </w:p>
        </w:tc>
      </w:tr>
      <w:tr>
        <w:trPr>
          <w:trHeight w:val="234"/>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losses due to curtailments, settlements and divestitures</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w:t>
            </w:r>
          </w:p>
        </w:tc>
        <w:tc>
          <w:tcPr>
            <w:tcW w:w="0" w:type="dxa"/>
            <w:vAlign w:val="bottom"/>
          </w:tcPr>
          <w:p>
            <w:pPr>
              <w:spacing w:after="0"/>
              <w:rPr>
                <w:sz w:val="1"/>
                <w:szCs w:val="1"/>
                <w:color w:val="auto"/>
              </w:rPr>
            </w:pPr>
          </w:p>
        </w:tc>
      </w:tr>
      <w:tr>
        <w:trPr>
          <w:trHeight w:val="236"/>
        </w:trPr>
        <w:tc>
          <w:tcPr>
            <w:tcW w:w="5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Unrecognized Net Actuarial Losses and Prior Service Costs, before tax</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249</w:t>
            </w:r>
          </w:p>
        </w:tc>
        <w:tc>
          <w:tcPr>
            <w:tcW w:w="42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FF0FC"/>
          </w:tcPr>
          <w:p>
            <w:pPr>
              <w:spacing w:after="0"/>
              <w:rPr>
                <w:sz w:val="20"/>
                <w:szCs w:val="20"/>
                <w:color w:val="auto"/>
              </w:rPr>
            </w:pPr>
          </w:p>
        </w:tc>
        <w:tc>
          <w:tcPr>
            <w:tcW w:w="29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21"/>
                <w:szCs w:val="21"/>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36"/>
        </w:trPr>
        <w:tc>
          <w:tcPr>
            <w:tcW w:w="54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188</w:t>
            </w:r>
          </w:p>
        </w:tc>
        <w:tc>
          <w:tcPr>
            <w:tcW w:w="42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FF0FC"/>
          </w:tcPr>
          <w:p>
            <w:pPr>
              <w:spacing w:after="0"/>
              <w:rPr>
                <w:sz w:val="20"/>
                <w:szCs w:val="20"/>
                <w:color w:val="auto"/>
              </w:rPr>
            </w:pPr>
          </w:p>
        </w:tc>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38"/>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Derivative (Gains) Losses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0" w:type="dxa"/>
            <w:vAlign w:val="bottom"/>
          </w:tcPr>
          <w:p>
            <w:pPr>
              <w:spacing w:after="0"/>
              <w:rPr>
                <w:sz w:val="1"/>
                <w:szCs w:val="1"/>
                <w:color w:val="auto"/>
              </w:rPr>
            </w:pPr>
          </w:p>
        </w:tc>
      </w:tr>
      <w:tr>
        <w:trPr>
          <w:trHeight w:val="247"/>
        </w:trPr>
        <w:tc>
          <w:tcPr>
            <w:tcW w:w="54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36"/>
        </w:trPr>
        <w:tc>
          <w:tcPr>
            <w:tcW w:w="5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76"/>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120</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186</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w:t>
            </w:r>
          </w:p>
        </w:tc>
        <w:tc>
          <w:tcPr>
            <w:tcW w:w="100" w:type="dxa"/>
            <w:vAlign w:val="bottom"/>
            <w:tcBorders>
              <w:bottom w:val="single" w:sz="8" w:color="CFF0FC"/>
            </w:tcBorders>
            <w:shd w:val="clear" w:color="auto" w:fill="CFF0FC"/>
          </w:tcPr>
          <w:p>
            <w:pPr>
              <w:spacing w:after="0"/>
              <w:rPr>
                <w:sz w:val="24"/>
                <w:szCs w:val="24"/>
                <w:color w:val="auto"/>
              </w:rPr>
            </w:pPr>
          </w:p>
        </w:tc>
        <w:tc>
          <w:tcPr>
            <w:tcW w:w="2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-350520</wp:posOffset>
            </wp:positionV>
            <wp:extent cx="7683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-350520</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-350520</wp:posOffset>
            </wp:positionV>
            <wp:extent cx="685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-24765</wp:posOffset>
            </wp:positionV>
            <wp:extent cx="7683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-7620</wp:posOffset>
            </wp:positionV>
            <wp:extent cx="7683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-24765</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-7620</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-24765</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-7620</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comprehensive income (loss) attributable to minority shareholders: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Minority Shareholders</w:t>
            </w:r>
          </w:p>
        </w:tc>
        <w:tc>
          <w:tcPr>
            <w:tcW w:w="2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8"/>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Decrease/Increase in net actuarial losses</w:t>
            </w:r>
          </w:p>
        </w:tc>
        <w:tc>
          <w:tcPr>
            <w:tcW w:w="2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8"/>
        </w:trPr>
        <w:tc>
          <w:tcPr>
            <w:tcW w:w="5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34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0" w:type="dxa"/>
            <w:vAlign w:val="bottom"/>
          </w:tcPr>
          <w:p>
            <w:pPr>
              <w:spacing w:after="0"/>
              <w:rPr>
                <w:sz w:val="1"/>
                <w:szCs w:val="1"/>
                <w:color w:val="auto"/>
              </w:rPr>
            </w:pPr>
          </w:p>
        </w:tc>
      </w:tr>
      <w:tr>
        <w:trPr>
          <w:trHeight w:val="23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Minority Shareholders</w:t>
            </w:r>
          </w:p>
        </w:tc>
        <w:tc>
          <w:tcPr>
            <w:tcW w:w="2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280" w:type="dxa"/>
            <w:vAlign w:val="bottom"/>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4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4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consistent with Rule 13a-15(e) under the Securities Exchange Act of 1934,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SEC’s rules and forms, and to ensure that such information is accumulated and communicated to our management, including our principal executive and financial officers, as appropriate, to allow timely decisions regarding required disclosure.</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December 31, 2023 (the end of the period covered by this Annual Report on Form 10-K).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Assessment of Internal Control Over Financial Reporting</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Management’s report on our internal control over financial reporting is presented on page 55 of this Annual Report on Form 10-K. The report of PricewaterhouseCoopers LLP relating to the consolidated financial statements, financial statement schedule, and the effectiveness of internal control over financial reporting is presented on page 56 of this Annual Report on Form 10-K.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December 31, 2023 that have materially affected, or are reasonably likely to materially affect, our internal control over financial reporting.</w:t>
      </w:r>
    </w:p>
    <w:p>
      <w:pPr>
        <w:spacing w:after="0" w:line="15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During the quarterly period ended December 31, 2023, none of our directors or officers informed us of the adoption, modification or termination of a "Rule 10b5-1 trading arrangement" or a "non-Rule 10b5-1 trading arrangement," as those terms are defined in Regulation S-K, Item 408.</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information required by this item about Goodyear’s executive officers is included in Part I, “Item 1. Business” of this Annual Report on Form 10-K under the caption “Information About Our Executive Officers.” All other information required by this item is incorporated herein by reference from the registrant’s definitive Proxy Statement for the Annual Meeting of Shareholders to be held April 8, 2024 to be filed with the SEC pursuant to Regulation 14A (the "Proxy Statement").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Code of Ethics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Goodyear has adopted a code of business conduct and ethics for directors, officers and employees, known as the Business Conduct Manual. Goodyear also has adopted a conflict of interest policy applicable to directors and executive officers. Both of these documents are available on Goodyear’s website at: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https://corporate.goodyear.com/us/en/investors/governance/documents-charters.html.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may request a free copy of these documents from:</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200 Innovation Way</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Akron, Ohio 44316-0001</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(330) 796-3751</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Goodyear’s Code of Ethics for the Chief Executive Officer and Senior Financial Officers (the “Code of Ethics”) is also posted on Goodyear’s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 to and waivers of the Code of Ethics will be disclosed on the website.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on our website is not incorporated by reference in or considered to be a part of this Annual Report on Form 10-K.</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Proxy Statement.</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See Part II, Item 5 for information regarding our equity compensation plans. The other information required by this item is incorporated herein by reference from the Proxy Statement.</w:t>
      </w:r>
    </w:p>
    <w:p>
      <w:pPr>
        <w:spacing w:after="0" w:line="15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Proxy Statement.</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Proxy Statement.</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DOCUMENTS FILED AS PART OF THIS REPORT:</w:t>
      </w:r>
    </w:p>
    <w:p>
      <w:pPr>
        <w:spacing w:after="0" w:line="117" w:lineRule="exact"/>
        <w:rPr>
          <w:sz w:val="20"/>
          <w:szCs w:val="20"/>
          <w:color w:val="auto"/>
        </w:rPr>
      </w:pPr>
    </w:p>
    <w:p>
      <w:pPr>
        <w:ind w:left="380" w:hanging="372"/>
        <w:spacing w:after="0"/>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See Index to Consolidated Financial Statements on page 54 of this Annual Report.</w:t>
      </w:r>
    </w:p>
    <w:p>
      <w:pPr>
        <w:spacing w:after="0" w:line="116" w:lineRule="exact"/>
        <w:rPr>
          <w:rFonts w:ascii="Times New Roman" w:cs="Times New Roman" w:eastAsia="Times New Roman" w:hAnsi="Times New Roman"/>
          <w:sz w:val="18"/>
          <w:szCs w:val="18"/>
          <w:color w:val="auto"/>
        </w:rPr>
      </w:pPr>
    </w:p>
    <w:p>
      <w:pPr>
        <w:ind w:left="380" w:hanging="372"/>
        <w:spacing w:after="0" w:line="286"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 Schedules</w:t>
      </w:r>
      <w:r>
        <w:rPr>
          <w:rFonts w:ascii="Times New Roman" w:cs="Times New Roman" w:eastAsia="Times New Roman" w:hAnsi="Times New Roman"/>
          <w:sz w:val="18"/>
          <w:szCs w:val="18"/>
          <w:color w:val="auto"/>
        </w:rPr>
        <w:t>: See Index to Financial Statement Schedules attached to this Annual Report at page FS-1. The Financial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at page FS-2 is incorporated into and made a part of this Annual Report.</w:t>
      </w:r>
    </w:p>
    <w:p>
      <w:pPr>
        <w:spacing w:after="0" w:line="46" w:lineRule="exact"/>
        <w:rPr>
          <w:rFonts w:ascii="Times New Roman" w:cs="Times New Roman" w:eastAsia="Times New Roman" w:hAnsi="Times New Roman"/>
          <w:sz w:val="18"/>
          <w:szCs w:val="18"/>
          <w:color w:val="auto"/>
        </w:rPr>
      </w:pPr>
    </w:p>
    <w:p>
      <w:pPr>
        <w:ind w:left="380" w:hanging="372"/>
        <w:spacing w:after="0" w:line="286"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 required to be filed by Item 601 of Regulation S-K</w:t>
      </w:r>
      <w:r>
        <w:rPr>
          <w:rFonts w:ascii="Times New Roman" w:cs="Times New Roman" w:eastAsia="Times New Roman" w:hAnsi="Times New Roman"/>
          <w:sz w:val="18"/>
          <w:szCs w:val="18"/>
          <w:color w:val="auto"/>
        </w:rPr>
        <w:t>: See the Index of Exhibits at pages X-1 through X-6, inclusive, which is attached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incorporated into and made a part of this Annual Report.</w:t>
      </w:r>
    </w:p>
    <w:p>
      <w:pPr>
        <w:spacing w:after="0" w:line="15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ITEMS 8 AND 15(a)(2) OF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COMPANY'S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91440</wp:posOffset>
            </wp:positionV>
            <wp:extent cx="329628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5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 No.</w:t>
            </w:r>
          </w:p>
        </w:tc>
        <w:tc>
          <w:tcPr>
            <w:tcW w:w="1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 Number</w:t>
            </w:r>
          </w:p>
        </w:tc>
        <w:tc>
          <w:tcPr>
            <w:tcW w:w="0" w:type="dxa"/>
            <w:vAlign w:val="bottom"/>
          </w:tcPr>
          <w:p>
            <w:pPr>
              <w:spacing w:after="0"/>
              <w:rPr>
                <w:sz w:val="1"/>
                <w:szCs w:val="1"/>
                <w:color w:val="auto"/>
              </w:rPr>
            </w:pPr>
          </w:p>
        </w:tc>
      </w:tr>
      <w:tr>
        <w:trPr>
          <w:trHeight w:val="25"/>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Valuation and Qualifying Accounts</w:t>
            </w:r>
          </w:p>
        </w:tc>
        <w:tc>
          <w:tcPr>
            <w:tcW w:w="166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720" w:type="dxa"/>
            <w:vAlign w:val="bottom"/>
            <w:gridSpan w:val="2"/>
            <w:vMerge w:val="continue"/>
          </w:tcPr>
          <w:p>
            <w:pPr>
              <w:spacing w:after="0"/>
              <w:rPr>
                <w:sz w:val="14"/>
                <w:szCs w:val="14"/>
                <w:color w:val="auto"/>
              </w:rPr>
            </w:pPr>
          </w:p>
        </w:tc>
        <w:tc>
          <w:tcPr>
            <w:tcW w:w="16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II</w:t>
            </w:r>
          </w:p>
        </w:tc>
        <w:tc>
          <w:tcPr>
            <w:tcW w:w="180" w:type="dxa"/>
            <w:vAlign w:val="bottom"/>
            <w:vMerge w:val="continue"/>
          </w:tcPr>
          <w:p>
            <w:pPr>
              <w:spacing w:after="0"/>
              <w:rPr>
                <w:sz w:val="14"/>
                <w:szCs w:val="14"/>
                <w:color w:val="auto"/>
              </w:rPr>
            </w:pPr>
          </w:p>
        </w:tc>
        <w:tc>
          <w:tcPr>
            <w:tcW w:w="16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FS-2</w:t>
            </w:r>
          </w:p>
        </w:tc>
        <w:tc>
          <w:tcPr>
            <w:tcW w:w="0" w:type="dxa"/>
            <w:vAlign w:val="bottom"/>
          </w:tcPr>
          <w:p>
            <w:pPr>
              <w:spacing w:after="0"/>
              <w:rPr>
                <w:sz w:val="1"/>
                <w:szCs w:val="1"/>
                <w:color w:val="auto"/>
              </w:rPr>
            </w:pPr>
          </w:p>
        </w:tc>
      </w:tr>
      <w:tr>
        <w:trPr>
          <w:trHeight w:val="20"/>
        </w:trPr>
        <w:tc>
          <w:tcPr>
            <w:tcW w:w="2540" w:type="dxa"/>
            <w:vAlign w:val="bottom"/>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shown in the financial statements or notes thereto.</w:t>
      </w:r>
    </w:p>
    <w:p>
      <w:pPr>
        <w:spacing w:after="0" w:line="1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Financial statements relating to 50 percent or less owned companies, the investments in which are accounted for by the equity method, have been omitted as permitted because these companies would not constitute a significant subsidiary.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jc w:val="center"/>
              <w:ind w:right="437"/>
              <w:spacing w:after="0" w:line="131"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1"/>
                <w:szCs w:val="11"/>
                <w:color w:val="auto"/>
              </w:rPr>
            </w:pPr>
          </w:p>
        </w:tc>
        <w:tc>
          <w:tcPr>
            <w:tcW w:w="1060" w:type="dxa"/>
            <w:vAlign w:val="bottom"/>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100" w:type="dxa"/>
            <w:vAlign w:val="bottom"/>
          </w:tcPr>
          <w:p>
            <w:pPr>
              <w:spacing w:after="0"/>
              <w:rPr>
                <w:sz w:val="11"/>
                <w:szCs w:val="11"/>
                <w:color w:val="auto"/>
              </w:rPr>
            </w:pPr>
          </w:p>
        </w:tc>
        <w:tc>
          <w:tcPr>
            <w:tcW w:w="84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1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1"/>
                <w:szCs w:val="11"/>
                <w:color w:val="auto"/>
              </w:rPr>
            </w:pPr>
          </w:p>
        </w:tc>
        <w:tc>
          <w:tcPr>
            <w:tcW w:w="800" w:type="dxa"/>
            <w:vAlign w:val="bottom"/>
          </w:tcPr>
          <w:p>
            <w:pPr>
              <w:jc w:val="center"/>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jc w:val="center"/>
              <w:ind w:right="437"/>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2"/>
                <w:szCs w:val="12"/>
                <w:color w:val="auto"/>
              </w:rPr>
            </w:pPr>
          </w:p>
        </w:tc>
        <w:tc>
          <w:tcPr>
            <w:tcW w:w="80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48"/>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80" w:type="dxa"/>
            <w:vAlign w:val="bottom"/>
          </w:tcPr>
          <w:p>
            <w:pPr>
              <w:spacing w:after="0"/>
              <w:rPr>
                <w:sz w:val="12"/>
                <w:szCs w:val="12"/>
                <w:color w:val="auto"/>
              </w:rPr>
            </w:pPr>
          </w:p>
        </w:tc>
        <w:tc>
          <w:tcPr>
            <w:tcW w:w="1120" w:type="dxa"/>
            <w:vAlign w:val="bottom"/>
          </w:tcPr>
          <w:p>
            <w:pPr>
              <w:jc w:val="center"/>
              <w:ind w:right="437"/>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2"/>
                <w:szCs w:val="12"/>
                <w:color w:val="auto"/>
              </w:rPr>
            </w:pPr>
          </w:p>
        </w:tc>
        <w:tc>
          <w:tcPr>
            <w:tcW w:w="1060" w:type="dxa"/>
            <w:vAlign w:val="bottom"/>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00" w:type="dxa"/>
            <w:vAlign w:val="bottom"/>
          </w:tcPr>
          <w:p>
            <w:pPr>
              <w:spacing w:after="0"/>
              <w:rPr>
                <w:sz w:val="12"/>
                <w:szCs w:val="12"/>
                <w:color w:val="auto"/>
              </w:rPr>
            </w:pPr>
          </w:p>
        </w:tc>
        <w:tc>
          <w:tcPr>
            <w:tcW w:w="8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w w:val="99"/>
              </w:rPr>
              <w:t>(credited)</w:t>
            </w:r>
          </w:p>
        </w:tc>
        <w:tc>
          <w:tcPr>
            <w:tcW w:w="340" w:type="dxa"/>
            <w:vAlign w:val="bottom"/>
          </w:tcPr>
          <w:p>
            <w:pPr>
              <w:spacing w:after="0"/>
              <w:rPr>
                <w:sz w:val="12"/>
                <w:szCs w:val="12"/>
                <w:color w:val="auto"/>
              </w:rPr>
            </w:pPr>
          </w:p>
        </w:tc>
        <w:tc>
          <w:tcPr>
            <w:tcW w:w="820" w:type="dxa"/>
            <w:vAlign w:val="bottom"/>
          </w:tcPr>
          <w:p>
            <w:pPr>
              <w:jc w:val="center"/>
              <w:ind w:right="273"/>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240" w:type="dxa"/>
            <w:vAlign w:val="bottom"/>
          </w:tcPr>
          <w:p>
            <w:pPr>
              <w:spacing w:after="0"/>
              <w:rPr>
                <w:sz w:val="12"/>
                <w:szCs w:val="12"/>
                <w:color w:val="auto"/>
              </w:rPr>
            </w:pPr>
          </w:p>
        </w:tc>
        <w:tc>
          <w:tcPr>
            <w:tcW w:w="860" w:type="dxa"/>
            <w:vAlign w:val="bottom"/>
          </w:tcPr>
          <w:p>
            <w:pPr>
              <w:jc w:val="center"/>
              <w:ind w:right="275"/>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220" w:type="dxa"/>
            <w:vAlign w:val="bottom"/>
          </w:tcPr>
          <w:p>
            <w:pPr>
              <w:spacing w:after="0"/>
              <w:rPr>
                <w:sz w:val="12"/>
                <w:szCs w:val="12"/>
                <w:color w:val="auto"/>
              </w:rPr>
            </w:pPr>
          </w:p>
        </w:tc>
        <w:tc>
          <w:tcPr>
            <w:tcW w:w="8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37"/>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 income</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to AOCL</w:t>
            </w: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reserves (a)</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69"/>
        </w:trPr>
        <w:tc>
          <w:tcPr>
            <w:tcW w:w="38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3"/>
        </w:trPr>
        <w:tc>
          <w:tcPr>
            <w:tcW w:w="3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 deferred tax assets</w:t>
            </w:r>
          </w:p>
        </w:tc>
        <w:tc>
          <w:tcPr>
            <w:tcW w:w="8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7"/>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40"/>
        </w:trPr>
        <w:tc>
          <w:tcPr>
            <w:tcW w:w="3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3"/>
        </w:trPr>
        <w:tc>
          <w:tcPr>
            <w:tcW w:w="3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 deferred tax assets</w:t>
            </w:r>
          </w:p>
        </w:tc>
        <w:tc>
          <w:tcPr>
            <w:tcW w:w="8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7"/>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40"/>
        </w:trPr>
        <w:tc>
          <w:tcPr>
            <w:tcW w:w="3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3"/>
        </w:trPr>
        <w:tc>
          <w:tcPr>
            <w:tcW w:w="3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 deferred tax assets</w:t>
            </w:r>
          </w:p>
        </w:tc>
        <w:tc>
          <w:tcPr>
            <w:tcW w:w="8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7"/>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60" w:hanging="752"/>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charged off.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w:t>
            </w:r>
          </w:p>
        </w:tc>
        <w:tc>
          <w:tcPr>
            <w:tcW w:w="1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48"/>
        </w:trPr>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Table</w:t>
            </w:r>
          </w:p>
        </w:tc>
        <w:tc>
          <w:tcPr>
            <w:tcW w:w="120" w:type="dxa"/>
            <w:vAlign w:val="bottom"/>
          </w:tcPr>
          <w:p>
            <w:pPr>
              <w:spacing w:after="0"/>
              <w:rPr>
                <w:sz w:val="12"/>
                <w:szCs w:val="12"/>
                <w:color w:val="auto"/>
              </w:rPr>
            </w:pPr>
          </w:p>
        </w:tc>
        <w:tc>
          <w:tcPr>
            <w:tcW w:w="9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120" w:type="dxa"/>
            <w:vAlign w:val="bottom"/>
          </w:tcPr>
          <w:p>
            <w:pPr>
              <w:spacing w:after="0"/>
              <w:rPr>
                <w:sz w:val="16"/>
                <w:szCs w:val="16"/>
                <w:color w:val="auto"/>
              </w:rPr>
            </w:pPr>
          </w:p>
        </w:tc>
        <w:tc>
          <w:tcPr>
            <w:tcW w:w="9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060" w:hanging="639"/>
        <w:spacing w:after="0"/>
        <w:tabs>
          <w:tab w:leader="none" w:pos="10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of Acquisition, Reorganization, Arrangement, Liquidation or Succession</w:t>
      </w:r>
    </w:p>
    <w:p>
      <w:pPr>
        <w:spacing w:after="0" w:line="188" w:lineRule="exact"/>
        <w:rPr>
          <w:sz w:val="20"/>
          <w:szCs w:val="20"/>
          <w:color w:val="auto"/>
        </w:rPr>
      </w:pPr>
    </w:p>
    <w:p>
      <w:pPr>
        <w:jc w:val="both"/>
        <w:ind w:left="1060" w:right="1020" w:hanging="693"/>
        <w:spacing w:after="0" w:line="265" w:lineRule="auto"/>
        <w:tabs>
          <w:tab w:leader="none" w:pos="1060" w:val="left"/>
        </w:tabs>
        <w:numPr>
          <w:ilvl w:val="0"/>
          <w:numId w:val="52"/>
        </w:numPr>
        <w:rPr>
          <w:rFonts w:ascii="Times New Roman" w:cs="Times New Roman" w:eastAsia="Times New Roman" w:hAnsi="Times New Roman"/>
          <w:sz w:val="18"/>
          <w:szCs w:val="18"/>
          <w:color w:val="0000FF"/>
        </w:rPr>
      </w:pPr>
      <w:hyperlink r:id="rId647">
        <w:r>
          <w:rPr>
            <w:rFonts w:ascii="Times New Roman" w:cs="Times New Roman" w:eastAsia="Times New Roman" w:hAnsi="Times New Roman"/>
            <w:sz w:val="18"/>
            <w:szCs w:val="18"/>
            <w:u w:val="single" w:color="auto"/>
            <w:color w:val="0000FF"/>
          </w:rPr>
          <w:t>Agreement and Plan of Merger, dated as of February 22, 2021, by and among the Company, Vulcan Merger Sub Inc. and</w:t>
        </w:r>
      </w:hyperlink>
      <w:r>
        <w:rPr>
          <w:rFonts w:ascii="Times New Roman" w:cs="Times New Roman" w:eastAsia="Times New Roman" w:hAnsi="Times New Roman"/>
          <w:sz w:val="18"/>
          <w:szCs w:val="18"/>
          <w:u w:val="single" w:color="auto"/>
          <w:color w:val="0000FF"/>
        </w:rPr>
        <w:t xml:space="preserve"> </w:t>
      </w:r>
      <w:hyperlink r:id="rId647">
        <w:r>
          <w:rPr>
            <w:rFonts w:ascii="Times New Roman" w:cs="Times New Roman" w:eastAsia="Times New Roman" w:hAnsi="Times New Roman"/>
            <w:sz w:val="18"/>
            <w:szCs w:val="18"/>
            <w:u w:val="single" w:color="auto"/>
            <w:color w:val="0000FF"/>
          </w:rPr>
          <w:t>Cooper Tire &amp; Rubber Company (incorporated by reference, filed as Exhibit 2.1 to the Company’s Current Report on Form 8-</w:t>
        </w:r>
      </w:hyperlink>
      <w:hyperlink r:id="rId647">
        <w:r>
          <w:rPr>
            <w:rFonts w:ascii="Times New Roman" w:cs="Times New Roman" w:eastAsia="Times New Roman" w:hAnsi="Times New Roman"/>
            <w:sz w:val="18"/>
            <w:szCs w:val="18"/>
            <w:u w:val="single" w:color="auto"/>
            <w:color w:val="0000FF"/>
          </w:rPr>
          <w:t>K, filed February 25, 2021, File No. 1-1927).</w:t>
        </w:r>
        <w:r>
          <w:rPr>
            <w:rFonts w:ascii="Times New Roman" w:cs="Times New Roman" w:eastAsia="Times New Roman" w:hAnsi="Times New Roman"/>
            <w:sz w:val="18"/>
            <w:szCs w:val="18"/>
            <w:color w:val="000000"/>
          </w:rPr>
          <w: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673100</wp:posOffset>
            </wp:positionH>
            <wp:positionV relativeFrom="paragraph">
              <wp:posOffset>-311785</wp:posOffset>
            </wp:positionV>
            <wp:extent cx="581342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8">
                      <a:extLst>
                        <a:ext uri="{28A0092B-C50C-407E-A947-70E740481C1C}"/>
                      </a:extLst>
                    </a:blip>
                    <a:srcRect/>
                    <a:stretch>
                      <a:fillRect/>
                    </a:stretch>
                  </pic:blipFill>
                  <pic:spPr bwMode="auto">
                    <a:xfrm>
                      <a:off x="0" y="0"/>
                      <a:ext cx="581342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-174625</wp:posOffset>
            </wp:positionV>
            <wp:extent cx="58121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9">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-38100</wp:posOffset>
            </wp:positionV>
            <wp:extent cx="20662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0">
                      <a:extLst>
                        <a:ext uri="{28A0092B-C50C-407E-A947-70E740481C1C}"/>
                      </a:extLst>
                    </a:blip>
                    <a:srcRect/>
                    <a:stretch>
                      <a:fillRect/>
                    </a:stretch>
                  </pic:blipFill>
                  <pic:spPr bwMode="auto">
                    <a:xfrm>
                      <a:off x="0" y="0"/>
                      <a:ext cx="2066290" cy="8255"/>
                    </a:xfrm>
                    <a:prstGeom prst="rect">
                      <a:avLst/>
                    </a:prstGeom>
                    <a:noFill/>
                  </pic:spPr>
                </pic:pic>
              </a:graphicData>
            </a:graphic>
          </wp:anchor>
        </w:drawing>
      </w:r>
    </w:p>
    <w:p>
      <w:pPr>
        <w:spacing w:after="0" w:line="113" w:lineRule="exact"/>
        <w:rPr>
          <w:rFonts w:ascii="Times New Roman" w:cs="Times New Roman" w:eastAsia="Times New Roman" w:hAnsi="Times New Roman"/>
          <w:sz w:val="18"/>
          <w:szCs w:val="18"/>
          <w:u w:val="single" w:color="auto"/>
          <w:color w:val="0000FF"/>
        </w:rPr>
      </w:pPr>
    </w:p>
    <w:p>
      <w:pPr>
        <w:ind w:left="1060" w:hanging="639"/>
        <w:spacing w:after="0"/>
        <w:tabs>
          <w:tab w:leader="none" w:pos="10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Articles of Incorporation and By-Laws</w:t>
      </w:r>
    </w:p>
    <w:p>
      <w:pPr>
        <w:spacing w:after="0" w:line="188" w:lineRule="exact"/>
        <w:rPr>
          <w:rFonts w:ascii="Times New Roman" w:cs="Times New Roman" w:eastAsia="Times New Roman" w:hAnsi="Times New Roman"/>
          <w:sz w:val="18"/>
          <w:szCs w:val="18"/>
          <w:u w:val="single" w:color="auto"/>
          <w:color w:val="0000FF"/>
        </w:rPr>
      </w:pPr>
    </w:p>
    <w:p>
      <w:pPr>
        <w:jc w:val="both"/>
        <w:ind w:left="1060" w:right="1020" w:hanging="693"/>
        <w:spacing w:after="0" w:line="254" w:lineRule="auto"/>
        <w:tabs>
          <w:tab w:leader="none" w:pos="1060" w:val="left"/>
        </w:tabs>
        <w:numPr>
          <w:ilvl w:val="0"/>
          <w:numId w:val="54"/>
        </w:numPr>
        <w:rPr>
          <w:rFonts w:ascii="Times New Roman" w:cs="Times New Roman" w:eastAsia="Times New Roman" w:hAnsi="Times New Roman"/>
          <w:sz w:val="18"/>
          <w:szCs w:val="18"/>
          <w:u w:val="single" w:color="auto"/>
          <w:color w:val="0000FF"/>
        </w:rPr>
      </w:pPr>
      <w:hyperlink r:id="rId651">
        <w:r>
          <w:rPr>
            <w:rFonts w:ascii="Times New Roman" w:cs="Times New Roman" w:eastAsia="Times New Roman" w:hAnsi="Times New Roman"/>
            <w:sz w:val="18"/>
            <w:szCs w:val="18"/>
            <w:u w:val="single" w:color="auto"/>
            <w:color w:val="0000FF"/>
          </w:rPr>
          <w:t>Certificate of Amended Articles of Incorporation of The Goodyear Tire &amp; Rubber Company, dated December 20, 1954,</w:t>
        </w:r>
      </w:hyperlink>
      <w:r>
        <w:rPr>
          <w:rFonts w:ascii="Times New Roman" w:cs="Times New Roman" w:eastAsia="Times New Roman" w:hAnsi="Times New Roman"/>
          <w:sz w:val="18"/>
          <w:szCs w:val="18"/>
          <w:u w:val="single" w:color="auto"/>
          <w:color w:val="0000FF"/>
        </w:rPr>
        <w:t xml:space="preserve"> </w:t>
      </w:r>
      <w:hyperlink r:id="rId651">
        <w:r>
          <w:rPr>
            <w:rFonts w:ascii="Times New Roman" w:cs="Times New Roman" w:eastAsia="Times New Roman" w:hAnsi="Times New Roman"/>
            <w:sz w:val="18"/>
            <w:szCs w:val="18"/>
            <w:u w:val="single" w:color="auto"/>
            <w:color w:val="0000FF"/>
          </w:rPr>
          <w:t>Certificate of Amendment to Amended Articles of Incorporation of the Company, dated April 6, 1993, Certificate of</w:t>
        </w:r>
      </w:hyperlink>
      <w:r>
        <w:rPr>
          <w:rFonts w:ascii="Times New Roman" w:cs="Times New Roman" w:eastAsia="Times New Roman" w:hAnsi="Times New Roman"/>
          <w:sz w:val="18"/>
          <w:szCs w:val="18"/>
          <w:u w:val="single" w:color="auto"/>
          <w:color w:val="0000FF"/>
        </w:rPr>
        <w:t xml:space="preserve"> </w:t>
      </w:r>
      <w:hyperlink r:id="rId651">
        <w:r>
          <w:rPr>
            <w:rFonts w:ascii="Times New Roman" w:cs="Times New Roman" w:eastAsia="Times New Roman" w:hAnsi="Times New Roman"/>
            <w:sz w:val="18"/>
            <w:szCs w:val="18"/>
            <w:u w:val="single" w:color="auto"/>
            <w:color w:val="0000FF"/>
          </w:rPr>
          <w:t>Amendment to Amended Articles of Incorporation of the Company, dated June 4, 1996, Certificate of Amendment to</w:t>
        </w:r>
      </w:hyperlink>
      <w:r>
        <w:rPr>
          <w:rFonts w:ascii="Times New Roman" w:cs="Times New Roman" w:eastAsia="Times New Roman" w:hAnsi="Times New Roman"/>
          <w:sz w:val="18"/>
          <w:szCs w:val="18"/>
          <w:u w:val="single" w:color="auto"/>
          <w:color w:val="0000FF"/>
        </w:rPr>
        <w:t xml:space="preserve"> </w:t>
      </w:r>
      <w:hyperlink r:id="rId651">
        <w:r>
          <w:rPr>
            <w:rFonts w:ascii="Times New Roman" w:cs="Times New Roman" w:eastAsia="Times New Roman" w:hAnsi="Times New Roman"/>
            <w:sz w:val="18"/>
            <w:szCs w:val="18"/>
            <w:u w:val="single" w:color="auto"/>
            <w:color w:val="0000FF"/>
          </w:rPr>
          <w:t>Amended Articles of Incorporation of the Company, dated April 18, 2006, Certificate of Amendment to Amended Articles of</w:t>
        </w:r>
      </w:hyperlink>
      <w:r>
        <w:rPr>
          <w:rFonts w:ascii="Times New Roman" w:cs="Times New Roman" w:eastAsia="Times New Roman" w:hAnsi="Times New Roman"/>
          <w:sz w:val="18"/>
          <w:szCs w:val="18"/>
          <w:u w:val="single" w:color="auto"/>
          <w:color w:val="0000FF"/>
        </w:rPr>
        <w:t xml:space="preserve"> </w:t>
      </w:r>
      <w:hyperlink r:id="rId651">
        <w:r>
          <w:rPr>
            <w:rFonts w:ascii="Times New Roman" w:cs="Times New Roman" w:eastAsia="Times New Roman" w:hAnsi="Times New Roman"/>
            <w:sz w:val="18"/>
            <w:szCs w:val="18"/>
            <w:u w:val="single" w:color="auto"/>
            <w:color w:val="0000FF"/>
          </w:rPr>
          <w:t>Incorporation of the Company, dated April 22, 2009, Certificate of Amendment to Amended Articles of Incorporation of the</w:t>
        </w:r>
      </w:hyperlink>
      <w:r>
        <w:rPr>
          <w:rFonts w:ascii="Times New Roman" w:cs="Times New Roman" w:eastAsia="Times New Roman" w:hAnsi="Times New Roman"/>
          <w:sz w:val="18"/>
          <w:szCs w:val="18"/>
          <w:u w:val="single" w:color="auto"/>
          <w:color w:val="0000FF"/>
        </w:rPr>
        <w:t xml:space="preserve"> </w:t>
      </w:r>
      <w:hyperlink r:id="rId651">
        <w:r>
          <w:rPr>
            <w:rFonts w:ascii="Times New Roman" w:cs="Times New Roman" w:eastAsia="Times New Roman" w:hAnsi="Times New Roman"/>
            <w:sz w:val="18"/>
            <w:szCs w:val="18"/>
            <w:u w:val="single" w:color="auto"/>
            <w:color w:val="0000FF"/>
          </w:rPr>
          <w:t>Company, dated March 30, 2011, Certificate of Amendment to Amended Articles of Incorporation of the Company, dated</w:t>
        </w:r>
      </w:hyperlink>
      <w:r>
        <w:rPr>
          <w:rFonts w:ascii="Times New Roman" w:cs="Times New Roman" w:eastAsia="Times New Roman" w:hAnsi="Times New Roman"/>
          <w:sz w:val="18"/>
          <w:szCs w:val="18"/>
          <w:u w:val="single" w:color="auto"/>
          <w:color w:val="0000FF"/>
        </w:rPr>
        <w:t xml:space="preserve"> </w:t>
      </w:r>
      <w:hyperlink r:id="rId651">
        <w:r>
          <w:rPr>
            <w:rFonts w:ascii="Times New Roman" w:cs="Times New Roman" w:eastAsia="Times New Roman" w:hAnsi="Times New Roman"/>
            <w:sz w:val="18"/>
            <w:szCs w:val="18"/>
            <w:u w:val="single" w:color="auto"/>
            <w:color w:val="0000FF"/>
          </w:rPr>
          <w:t>April 16, 2015, and Certificate of Amendment to Amended Articles of Incorporation of the Company, dated April 19, 2023,</w:t>
        </w:r>
      </w:hyperlink>
      <w:r>
        <w:rPr>
          <w:rFonts w:ascii="Times New Roman" w:cs="Times New Roman" w:eastAsia="Times New Roman" w:hAnsi="Times New Roman"/>
          <w:sz w:val="18"/>
          <w:szCs w:val="18"/>
          <w:u w:val="single" w:color="auto"/>
          <w:color w:val="0000FF"/>
        </w:rPr>
        <w:t xml:space="preserve"> </w:t>
      </w:r>
      <w:hyperlink r:id="rId651">
        <w:r>
          <w:rPr>
            <w:rFonts w:ascii="Times New Roman" w:cs="Times New Roman" w:eastAsia="Times New Roman" w:hAnsi="Times New Roman"/>
            <w:sz w:val="18"/>
            <w:szCs w:val="18"/>
            <w:u w:val="single" w:color="auto"/>
            <w:color w:val="0000FF"/>
          </w:rPr>
          <w:t>together comprising the Company's Articles of Incorporation, as amended (incorporated by reference, filed as Exhibit 3.1 to</w:t>
        </w:r>
      </w:hyperlink>
      <w:r>
        <w:rPr>
          <w:rFonts w:ascii="Times New Roman" w:cs="Times New Roman" w:eastAsia="Times New Roman" w:hAnsi="Times New Roman"/>
          <w:sz w:val="18"/>
          <w:szCs w:val="18"/>
          <w:u w:val="single" w:color="auto"/>
          <w:color w:val="0000FF"/>
        </w:rPr>
        <w:t xml:space="preserve"> </w:t>
      </w:r>
      <w:hyperlink r:id="rId651">
        <w:r>
          <w:rPr>
            <w:rFonts w:ascii="Times New Roman" w:cs="Times New Roman" w:eastAsia="Times New Roman" w:hAnsi="Times New Roman"/>
            <w:sz w:val="18"/>
            <w:szCs w:val="18"/>
            <w:u w:val="single" w:color="auto"/>
            <w:color w:val="0000FF"/>
          </w:rPr>
          <w:t>the Company’s Quarterly Report on Form 10-Q for the quarter ended March 31, 2023, File No. 1-1927).</w:t>
        </w:r>
      </w:hyperlink>
    </w:p>
    <w:p>
      <w:pPr>
        <w:spacing w:after="0" w:line="145" w:lineRule="exact"/>
        <w:rPr>
          <w:rFonts w:ascii="Times New Roman" w:cs="Times New Roman" w:eastAsia="Times New Roman" w:hAnsi="Times New Roman"/>
          <w:sz w:val="18"/>
          <w:szCs w:val="18"/>
          <w:u w:val="single" w:color="auto"/>
          <w:color w:val="0000FF"/>
        </w:rPr>
      </w:pPr>
    </w:p>
    <w:p>
      <w:pPr>
        <w:jc w:val="both"/>
        <w:ind w:left="1060" w:right="1020" w:hanging="698"/>
        <w:spacing w:after="0" w:line="265" w:lineRule="auto"/>
        <w:tabs>
          <w:tab w:leader="none" w:pos="1060" w:val="left"/>
        </w:tabs>
        <w:numPr>
          <w:ilvl w:val="0"/>
          <w:numId w:val="54"/>
        </w:numPr>
        <w:rPr>
          <w:rFonts w:ascii="Times New Roman" w:cs="Times New Roman" w:eastAsia="Times New Roman" w:hAnsi="Times New Roman"/>
          <w:sz w:val="18"/>
          <w:szCs w:val="18"/>
          <w:u w:val="single" w:color="auto"/>
          <w:color w:val="0000FF"/>
        </w:rPr>
      </w:pPr>
      <w:hyperlink r:id="rId652">
        <w:r>
          <w:rPr>
            <w:rFonts w:ascii="Times New Roman" w:cs="Times New Roman" w:eastAsia="Times New Roman" w:hAnsi="Times New Roman"/>
            <w:sz w:val="18"/>
            <w:szCs w:val="18"/>
            <w:u w:val="single" w:color="auto"/>
            <w:color w:val="0000FF"/>
          </w:rPr>
          <w:t>Code of Regulations of The Goodyear Tire &amp; Rubber Company, adopted November 22, 1955, and as most recently amended</w:t>
        </w:r>
      </w:hyperlink>
      <w:r>
        <w:rPr>
          <w:rFonts w:ascii="Times New Roman" w:cs="Times New Roman" w:eastAsia="Times New Roman" w:hAnsi="Times New Roman"/>
          <w:sz w:val="18"/>
          <w:szCs w:val="18"/>
          <w:u w:val="single" w:color="auto"/>
          <w:color w:val="0000FF"/>
        </w:rPr>
        <w:t xml:space="preserve"> </w:t>
      </w:r>
      <w:hyperlink r:id="rId652">
        <w:r>
          <w:rPr>
            <w:rFonts w:ascii="Times New Roman" w:cs="Times New Roman" w:eastAsia="Times New Roman" w:hAnsi="Times New Roman"/>
            <w:sz w:val="18"/>
            <w:szCs w:val="18"/>
            <w:u w:val="single" w:color="auto"/>
            <w:color w:val="0000FF"/>
          </w:rPr>
          <w:t>on October 4, 2022 (incorporated by reference, filed as Exhibit 3.1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652">
        <w:r>
          <w:rPr>
            <w:rFonts w:ascii="Times New Roman" w:cs="Times New Roman" w:eastAsia="Times New Roman" w:hAnsi="Times New Roman"/>
            <w:sz w:val="18"/>
            <w:szCs w:val="18"/>
            <w:u w:val="single" w:color="auto"/>
            <w:color w:val="0000FF"/>
          </w:rPr>
          <w:t>October 11, 2022, File No. 1-1927).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673100</wp:posOffset>
            </wp:positionH>
            <wp:positionV relativeFrom="paragraph">
              <wp:posOffset>-1656080</wp:posOffset>
            </wp:positionV>
            <wp:extent cx="581025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3">
                      <a:extLst>
                        <a:ext uri="{28A0092B-C50C-407E-A947-70E740481C1C}"/>
                      </a:extLst>
                    </a:blip>
                    <a:srcRect/>
                    <a:stretch>
                      <a:fillRect/>
                    </a:stretch>
                  </pic:blipFill>
                  <pic:spPr bwMode="auto">
                    <a:xfrm>
                      <a:off x="0" y="0"/>
                      <a:ext cx="581025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-1518920</wp:posOffset>
            </wp:positionV>
            <wp:extent cx="581025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4">
                      <a:extLst>
                        <a:ext uri="{28A0092B-C50C-407E-A947-70E740481C1C}"/>
                      </a:extLst>
                    </a:blip>
                    <a:srcRect/>
                    <a:stretch>
                      <a:fillRect/>
                    </a:stretch>
                  </pic:blipFill>
                  <pic:spPr bwMode="auto">
                    <a:xfrm>
                      <a:off x="0" y="0"/>
                      <a:ext cx="581025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-1382395</wp:posOffset>
            </wp:positionV>
            <wp:extent cx="581152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5">
                      <a:extLst>
                        <a:ext uri="{28A0092B-C50C-407E-A947-70E740481C1C}"/>
                      </a:extLst>
                    </a:blip>
                    <a:srcRect/>
                    <a:stretch>
                      <a:fillRect/>
                    </a:stretch>
                  </pic:blipFill>
                  <pic:spPr bwMode="auto">
                    <a:xfrm>
                      <a:off x="0" y="0"/>
                      <a:ext cx="581152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-1245235</wp:posOffset>
            </wp:positionV>
            <wp:extent cx="580771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6">
                      <a:extLst>
                        <a:ext uri="{28A0092B-C50C-407E-A947-70E740481C1C}"/>
                      </a:extLst>
                    </a:blip>
                    <a:srcRect/>
                    <a:stretch>
                      <a:fillRect/>
                    </a:stretch>
                  </pic:blipFill>
                  <pic:spPr bwMode="auto">
                    <a:xfrm>
                      <a:off x="0" y="0"/>
                      <a:ext cx="580771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-1108075</wp:posOffset>
            </wp:positionV>
            <wp:extent cx="580644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7">
                      <a:extLst>
                        <a:ext uri="{28A0092B-C50C-407E-A947-70E740481C1C}"/>
                      </a:extLst>
                    </a:blip>
                    <a:srcRect/>
                    <a:stretch>
                      <a:fillRect/>
                    </a:stretch>
                  </pic:blipFill>
                  <pic:spPr bwMode="auto">
                    <a:xfrm>
                      <a:off x="0" y="0"/>
                      <a:ext cx="580644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-970915</wp:posOffset>
            </wp:positionV>
            <wp:extent cx="580707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8">
                      <a:extLst>
                        <a:ext uri="{28A0092B-C50C-407E-A947-70E740481C1C}"/>
                      </a:extLst>
                    </a:blip>
                    <a:srcRect/>
                    <a:stretch>
                      <a:fillRect/>
                    </a:stretch>
                  </pic:blipFill>
                  <pic:spPr bwMode="auto">
                    <a:xfrm>
                      <a:off x="0" y="0"/>
                      <a:ext cx="580707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-834390</wp:posOffset>
            </wp:positionV>
            <wp:extent cx="581025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9">
                      <a:extLst>
                        <a:ext uri="{28A0092B-C50C-407E-A947-70E740481C1C}"/>
                      </a:extLst>
                    </a:blip>
                    <a:srcRect/>
                    <a:stretch>
                      <a:fillRect/>
                    </a:stretch>
                  </pic:blipFill>
                  <pic:spPr bwMode="auto">
                    <a:xfrm>
                      <a:off x="0" y="0"/>
                      <a:ext cx="581025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-697230</wp:posOffset>
            </wp:positionV>
            <wp:extent cx="58121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0">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-560070</wp:posOffset>
            </wp:positionV>
            <wp:extent cx="476059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1">
                      <a:extLst>
                        <a:ext uri="{28A0092B-C50C-407E-A947-70E740481C1C}"/>
                      </a:extLst>
                    </a:blip>
                    <a:srcRect/>
                    <a:stretch>
                      <a:fillRect/>
                    </a:stretch>
                  </pic:blipFill>
                  <pic:spPr bwMode="auto">
                    <a:xfrm>
                      <a:off x="0" y="0"/>
                      <a:ext cx="476059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-311785</wp:posOffset>
            </wp:positionV>
            <wp:extent cx="580771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2">
                      <a:extLst>
                        <a:ext uri="{28A0092B-C50C-407E-A947-70E740481C1C}"/>
                      </a:extLst>
                    </a:blip>
                    <a:srcRect/>
                    <a:stretch>
                      <a:fillRect/>
                    </a:stretch>
                  </pic:blipFill>
                  <pic:spPr bwMode="auto">
                    <a:xfrm>
                      <a:off x="0" y="0"/>
                      <a:ext cx="580771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-174625</wp:posOffset>
            </wp:positionV>
            <wp:extent cx="581088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3">
                      <a:extLst>
                        <a:ext uri="{28A0092B-C50C-407E-A947-70E740481C1C}"/>
                      </a:extLst>
                    </a:blip>
                    <a:srcRect/>
                    <a:stretch>
                      <a:fillRect/>
                    </a:stretch>
                  </pic:blipFill>
                  <pic:spPr bwMode="auto">
                    <a:xfrm>
                      <a:off x="0" y="0"/>
                      <a:ext cx="581088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-38100</wp:posOffset>
            </wp:positionV>
            <wp:extent cx="164084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4">
                      <a:extLst>
                        <a:ext uri="{28A0092B-C50C-407E-A947-70E740481C1C}"/>
                      </a:extLst>
                    </a:blip>
                    <a:srcRect/>
                    <a:stretch>
                      <a:fillRect/>
                    </a:stretch>
                  </pic:blipFill>
                  <pic:spPr bwMode="auto">
                    <a:xfrm>
                      <a:off x="0" y="0"/>
                      <a:ext cx="1640840" cy="8255"/>
                    </a:xfrm>
                    <a:prstGeom prst="rect">
                      <a:avLst/>
                    </a:prstGeom>
                    <a:noFill/>
                  </pic:spPr>
                </pic:pic>
              </a:graphicData>
            </a:graphic>
          </wp:anchor>
        </w:drawing>
      </w:r>
    </w:p>
    <w:p>
      <w:pPr>
        <w:spacing w:after="0" w:line="113" w:lineRule="exact"/>
        <w:rPr>
          <w:rFonts w:ascii="Times New Roman" w:cs="Times New Roman" w:eastAsia="Times New Roman" w:hAnsi="Times New Roman"/>
          <w:sz w:val="18"/>
          <w:szCs w:val="18"/>
          <w:u w:val="single" w:color="auto"/>
          <w:color w:val="0000FF"/>
        </w:rPr>
      </w:pPr>
    </w:p>
    <w:p>
      <w:pPr>
        <w:ind w:left="1060" w:hanging="639"/>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Instruments Defining the Rights of Security Holders, Including Indentures</w:t>
      </w:r>
    </w:p>
    <w:p>
      <w:pPr>
        <w:spacing w:after="0" w:line="188" w:lineRule="exact"/>
        <w:rPr>
          <w:rFonts w:ascii="Times New Roman" w:cs="Times New Roman" w:eastAsia="Times New Roman" w:hAnsi="Times New Roman"/>
          <w:sz w:val="18"/>
          <w:szCs w:val="18"/>
          <w:u w:val="single" w:color="auto"/>
          <w:color w:val="0000FF"/>
        </w:rPr>
      </w:pPr>
    </w:p>
    <w:p>
      <w:pPr>
        <w:ind w:left="1060" w:right="1020" w:hanging="693"/>
        <w:spacing w:after="0" w:line="281" w:lineRule="auto"/>
        <w:tabs>
          <w:tab w:leader="none" w:pos="1060" w:val="left"/>
        </w:tabs>
        <w:numPr>
          <w:ilvl w:val="0"/>
          <w:numId w:val="56"/>
        </w:numPr>
        <w:rPr>
          <w:rFonts w:ascii="Times New Roman" w:cs="Times New Roman" w:eastAsia="Times New Roman" w:hAnsi="Times New Roman"/>
          <w:sz w:val="18"/>
          <w:szCs w:val="18"/>
          <w:u w:val="single" w:color="auto"/>
          <w:color w:val="0000FF"/>
        </w:rPr>
      </w:pPr>
      <w:hyperlink r:id="rId665">
        <w:r>
          <w:rPr>
            <w:rFonts w:ascii="Times New Roman" w:cs="Times New Roman" w:eastAsia="Times New Roman" w:hAnsi="Times New Roman"/>
            <w:sz w:val="18"/>
            <w:szCs w:val="18"/>
            <w:u w:val="single" w:color="auto"/>
            <w:color w:val="0000FF"/>
          </w:rPr>
          <w:t>Specimen Nondenominational Certificate for Shares of the Common Stock, Without Par Value, of the Company (incorporated</w:t>
        </w:r>
      </w:hyperlink>
      <w:r>
        <w:rPr>
          <w:rFonts w:ascii="Times New Roman" w:cs="Times New Roman" w:eastAsia="Times New Roman" w:hAnsi="Times New Roman"/>
          <w:sz w:val="18"/>
          <w:szCs w:val="18"/>
          <w:u w:val="single" w:color="auto"/>
          <w:color w:val="0000FF"/>
        </w:rPr>
        <w:t xml:space="preserve"> </w:t>
      </w:r>
      <w:hyperlink r:id="rId665">
        <w:r>
          <w:rPr>
            <w:rFonts w:ascii="Times New Roman" w:cs="Times New Roman" w:eastAsia="Times New Roman" w:hAnsi="Times New Roman"/>
            <w:sz w:val="18"/>
            <w:szCs w:val="18"/>
            <w:u w:val="single" w:color="auto"/>
            <w:color w:val="0000FF"/>
          </w:rPr>
          <w:t>by reference, filed as Exhibit 4.1 to the Company’s Current Report on Form 8-K, filed May 9, 2007, File No. 1-1927).</w:t>
        </w:r>
      </w:hyperlink>
    </w:p>
    <w:p>
      <w:pPr>
        <w:spacing w:after="0" w:line="122" w:lineRule="exact"/>
        <w:rPr>
          <w:rFonts w:ascii="Times New Roman" w:cs="Times New Roman" w:eastAsia="Times New Roman" w:hAnsi="Times New Roman"/>
          <w:sz w:val="18"/>
          <w:szCs w:val="18"/>
          <w:u w:val="single" w:color="auto"/>
          <w:color w:val="0000FF"/>
        </w:rPr>
      </w:pPr>
    </w:p>
    <w:p>
      <w:pPr>
        <w:jc w:val="both"/>
        <w:ind w:left="1060" w:right="1020" w:hanging="698"/>
        <w:spacing w:after="0" w:line="265" w:lineRule="auto"/>
        <w:tabs>
          <w:tab w:leader="none" w:pos="1060" w:val="left"/>
        </w:tabs>
        <w:numPr>
          <w:ilvl w:val="0"/>
          <w:numId w:val="56"/>
        </w:numPr>
        <w:rPr>
          <w:rFonts w:ascii="Times New Roman" w:cs="Times New Roman" w:eastAsia="Times New Roman" w:hAnsi="Times New Roman"/>
          <w:sz w:val="18"/>
          <w:szCs w:val="18"/>
          <w:color w:val="0000FF"/>
        </w:rPr>
      </w:pPr>
      <w:hyperlink r:id="rId666">
        <w:r>
          <w:rPr>
            <w:rFonts w:ascii="Times New Roman" w:cs="Times New Roman" w:eastAsia="Times New Roman" w:hAnsi="Times New Roman"/>
            <w:sz w:val="18"/>
            <w:szCs w:val="18"/>
            <w:u w:val="single" w:color="auto"/>
            <w:color w:val="0000FF"/>
          </w:rPr>
          <w:t>Indenture, dated as of March 15, 1996, between the Company and Chemical Bank (now Wells Fargo Bank, N.A.), as Trustee,</w:t>
        </w:r>
      </w:hyperlink>
      <w:r>
        <w:rPr>
          <w:rFonts w:ascii="Times New Roman" w:cs="Times New Roman" w:eastAsia="Times New Roman" w:hAnsi="Times New Roman"/>
          <w:sz w:val="18"/>
          <w:szCs w:val="18"/>
          <w:u w:val="single" w:color="auto"/>
          <w:color w:val="0000FF"/>
        </w:rPr>
        <w:t xml:space="preserve"> </w:t>
      </w:r>
      <w:hyperlink r:id="rId666">
        <w:r>
          <w:rPr>
            <w:rFonts w:ascii="Times New Roman" w:cs="Times New Roman" w:eastAsia="Times New Roman" w:hAnsi="Times New Roman"/>
            <w:sz w:val="18"/>
            <w:szCs w:val="18"/>
            <w:u w:val="single" w:color="auto"/>
            <w:color w:val="0000FF"/>
          </w:rPr>
          <w:t>as supplemented on March 16, 1998, in respect of the Company’s 7% Notes due 2028 (incorporated by reference, filed as</w:t>
        </w:r>
      </w:hyperlink>
      <w:r>
        <w:rPr>
          <w:rFonts w:ascii="Times New Roman" w:cs="Times New Roman" w:eastAsia="Times New Roman" w:hAnsi="Times New Roman"/>
          <w:sz w:val="18"/>
          <w:szCs w:val="18"/>
          <w:u w:val="single" w:color="auto"/>
          <w:color w:val="0000FF"/>
        </w:rPr>
        <w:t xml:space="preserve"> </w:t>
      </w:r>
      <w:hyperlink r:id="rId666">
        <w:r>
          <w:rPr>
            <w:rFonts w:ascii="Times New Roman" w:cs="Times New Roman" w:eastAsia="Times New Roman" w:hAnsi="Times New Roman"/>
            <w:sz w:val="18"/>
            <w:szCs w:val="18"/>
            <w:u w:val="single" w:color="auto"/>
            <w:color w:val="0000FF"/>
          </w:rPr>
          <w:t>Exhibit 4.1 to the Company’s Quarterly Report on Form 10-Q for the quarter ended March 31, 1998, File No. 1-1927)</w:t>
        </w:r>
        <w:r>
          <w:rPr>
            <w:rFonts w:ascii="Times New Roman" w:cs="Times New Roman" w:eastAsia="Times New Roman" w:hAnsi="Times New Roman"/>
            <w:sz w:val="18"/>
            <w:szCs w:val="18"/>
            <w:color w:val="000000"/>
          </w:rPr>
          <w:t>.</w:t>
        </w:r>
      </w:hyperlink>
    </w:p>
    <w:p>
      <w:pPr>
        <w:spacing w:after="0" w:line="136" w:lineRule="exact"/>
        <w:rPr>
          <w:rFonts w:ascii="Times New Roman" w:cs="Times New Roman" w:eastAsia="Times New Roman" w:hAnsi="Times New Roman"/>
          <w:sz w:val="18"/>
          <w:szCs w:val="18"/>
          <w:color w:val="0000FF"/>
        </w:rPr>
      </w:pPr>
    </w:p>
    <w:p>
      <w:pPr>
        <w:jc w:val="both"/>
        <w:ind w:left="1060" w:right="1020" w:hanging="693"/>
        <w:spacing w:after="0" w:line="260" w:lineRule="auto"/>
        <w:tabs>
          <w:tab w:leader="none" w:pos="1060" w:val="left"/>
        </w:tabs>
        <w:numPr>
          <w:ilvl w:val="0"/>
          <w:numId w:val="56"/>
        </w:numPr>
        <w:rPr>
          <w:rFonts w:ascii="Times New Roman" w:cs="Times New Roman" w:eastAsia="Times New Roman" w:hAnsi="Times New Roman"/>
          <w:sz w:val="18"/>
          <w:szCs w:val="18"/>
          <w:u w:val="single" w:color="auto"/>
          <w:color w:val="0000FF"/>
        </w:rPr>
      </w:pPr>
      <w:hyperlink r:id="rId667">
        <w:r>
          <w:rPr>
            <w:rFonts w:ascii="Times New Roman" w:cs="Times New Roman" w:eastAsia="Times New Roman" w:hAnsi="Times New Roman"/>
            <w:sz w:val="18"/>
            <w:szCs w:val="18"/>
            <w:u w:val="single" w:color="auto"/>
            <w:color w:val="0000FF"/>
          </w:rPr>
          <w:t>Indenture, dated as of March 17, 1997, between Cooper Tire &amp; Rubber Company and The Chase Manhattan Bank (now The</w:t>
        </w:r>
      </w:hyperlink>
      <w:r>
        <w:rPr>
          <w:rFonts w:ascii="Times New Roman" w:cs="Times New Roman" w:eastAsia="Times New Roman" w:hAnsi="Times New Roman"/>
          <w:sz w:val="18"/>
          <w:szCs w:val="18"/>
          <w:u w:val="single" w:color="auto"/>
          <w:color w:val="0000FF"/>
        </w:rPr>
        <w:t xml:space="preserve"> </w:t>
      </w:r>
      <w:hyperlink r:id="rId667">
        <w:r>
          <w:rPr>
            <w:rFonts w:ascii="Times New Roman" w:cs="Times New Roman" w:eastAsia="Times New Roman" w:hAnsi="Times New Roman"/>
            <w:sz w:val="18"/>
            <w:szCs w:val="18"/>
            <w:u w:val="single" w:color="auto"/>
            <w:color w:val="0000FF"/>
          </w:rPr>
          <w:t>Bank of New York Mellon Corporation), as Trustee, in respect of the Company's 7.625% Notes due 2027 (incorporated by</w:t>
        </w:r>
      </w:hyperlink>
      <w:r>
        <w:rPr>
          <w:rFonts w:ascii="Times New Roman" w:cs="Times New Roman" w:eastAsia="Times New Roman" w:hAnsi="Times New Roman"/>
          <w:sz w:val="18"/>
          <w:szCs w:val="18"/>
          <w:u w:val="single" w:color="auto"/>
          <w:color w:val="0000FF"/>
        </w:rPr>
        <w:t xml:space="preserve"> </w:t>
      </w:r>
      <w:hyperlink r:id="rId667">
        <w:r>
          <w:rPr>
            <w:rFonts w:ascii="Times New Roman" w:cs="Times New Roman" w:eastAsia="Times New Roman" w:hAnsi="Times New Roman"/>
            <w:sz w:val="18"/>
            <w:szCs w:val="18"/>
            <w:u w:val="single" w:color="auto"/>
            <w:color w:val="0000FF"/>
          </w:rPr>
          <w:t>reference, filed as Exhibit 4.1 to Cooper Tire &amp; Rubber Company’s Registration Statement on Form S-3, filed October 15,</w:t>
        </w:r>
      </w:hyperlink>
      <w:r>
        <w:rPr>
          <w:rFonts w:ascii="Times New Roman" w:cs="Times New Roman" w:eastAsia="Times New Roman" w:hAnsi="Times New Roman"/>
          <w:sz w:val="18"/>
          <w:szCs w:val="18"/>
          <w:u w:val="single" w:color="auto"/>
          <w:color w:val="0000FF"/>
        </w:rPr>
        <w:t xml:space="preserve"> </w:t>
      </w:r>
      <w:hyperlink r:id="rId667">
        <w:r>
          <w:rPr>
            <w:rFonts w:ascii="Times New Roman" w:cs="Times New Roman" w:eastAsia="Times New Roman" w:hAnsi="Times New Roman"/>
            <w:sz w:val="18"/>
            <w:szCs w:val="18"/>
            <w:u w:val="single" w:color="auto"/>
            <w:color w:val="0000FF"/>
          </w:rPr>
          <w:t>1999, File No. 001-04329).</w:t>
        </w:r>
      </w:hyperlink>
    </w:p>
    <w:p>
      <w:pPr>
        <w:spacing w:after="0" w:line="141" w:lineRule="exact"/>
        <w:rPr>
          <w:rFonts w:ascii="Times New Roman" w:cs="Times New Roman" w:eastAsia="Times New Roman" w:hAnsi="Times New Roman"/>
          <w:sz w:val="18"/>
          <w:szCs w:val="18"/>
          <w:u w:val="single" w:color="auto"/>
          <w:color w:val="0000FF"/>
        </w:rPr>
      </w:pPr>
    </w:p>
    <w:p>
      <w:pPr>
        <w:jc w:val="both"/>
        <w:ind w:left="1060" w:right="1040" w:hanging="698"/>
        <w:spacing w:after="0" w:line="265" w:lineRule="auto"/>
        <w:tabs>
          <w:tab w:leader="none" w:pos="1060" w:val="left"/>
        </w:tabs>
        <w:numPr>
          <w:ilvl w:val="0"/>
          <w:numId w:val="56"/>
        </w:numPr>
        <w:rPr>
          <w:rFonts w:ascii="Times New Roman" w:cs="Times New Roman" w:eastAsia="Times New Roman" w:hAnsi="Times New Roman"/>
          <w:sz w:val="18"/>
          <w:szCs w:val="18"/>
          <w:u w:val="single" w:color="auto"/>
          <w:color w:val="0000FF"/>
        </w:rPr>
      </w:pPr>
      <w:hyperlink r:id="rId668">
        <w:r>
          <w:rPr>
            <w:rFonts w:ascii="Times New Roman" w:cs="Times New Roman" w:eastAsia="Times New Roman" w:hAnsi="Times New Roman"/>
            <w:sz w:val="18"/>
            <w:szCs w:val="18"/>
            <w:u w:val="single" w:color="auto"/>
            <w:color w:val="0000FF"/>
          </w:rPr>
          <w:t>First Supplemental Indenture, dated as of November 25, 2022, in respect of the Company’s 7.625% Notes due 2027</w:t>
        </w:r>
      </w:hyperlink>
      <w:r>
        <w:rPr>
          <w:rFonts w:ascii="Times New Roman" w:cs="Times New Roman" w:eastAsia="Times New Roman" w:hAnsi="Times New Roman"/>
          <w:sz w:val="18"/>
          <w:szCs w:val="18"/>
          <w:u w:val="single" w:color="auto"/>
          <w:color w:val="0000FF"/>
        </w:rPr>
        <w:t xml:space="preserve"> </w:t>
      </w:r>
      <w:hyperlink r:id="rId668">
        <w:r>
          <w:rPr>
            <w:rFonts w:ascii="Times New Roman" w:cs="Times New Roman" w:eastAsia="Times New Roman" w:hAnsi="Times New Roman"/>
            <w:sz w:val="18"/>
            <w:szCs w:val="18"/>
            <w:u w:val="single" w:color="auto"/>
            <w:color w:val="0000FF"/>
          </w:rPr>
          <w:t>(incorporated by reference, filed as Exhibit 4.1 to the Company's Annual Report on Form 10-K for the year ended December</w:t>
        </w:r>
      </w:hyperlink>
      <w:r>
        <w:rPr>
          <w:rFonts w:ascii="Times New Roman" w:cs="Times New Roman" w:eastAsia="Times New Roman" w:hAnsi="Times New Roman"/>
          <w:sz w:val="18"/>
          <w:szCs w:val="18"/>
          <w:u w:val="single" w:color="auto"/>
          <w:color w:val="0000FF"/>
        </w:rPr>
        <w:t xml:space="preserve"> </w:t>
      </w:r>
      <w:hyperlink r:id="rId668">
        <w:r>
          <w:rPr>
            <w:rFonts w:ascii="Times New Roman" w:cs="Times New Roman" w:eastAsia="Times New Roman" w:hAnsi="Times New Roman"/>
            <w:sz w:val="18"/>
            <w:szCs w:val="18"/>
            <w:u w:val="single" w:color="auto"/>
            <w:color w:val="0000FF"/>
          </w:rPr>
          <w:t>31, 2022, File No. 1-1927).</w:t>
        </w:r>
      </w:hyperlink>
    </w:p>
    <w:p>
      <w:pPr>
        <w:spacing w:after="0" w:line="109" w:lineRule="exact"/>
        <w:rPr>
          <w:rFonts w:ascii="Times New Roman" w:cs="Times New Roman" w:eastAsia="Times New Roman" w:hAnsi="Times New Roman"/>
          <w:sz w:val="18"/>
          <w:szCs w:val="18"/>
          <w:u w:val="single" w:color="auto"/>
          <w:color w:val="0000FF"/>
        </w:rPr>
      </w:pPr>
    </w:p>
    <w:p>
      <w:pPr>
        <w:jc w:val="both"/>
        <w:ind w:left="1040" w:right="1020" w:hanging="680"/>
        <w:spacing w:after="0" w:line="255" w:lineRule="auto"/>
        <w:tabs>
          <w:tab w:leader="none" w:pos="1040" w:val="left"/>
        </w:tabs>
        <w:numPr>
          <w:ilvl w:val="0"/>
          <w:numId w:val="56"/>
        </w:numPr>
        <w:rPr>
          <w:rFonts w:ascii="Times New Roman" w:cs="Times New Roman" w:eastAsia="Times New Roman" w:hAnsi="Times New Roman"/>
          <w:sz w:val="18"/>
          <w:szCs w:val="18"/>
          <w:u w:val="single" w:color="auto"/>
          <w:color w:val="0000FF"/>
        </w:rPr>
      </w:pPr>
      <w:hyperlink r:id="rId669">
        <w:r>
          <w:rPr>
            <w:rFonts w:ascii="Times New Roman" w:cs="Times New Roman" w:eastAsia="Times New Roman" w:hAnsi="Times New Roman"/>
            <w:sz w:val="18"/>
            <w:szCs w:val="18"/>
            <w:u w:val="single" w:color="auto"/>
            <w:color w:val="0000FF"/>
          </w:rPr>
          <w:t>Indenture, dated as of August 13, 2010, among the Company, the subsidiary guarantors party thereto and Wells Fargo Bank,</w:t>
        </w:r>
      </w:hyperlink>
      <w:r>
        <w:rPr>
          <w:rFonts w:ascii="Times New Roman" w:cs="Times New Roman" w:eastAsia="Times New Roman" w:hAnsi="Times New Roman"/>
          <w:sz w:val="18"/>
          <w:szCs w:val="18"/>
          <w:u w:val="single" w:color="auto"/>
          <w:color w:val="0000FF"/>
        </w:rPr>
        <w:t xml:space="preserve"> </w:t>
      </w:r>
      <w:hyperlink r:id="rId669">
        <w:r>
          <w:rPr>
            <w:rFonts w:ascii="Times New Roman" w:cs="Times New Roman" w:eastAsia="Times New Roman" w:hAnsi="Times New Roman"/>
            <w:sz w:val="18"/>
            <w:szCs w:val="18"/>
            <w:u w:val="single" w:color="auto"/>
            <w:color w:val="0000FF"/>
          </w:rPr>
          <w:t>N.A., as Trustee (incorporated by reference, filed as Exhibit 4.1 to the Company’s Current Report on Form 8-K, filed August</w:t>
        </w:r>
      </w:hyperlink>
      <w:r>
        <w:rPr>
          <w:rFonts w:ascii="Times New Roman" w:cs="Times New Roman" w:eastAsia="Times New Roman" w:hAnsi="Times New Roman"/>
          <w:sz w:val="18"/>
          <w:szCs w:val="18"/>
          <w:u w:val="single" w:color="auto"/>
          <w:color w:val="0000FF"/>
        </w:rPr>
        <w:t xml:space="preserve"> </w:t>
      </w:r>
      <w:hyperlink r:id="rId670">
        <w:r>
          <w:rPr>
            <w:rFonts w:ascii="Times New Roman" w:cs="Times New Roman" w:eastAsia="Times New Roman" w:hAnsi="Times New Roman"/>
            <w:sz w:val="18"/>
            <w:szCs w:val="18"/>
            <w:u w:val="single" w:color="auto"/>
            <w:color w:val="0000FF"/>
          </w:rPr>
          <w:t>13, 2010, File No. 1-1927), as supplemented by the Fifth Supplemental Indenture thereto, dated as of May 13, 2016, in respect</w:t>
        </w:r>
      </w:hyperlink>
      <w:r>
        <w:rPr>
          <w:rFonts w:ascii="Times New Roman" w:cs="Times New Roman" w:eastAsia="Times New Roman" w:hAnsi="Times New Roman"/>
          <w:sz w:val="18"/>
          <w:szCs w:val="18"/>
          <w:u w:val="single" w:color="auto"/>
          <w:color w:val="0000FF"/>
        </w:rPr>
        <w:t xml:space="preserve"> </w:t>
      </w:r>
      <w:hyperlink r:id="rId670">
        <w:r>
          <w:rPr>
            <w:rFonts w:ascii="Times New Roman" w:cs="Times New Roman" w:eastAsia="Times New Roman" w:hAnsi="Times New Roman"/>
            <w:sz w:val="18"/>
            <w:szCs w:val="18"/>
            <w:u w:val="single" w:color="auto"/>
            <w:color w:val="0000FF"/>
          </w:rPr>
          <w:t>of the Company’s 5% Senior Notes due 2026 (incorporated by reference, filed as Exhibit 4.2 to the Company’s Current Report</w:t>
        </w:r>
      </w:hyperlink>
      <w:r>
        <w:rPr>
          <w:rFonts w:ascii="Times New Roman" w:cs="Times New Roman" w:eastAsia="Times New Roman" w:hAnsi="Times New Roman"/>
          <w:sz w:val="18"/>
          <w:szCs w:val="18"/>
          <w:u w:val="single" w:color="auto"/>
          <w:color w:val="0000FF"/>
        </w:rPr>
        <w:t xml:space="preserve"> </w:t>
      </w:r>
      <w:hyperlink r:id="rId671">
        <w:r>
          <w:rPr>
            <w:rFonts w:ascii="Times New Roman" w:cs="Times New Roman" w:eastAsia="Times New Roman" w:hAnsi="Times New Roman"/>
            <w:sz w:val="18"/>
            <w:szCs w:val="18"/>
            <w:u w:val="single" w:color="auto"/>
            <w:color w:val="0000FF"/>
          </w:rPr>
          <w:t>on Form 8-K, filed May 13, 2016, File No. 1-1927), as supplemented by the Sixth Supplemental Indenture thereto, dated as of</w:t>
        </w:r>
      </w:hyperlink>
      <w:r>
        <w:rPr>
          <w:rFonts w:ascii="Times New Roman" w:cs="Times New Roman" w:eastAsia="Times New Roman" w:hAnsi="Times New Roman"/>
          <w:sz w:val="18"/>
          <w:szCs w:val="18"/>
          <w:u w:val="single" w:color="auto"/>
          <w:color w:val="0000FF"/>
        </w:rPr>
        <w:t xml:space="preserve"> </w:t>
      </w:r>
      <w:hyperlink r:id="rId671">
        <w:r>
          <w:rPr>
            <w:rFonts w:ascii="Times New Roman" w:cs="Times New Roman" w:eastAsia="Times New Roman" w:hAnsi="Times New Roman"/>
            <w:sz w:val="18"/>
            <w:szCs w:val="18"/>
            <w:u w:val="single" w:color="auto"/>
            <w:color w:val="0000FF"/>
          </w:rPr>
          <w:t>March 7, 2017, in respect of the Company’s 4.875% Senior Notes due 2027 (incorporated by reference, filed as Exhibit 4.2 to</w:t>
        </w:r>
      </w:hyperlink>
      <w:r>
        <w:rPr>
          <w:rFonts w:ascii="Times New Roman" w:cs="Times New Roman" w:eastAsia="Times New Roman" w:hAnsi="Times New Roman"/>
          <w:sz w:val="18"/>
          <w:szCs w:val="18"/>
          <w:u w:val="single" w:color="auto"/>
          <w:color w:val="0000FF"/>
        </w:rPr>
        <w:t xml:space="preserve"> </w:t>
      </w:r>
      <w:hyperlink r:id="rId671">
        <w:r>
          <w:rPr>
            <w:rFonts w:ascii="Times New Roman" w:cs="Times New Roman" w:eastAsia="Times New Roman" w:hAnsi="Times New Roman"/>
            <w:sz w:val="18"/>
            <w:szCs w:val="18"/>
            <w:u w:val="single" w:color="auto"/>
            <w:color w:val="0000FF"/>
          </w:rPr>
          <w:t>the Company's Current Report on Form 8-K,</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673100</wp:posOffset>
            </wp:positionH>
            <wp:positionV relativeFrom="paragraph">
              <wp:posOffset>-2926080</wp:posOffset>
            </wp:positionV>
            <wp:extent cx="581406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2">
                      <a:extLst>
                        <a:ext uri="{28A0092B-C50C-407E-A947-70E740481C1C}"/>
                      </a:extLst>
                    </a:blip>
                    <a:srcRect/>
                    <a:stretch>
                      <a:fillRect/>
                    </a:stretch>
                  </pic:blipFill>
                  <pic:spPr bwMode="auto">
                    <a:xfrm>
                      <a:off x="0" y="0"/>
                      <a:ext cx="581406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-2788920</wp:posOffset>
            </wp:positionV>
            <wp:extent cx="539115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3">
                      <a:extLst>
                        <a:ext uri="{28A0092B-C50C-407E-A947-70E740481C1C}"/>
                      </a:extLst>
                    </a:blip>
                    <a:srcRect/>
                    <a:stretch>
                      <a:fillRect/>
                    </a:stretch>
                  </pic:blipFill>
                  <pic:spPr bwMode="auto">
                    <a:xfrm>
                      <a:off x="0" y="0"/>
                      <a:ext cx="539115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-2540635</wp:posOffset>
            </wp:positionV>
            <wp:extent cx="580961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4">
                      <a:extLst>
                        <a:ext uri="{28A0092B-C50C-407E-A947-70E740481C1C}"/>
                      </a:extLst>
                    </a:blip>
                    <a:srcRect/>
                    <a:stretch>
                      <a:fillRect/>
                    </a:stretch>
                  </pic:blipFill>
                  <pic:spPr bwMode="auto">
                    <a:xfrm>
                      <a:off x="0" y="0"/>
                      <a:ext cx="580961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-2403475</wp:posOffset>
            </wp:positionV>
            <wp:extent cx="581088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5">
                      <a:extLst>
                        <a:ext uri="{28A0092B-C50C-407E-A947-70E740481C1C}"/>
                      </a:extLst>
                    </a:blip>
                    <a:srcRect/>
                    <a:stretch>
                      <a:fillRect/>
                    </a:stretch>
                  </pic:blipFill>
                  <pic:spPr bwMode="auto">
                    <a:xfrm>
                      <a:off x="0" y="0"/>
                      <a:ext cx="581088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-2266950</wp:posOffset>
            </wp:positionV>
            <wp:extent cx="538480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6">
                      <a:extLst>
                        <a:ext uri="{28A0092B-C50C-407E-A947-70E740481C1C}"/>
                      </a:extLst>
                    </a:blip>
                    <a:srcRect/>
                    <a:stretch>
                      <a:fillRect/>
                    </a:stretch>
                  </pic:blipFill>
                  <pic:spPr bwMode="auto">
                    <a:xfrm>
                      <a:off x="0" y="0"/>
                      <a:ext cx="538480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-2018665</wp:posOffset>
            </wp:positionV>
            <wp:extent cx="58121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7">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-1881505</wp:posOffset>
            </wp:positionV>
            <wp:extent cx="580644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8">
                      <a:extLst>
                        <a:ext uri="{28A0092B-C50C-407E-A947-70E740481C1C}"/>
                      </a:extLst>
                    </a:blip>
                    <a:srcRect/>
                    <a:stretch>
                      <a:fillRect/>
                    </a:stretch>
                  </pic:blipFill>
                  <pic:spPr bwMode="auto">
                    <a:xfrm>
                      <a:off x="0" y="0"/>
                      <a:ext cx="580644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-1744345</wp:posOffset>
            </wp:positionV>
            <wp:extent cx="580898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9">
                      <a:extLst>
                        <a:ext uri="{28A0092B-C50C-407E-A947-70E740481C1C}"/>
                      </a:extLst>
                    </a:blip>
                    <a:srcRect/>
                    <a:stretch>
                      <a:fillRect/>
                    </a:stretch>
                  </pic:blipFill>
                  <pic:spPr bwMode="auto">
                    <a:xfrm>
                      <a:off x="0" y="0"/>
                      <a:ext cx="580898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-1607185</wp:posOffset>
            </wp:positionV>
            <wp:extent cx="124904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0">
                      <a:extLst>
                        <a:ext uri="{28A0092B-C50C-407E-A947-70E740481C1C}"/>
                      </a:extLst>
                    </a:blip>
                    <a:srcRect/>
                    <a:stretch>
                      <a:fillRect/>
                    </a:stretch>
                  </pic:blipFill>
                  <pic:spPr bwMode="auto">
                    <a:xfrm>
                      <a:off x="0" y="0"/>
                      <a:ext cx="124904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-1358900</wp:posOffset>
            </wp:positionV>
            <wp:extent cx="580580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1">
                      <a:extLst>
                        <a:ext uri="{28A0092B-C50C-407E-A947-70E740481C1C}"/>
                      </a:extLst>
                    </a:blip>
                    <a:srcRect/>
                    <a:stretch>
                      <a:fillRect/>
                    </a:stretch>
                  </pic:blipFill>
                  <pic:spPr bwMode="auto">
                    <a:xfrm>
                      <a:off x="0" y="0"/>
                      <a:ext cx="580580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-1222375</wp:posOffset>
            </wp:positionV>
            <wp:extent cx="580771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2">
                      <a:extLst>
                        <a:ext uri="{28A0092B-C50C-407E-A947-70E740481C1C}"/>
                      </a:extLst>
                    </a:blip>
                    <a:srcRect/>
                    <a:stretch>
                      <a:fillRect/>
                    </a:stretch>
                  </pic:blipFill>
                  <pic:spPr bwMode="auto">
                    <a:xfrm>
                      <a:off x="0" y="0"/>
                      <a:ext cx="580771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-1085215</wp:posOffset>
            </wp:positionV>
            <wp:extent cx="124904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3">
                      <a:extLst>
                        <a:ext uri="{28A0092B-C50C-407E-A947-70E740481C1C}"/>
                      </a:extLst>
                    </a:blip>
                    <a:srcRect/>
                    <a:stretch>
                      <a:fillRect/>
                    </a:stretch>
                  </pic:blipFill>
                  <pic:spPr bwMode="auto">
                    <a:xfrm>
                      <a:off x="0" y="0"/>
                      <a:ext cx="124904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-854075</wp:posOffset>
            </wp:positionV>
            <wp:extent cx="582041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4">
                      <a:extLst>
                        <a:ext uri="{28A0092B-C50C-407E-A947-70E740481C1C}"/>
                      </a:extLst>
                    </a:blip>
                    <a:srcRect/>
                    <a:stretch>
                      <a:fillRect/>
                    </a:stretch>
                  </pic:blipFill>
                  <pic:spPr bwMode="auto">
                    <a:xfrm>
                      <a:off x="0" y="0"/>
                      <a:ext cx="582041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-716915</wp:posOffset>
            </wp:positionV>
            <wp:extent cx="581533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5">
                      <a:extLst>
                        <a:ext uri="{28A0092B-C50C-407E-A947-70E740481C1C}"/>
                      </a:extLst>
                    </a:blip>
                    <a:srcRect/>
                    <a:stretch>
                      <a:fillRect/>
                    </a:stretch>
                  </pic:blipFill>
                  <pic:spPr bwMode="auto">
                    <a:xfrm>
                      <a:off x="0" y="0"/>
                      <a:ext cx="581533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-579755</wp:posOffset>
            </wp:positionV>
            <wp:extent cx="582041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6">
                      <a:extLst>
                        <a:ext uri="{28A0092B-C50C-407E-A947-70E740481C1C}"/>
                      </a:extLst>
                    </a:blip>
                    <a:srcRect/>
                    <a:stretch>
                      <a:fillRect/>
                    </a:stretch>
                  </pic:blipFill>
                  <pic:spPr bwMode="auto">
                    <a:xfrm>
                      <a:off x="0" y="0"/>
                      <a:ext cx="582041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-443230</wp:posOffset>
            </wp:positionV>
            <wp:extent cx="582041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7">
                      <a:extLst>
                        <a:ext uri="{28A0092B-C50C-407E-A947-70E740481C1C}"/>
                      </a:extLst>
                    </a:blip>
                    <a:srcRect/>
                    <a:stretch>
                      <a:fillRect/>
                    </a:stretch>
                  </pic:blipFill>
                  <pic:spPr bwMode="auto">
                    <a:xfrm>
                      <a:off x="0" y="0"/>
                      <a:ext cx="582041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-306070</wp:posOffset>
            </wp:positionV>
            <wp:extent cx="582168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8">
                      <a:extLst>
                        <a:ext uri="{28A0092B-C50C-407E-A947-70E740481C1C}"/>
                      </a:extLst>
                    </a:blip>
                    <a:srcRect/>
                    <a:stretch>
                      <a:fillRect/>
                    </a:stretch>
                  </pic:blipFill>
                  <pic:spPr bwMode="auto">
                    <a:xfrm>
                      <a:off x="0" y="0"/>
                      <a:ext cx="582168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-168910</wp:posOffset>
            </wp:positionV>
            <wp:extent cx="581660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9">
                      <a:extLst>
                        <a:ext uri="{28A0092B-C50C-407E-A947-70E740481C1C}"/>
                      </a:extLst>
                    </a:blip>
                    <a:srcRect/>
                    <a:stretch>
                      <a:fillRect/>
                    </a:stretch>
                  </pic:blipFill>
                  <pic:spPr bwMode="auto">
                    <a:xfrm>
                      <a:off x="0" y="0"/>
                      <a:ext cx="581660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-31750</wp:posOffset>
            </wp:positionV>
            <wp:extent cx="207454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2"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X-1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2">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82" w:lineRule="exact"/>
        <w:rPr>
          <w:sz w:val="20"/>
          <w:szCs w:val="20"/>
          <w:color w:val="auto"/>
        </w:rPr>
      </w:pPr>
    </w:p>
    <w:p>
      <w:pPr>
        <w:jc w:val="both"/>
        <w:ind w:left="1040" w:right="680"/>
        <w:spacing w:after="0" w:line="253" w:lineRule="auto"/>
        <w:rPr>
          <w:rFonts w:ascii="Times New Roman" w:cs="Times New Roman" w:eastAsia="Times New Roman" w:hAnsi="Times New Roman"/>
          <w:sz w:val="18"/>
          <w:szCs w:val="18"/>
          <w:u w:val="single" w:color="auto"/>
          <w:color w:val="0000FF"/>
        </w:rPr>
      </w:pPr>
      <w:hyperlink r:id="rId693">
        <w:r>
          <w:rPr>
            <w:rFonts w:ascii="Times New Roman" w:cs="Times New Roman" w:eastAsia="Times New Roman" w:hAnsi="Times New Roman"/>
            <w:sz w:val="18"/>
            <w:szCs w:val="18"/>
            <w:u w:val="single" w:color="auto"/>
            <w:color w:val="0000FF"/>
          </w:rPr>
          <w:t>filed March 7, 2017, File No. 1-1927), as supplemented by the Seventh Supplemental Indenture thereto, dated as of May 18,</w:t>
        </w:r>
      </w:hyperlink>
      <w:r>
        <w:rPr>
          <w:rFonts w:ascii="Times New Roman" w:cs="Times New Roman" w:eastAsia="Times New Roman" w:hAnsi="Times New Roman"/>
          <w:sz w:val="18"/>
          <w:szCs w:val="18"/>
          <w:u w:val="single" w:color="auto"/>
          <w:color w:val="0000FF"/>
        </w:rPr>
        <w:t xml:space="preserve"> </w:t>
      </w:r>
      <w:hyperlink r:id="rId693">
        <w:r>
          <w:rPr>
            <w:rFonts w:ascii="Times New Roman" w:cs="Times New Roman" w:eastAsia="Times New Roman" w:hAnsi="Times New Roman"/>
            <w:sz w:val="18"/>
            <w:szCs w:val="18"/>
            <w:u w:val="single" w:color="auto"/>
            <w:color w:val="0000FF"/>
          </w:rPr>
          <w:t>2020, in respect of the Company’s 9.5% Senior Notes due 2025 (incorporated by reference, filed as Exhibit 4.2 to the</w:t>
        </w:r>
      </w:hyperlink>
      <w:r>
        <w:rPr>
          <w:rFonts w:ascii="Times New Roman" w:cs="Times New Roman" w:eastAsia="Times New Roman" w:hAnsi="Times New Roman"/>
          <w:sz w:val="18"/>
          <w:szCs w:val="18"/>
          <w:u w:val="single" w:color="auto"/>
          <w:color w:val="0000FF"/>
        </w:rPr>
        <w:t xml:space="preserve"> </w:t>
      </w:r>
      <w:hyperlink r:id="rId694">
        <w:r>
          <w:rPr>
            <w:rFonts w:ascii="Times New Roman" w:cs="Times New Roman" w:eastAsia="Times New Roman" w:hAnsi="Times New Roman"/>
            <w:sz w:val="18"/>
            <w:szCs w:val="18"/>
            <w:u w:val="single" w:color="auto"/>
            <w:color w:val="0000FF"/>
          </w:rPr>
          <w:t>Company’s Current Report on Form 8-K, filed May 18, 2020, File No. 1-1927), as supplemented by the Eighth Supplemental</w:t>
        </w:r>
      </w:hyperlink>
      <w:r>
        <w:rPr>
          <w:rFonts w:ascii="Times New Roman" w:cs="Times New Roman" w:eastAsia="Times New Roman" w:hAnsi="Times New Roman"/>
          <w:sz w:val="18"/>
          <w:szCs w:val="18"/>
          <w:u w:val="single" w:color="auto"/>
          <w:color w:val="0000FF"/>
        </w:rPr>
        <w:t xml:space="preserve"> </w:t>
      </w:r>
      <w:hyperlink r:id="rId694">
        <w:r>
          <w:rPr>
            <w:rFonts w:ascii="Times New Roman" w:cs="Times New Roman" w:eastAsia="Times New Roman" w:hAnsi="Times New Roman"/>
            <w:sz w:val="18"/>
            <w:szCs w:val="18"/>
            <w:u w:val="single" w:color="auto"/>
            <w:color w:val="0000FF"/>
          </w:rPr>
          <w:t>Indenture thereto, dated as of April 6, 2021, in respect of the Company’s 5.25% Senior Notes due April 2031 (incorporated by</w:t>
        </w:r>
      </w:hyperlink>
      <w:r>
        <w:rPr>
          <w:rFonts w:ascii="Times New Roman" w:cs="Times New Roman" w:eastAsia="Times New Roman" w:hAnsi="Times New Roman"/>
          <w:sz w:val="18"/>
          <w:szCs w:val="18"/>
          <w:u w:val="single" w:color="auto"/>
          <w:color w:val="0000FF"/>
        </w:rPr>
        <w:t xml:space="preserve"> </w:t>
      </w:r>
      <w:hyperlink r:id="rId695">
        <w:r>
          <w:rPr>
            <w:rFonts w:ascii="Times New Roman" w:cs="Times New Roman" w:eastAsia="Times New Roman" w:hAnsi="Times New Roman"/>
            <w:sz w:val="18"/>
            <w:szCs w:val="18"/>
            <w:u w:val="single" w:color="auto"/>
            <w:color w:val="0000FF"/>
          </w:rPr>
          <w:t>reference, filed as Exhibit 4.2 to the Company’s Current Report on Form 8-K, filed April 6, 2021, File No. 1-1927), as</w:t>
        </w:r>
      </w:hyperlink>
      <w:r>
        <w:rPr>
          <w:rFonts w:ascii="Times New Roman" w:cs="Times New Roman" w:eastAsia="Times New Roman" w:hAnsi="Times New Roman"/>
          <w:sz w:val="18"/>
          <w:szCs w:val="18"/>
          <w:u w:val="single" w:color="auto"/>
          <w:color w:val="0000FF"/>
        </w:rPr>
        <w:t xml:space="preserve"> </w:t>
      </w:r>
      <w:hyperlink r:id="rId695">
        <w:r>
          <w:rPr>
            <w:rFonts w:ascii="Times New Roman" w:cs="Times New Roman" w:eastAsia="Times New Roman" w:hAnsi="Times New Roman"/>
            <w:sz w:val="18"/>
            <w:szCs w:val="18"/>
            <w:u w:val="single" w:color="auto"/>
            <w:color w:val="0000FF"/>
          </w:rPr>
          <w:t>supplemented by the Ninth Supplemental Indenture thereto, dated as of April 6, 2021, in respect of the Company’s 5.625%</w:t>
        </w:r>
      </w:hyperlink>
      <w:r>
        <w:rPr>
          <w:rFonts w:ascii="Times New Roman" w:cs="Times New Roman" w:eastAsia="Times New Roman" w:hAnsi="Times New Roman"/>
          <w:sz w:val="18"/>
          <w:szCs w:val="18"/>
          <w:u w:val="single" w:color="auto"/>
          <w:color w:val="0000FF"/>
        </w:rPr>
        <w:t xml:space="preserve"> </w:t>
      </w:r>
      <w:hyperlink r:id="rId695">
        <w:r>
          <w:rPr>
            <w:rFonts w:ascii="Times New Roman" w:cs="Times New Roman" w:eastAsia="Times New Roman" w:hAnsi="Times New Roman"/>
            <w:sz w:val="18"/>
            <w:szCs w:val="18"/>
            <w:u w:val="single" w:color="auto"/>
            <w:color w:val="0000FF"/>
          </w:rPr>
          <w:t>Senior Notes due 2033 (incorporated by reference, filed as Exhibit 4.3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696">
        <w:r>
          <w:rPr>
            <w:rFonts w:ascii="Times New Roman" w:cs="Times New Roman" w:eastAsia="Times New Roman" w:hAnsi="Times New Roman"/>
            <w:sz w:val="18"/>
            <w:szCs w:val="18"/>
            <w:u w:val="single" w:color="auto"/>
            <w:color w:val="0000FF"/>
          </w:rPr>
          <w:t>April 6, 2021, File No. 1-1927), as supplemented by the Tenth Supplemental Indenture thereto, dated as of May 18, 2021, in</w:t>
        </w:r>
      </w:hyperlink>
      <w:r>
        <w:rPr>
          <w:rFonts w:ascii="Times New Roman" w:cs="Times New Roman" w:eastAsia="Times New Roman" w:hAnsi="Times New Roman"/>
          <w:sz w:val="18"/>
          <w:szCs w:val="18"/>
          <w:u w:val="single" w:color="auto"/>
          <w:color w:val="0000FF"/>
        </w:rPr>
        <w:t xml:space="preserve"> </w:t>
      </w:r>
      <w:hyperlink r:id="rId696">
        <w:r>
          <w:rPr>
            <w:rFonts w:ascii="Times New Roman" w:cs="Times New Roman" w:eastAsia="Times New Roman" w:hAnsi="Times New Roman"/>
            <w:sz w:val="18"/>
            <w:szCs w:val="18"/>
            <w:u w:val="single" w:color="auto"/>
            <w:color w:val="0000FF"/>
          </w:rPr>
          <w:t>respect of the Company’s 5% Senior Notes due 2029 (incorporated by reference, filed as Exhibit 4.2 to the Company’s Current</w:t>
        </w:r>
      </w:hyperlink>
      <w:r>
        <w:rPr>
          <w:rFonts w:ascii="Times New Roman" w:cs="Times New Roman" w:eastAsia="Times New Roman" w:hAnsi="Times New Roman"/>
          <w:sz w:val="18"/>
          <w:szCs w:val="18"/>
          <w:u w:val="single" w:color="auto"/>
          <w:color w:val="0000FF"/>
        </w:rPr>
        <w:t xml:space="preserve"> </w:t>
      </w:r>
      <w:hyperlink r:id="rId697">
        <w:r>
          <w:rPr>
            <w:rFonts w:ascii="Times New Roman" w:cs="Times New Roman" w:eastAsia="Times New Roman" w:hAnsi="Times New Roman"/>
            <w:sz w:val="18"/>
            <w:szCs w:val="18"/>
            <w:u w:val="single" w:color="auto"/>
            <w:color w:val="0000FF"/>
          </w:rPr>
          <w:t>Report on Form 8-K, filed May 18, 2021, File No. 1-1927), and as supplemented by the Eleventh Supplemental Indenture</w:t>
        </w:r>
      </w:hyperlink>
      <w:r>
        <w:rPr>
          <w:rFonts w:ascii="Times New Roman" w:cs="Times New Roman" w:eastAsia="Times New Roman" w:hAnsi="Times New Roman"/>
          <w:sz w:val="18"/>
          <w:szCs w:val="18"/>
          <w:u w:val="single" w:color="auto"/>
          <w:color w:val="0000FF"/>
        </w:rPr>
        <w:t xml:space="preserve"> </w:t>
      </w:r>
      <w:hyperlink r:id="rId697">
        <w:r>
          <w:rPr>
            <w:rFonts w:ascii="Times New Roman" w:cs="Times New Roman" w:eastAsia="Times New Roman" w:hAnsi="Times New Roman"/>
            <w:sz w:val="18"/>
            <w:szCs w:val="18"/>
            <w:u w:val="single" w:color="auto"/>
            <w:color w:val="0000FF"/>
          </w:rPr>
          <w:t>thereto, dated as of May 18, 2021, in respect of the Company’s 5.25% Senior Notes due July 2031 (incorporated by reference,</w:t>
        </w:r>
      </w:hyperlink>
      <w:r>
        <w:rPr>
          <w:rFonts w:ascii="Times New Roman" w:cs="Times New Roman" w:eastAsia="Times New Roman" w:hAnsi="Times New Roman"/>
          <w:sz w:val="18"/>
          <w:szCs w:val="18"/>
          <w:u w:val="single" w:color="auto"/>
          <w:color w:val="0000FF"/>
        </w:rPr>
        <w:t xml:space="preserve"> </w:t>
      </w:r>
      <w:hyperlink r:id="rId697">
        <w:r>
          <w:rPr>
            <w:rFonts w:ascii="Times New Roman" w:cs="Times New Roman" w:eastAsia="Times New Roman" w:hAnsi="Times New Roman"/>
            <w:sz w:val="18"/>
            <w:szCs w:val="18"/>
            <w:u w:val="single" w:color="auto"/>
            <w:color w:val="0000FF"/>
          </w:rPr>
          <w:t>filed as Exhibit 4.3 to the Company’s Current Report on Form 8-K, filed May 18, 2021, File No. 1-1927).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664210</wp:posOffset>
            </wp:positionH>
            <wp:positionV relativeFrom="paragraph">
              <wp:posOffset>-1539240</wp:posOffset>
            </wp:positionV>
            <wp:extent cx="582168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8">
                      <a:extLst>
                        <a:ext uri="{28A0092B-C50C-407E-A947-70E740481C1C}"/>
                      </a:extLst>
                    </a:blip>
                    <a:srcRect/>
                    <a:stretch>
                      <a:fillRect/>
                    </a:stretch>
                  </pic:blipFill>
                  <pic:spPr bwMode="auto">
                    <a:xfrm>
                      <a:off x="0" y="0"/>
                      <a:ext cx="582168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-1402080</wp:posOffset>
            </wp:positionV>
            <wp:extent cx="581533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9">
                      <a:extLst>
                        <a:ext uri="{28A0092B-C50C-407E-A947-70E740481C1C}"/>
                      </a:extLst>
                    </a:blip>
                    <a:srcRect/>
                    <a:stretch>
                      <a:fillRect/>
                    </a:stretch>
                  </pic:blipFill>
                  <pic:spPr bwMode="auto">
                    <a:xfrm>
                      <a:off x="0" y="0"/>
                      <a:ext cx="581533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-1264920</wp:posOffset>
            </wp:positionV>
            <wp:extent cx="582168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0">
                      <a:extLst>
                        <a:ext uri="{28A0092B-C50C-407E-A947-70E740481C1C}"/>
                      </a:extLst>
                    </a:blip>
                    <a:srcRect/>
                    <a:stretch>
                      <a:fillRect/>
                    </a:stretch>
                  </pic:blipFill>
                  <pic:spPr bwMode="auto">
                    <a:xfrm>
                      <a:off x="0" y="0"/>
                      <a:ext cx="582168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-1127760</wp:posOffset>
            </wp:positionV>
            <wp:extent cx="58216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1">
                      <a:extLst>
                        <a:ext uri="{28A0092B-C50C-407E-A947-70E740481C1C}"/>
                      </a:extLst>
                    </a:blip>
                    <a:srcRect/>
                    <a:stretch>
                      <a:fillRect/>
                    </a:stretch>
                  </pic:blipFill>
                  <pic:spPr bwMode="auto">
                    <a:xfrm>
                      <a:off x="0" y="0"/>
                      <a:ext cx="582168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-991235</wp:posOffset>
            </wp:positionV>
            <wp:extent cx="581469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2">
                      <a:extLst>
                        <a:ext uri="{28A0092B-C50C-407E-A947-70E740481C1C}"/>
                      </a:extLst>
                    </a:blip>
                    <a:srcRect/>
                    <a:stretch>
                      <a:fillRect/>
                    </a:stretch>
                  </pic:blipFill>
                  <pic:spPr bwMode="auto">
                    <a:xfrm>
                      <a:off x="0" y="0"/>
                      <a:ext cx="581469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-854075</wp:posOffset>
            </wp:positionV>
            <wp:extent cx="581533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3">
                      <a:extLst>
                        <a:ext uri="{28A0092B-C50C-407E-A947-70E740481C1C}"/>
                      </a:extLst>
                    </a:blip>
                    <a:srcRect/>
                    <a:stretch>
                      <a:fillRect/>
                    </a:stretch>
                  </pic:blipFill>
                  <pic:spPr bwMode="auto">
                    <a:xfrm>
                      <a:off x="0" y="0"/>
                      <a:ext cx="581533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-716915</wp:posOffset>
            </wp:positionV>
            <wp:extent cx="581850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4">
                      <a:extLst>
                        <a:ext uri="{28A0092B-C50C-407E-A947-70E740481C1C}"/>
                      </a:extLst>
                    </a:blip>
                    <a:srcRect/>
                    <a:stretch>
                      <a:fillRect/>
                    </a:stretch>
                  </pic:blipFill>
                  <pic:spPr bwMode="auto">
                    <a:xfrm>
                      <a:off x="0" y="0"/>
                      <a:ext cx="581850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-579755</wp:posOffset>
            </wp:positionV>
            <wp:extent cx="582041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5">
                      <a:extLst>
                        <a:ext uri="{28A0092B-C50C-407E-A947-70E740481C1C}"/>
                      </a:extLst>
                    </a:blip>
                    <a:srcRect/>
                    <a:stretch>
                      <a:fillRect/>
                    </a:stretch>
                  </pic:blipFill>
                  <pic:spPr bwMode="auto">
                    <a:xfrm>
                      <a:off x="0" y="0"/>
                      <a:ext cx="582041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-443230</wp:posOffset>
            </wp:positionV>
            <wp:extent cx="581596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6">
                      <a:extLst>
                        <a:ext uri="{28A0092B-C50C-407E-A947-70E740481C1C}"/>
                      </a:extLst>
                    </a:blip>
                    <a:srcRect/>
                    <a:stretch>
                      <a:fillRect/>
                    </a:stretch>
                  </pic:blipFill>
                  <pic:spPr bwMode="auto">
                    <a:xfrm>
                      <a:off x="0" y="0"/>
                      <a:ext cx="581596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-306070</wp:posOffset>
            </wp:positionV>
            <wp:extent cx="581914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7">
                      <a:extLst>
                        <a:ext uri="{28A0092B-C50C-407E-A947-70E740481C1C}"/>
                      </a:extLst>
                    </a:blip>
                    <a:srcRect/>
                    <a:stretch>
                      <a:fillRect/>
                    </a:stretch>
                  </pic:blipFill>
                  <pic:spPr bwMode="auto">
                    <a:xfrm>
                      <a:off x="0" y="0"/>
                      <a:ext cx="581914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-168910</wp:posOffset>
            </wp:positionV>
            <wp:extent cx="582041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8">
                      <a:extLst>
                        <a:ext uri="{28A0092B-C50C-407E-A947-70E740481C1C}"/>
                      </a:extLst>
                    </a:blip>
                    <a:srcRect/>
                    <a:stretch>
                      <a:fillRect/>
                    </a:stretch>
                  </pic:blipFill>
                  <pic:spPr bwMode="auto">
                    <a:xfrm>
                      <a:off x="0" y="0"/>
                      <a:ext cx="582041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-32385</wp:posOffset>
            </wp:positionV>
            <wp:extent cx="482409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9">
                      <a:extLst>
                        <a:ext uri="{28A0092B-C50C-407E-A947-70E740481C1C}"/>
                      </a:extLst>
                    </a:blip>
                    <a:srcRect/>
                    <a:stretch>
                      <a:fillRect/>
                    </a:stretch>
                  </pic:blipFill>
                  <pic:spPr bwMode="auto">
                    <a:xfrm>
                      <a:off x="0" y="0"/>
                      <a:ext cx="4824095" cy="8255"/>
                    </a:xfrm>
                    <a:prstGeom prst="rect">
                      <a:avLst/>
                    </a:prstGeom>
                    <a:noFill/>
                  </pic:spPr>
                </pic:pic>
              </a:graphicData>
            </a:graphic>
          </wp:anchor>
        </w:drawing>
      </w:r>
    </w:p>
    <w:p>
      <w:pPr>
        <w:spacing w:after="0" w:line="166" w:lineRule="exact"/>
        <w:rPr>
          <w:rFonts w:ascii="Times New Roman" w:cs="Times New Roman" w:eastAsia="Times New Roman" w:hAnsi="Times New Roman"/>
          <w:sz w:val="18"/>
          <w:szCs w:val="18"/>
          <w:u w:val="single" w:color="auto"/>
          <w:color w:val="0000FF"/>
        </w:rPr>
      </w:pPr>
    </w:p>
    <w:p>
      <w:pPr>
        <w:jc w:val="both"/>
        <w:ind w:left="1060" w:right="700" w:hanging="690"/>
        <w:spacing w:after="0" w:line="258" w:lineRule="auto"/>
        <w:tabs>
          <w:tab w:leader="none" w:pos="1060" w:val="left"/>
        </w:tabs>
        <w:numPr>
          <w:ilvl w:val="0"/>
          <w:numId w:val="57"/>
        </w:numPr>
        <w:rPr>
          <w:rFonts w:ascii="Times New Roman" w:cs="Times New Roman" w:eastAsia="Times New Roman" w:hAnsi="Times New Roman"/>
          <w:sz w:val="18"/>
          <w:szCs w:val="18"/>
          <w:u w:val="single" w:color="auto"/>
          <w:color w:val="0000FF"/>
        </w:rPr>
      </w:pPr>
      <w:hyperlink r:id="rId710">
        <w:r>
          <w:rPr>
            <w:rFonts w:ascii="Times New Roman" w:cs="Times New Roman" w:eastAsia="Times New Roman" w:hAnsi="Times New Roman"/>
            <w:sz w:val="18"/>
            <w:szCs w:val="18"/>
            <w:u w:val="single" w:color="auto"/>
            <w:color w:val="0000FF"/>
          </w:rPr>
          <w:t>Indenture, dated as of September 28, 2021, among Goodyear Europe B.V, as Issuer, the Company, as Parent Guarantor, the</w:t>
        </w:r>
      </w:hyperlink>
      <w:r>
        <w:rPr>
          <w:rFonts w:ascii="Times New Roman" w:cs="Times New Roman" w:eastAsia="Times New Roman" w:hAnsi="Times New Roman"/>
          <w:sz w:val="18"/>
          <w:szCs w:val="18"/>
          <w:u w:val="single" w:color="auto"/>
          <w:color w:val="0000FF"/>
        </w:rPr>
        <w:t xml:space="preserve"> </w:t>
      </w:r>
      <w:hyperlink r:id="rId710">
        <w:r>
          <w:rPr>
            <w:rFonts w:ascii="Times New Roman" w:cs="Times New Roman" w:eastAsia="Times New Roman" w:hAnsi="Times New Roman"/>
            <w:sz w:val="18"/>
            <w:szCs w:val="18"/>
            <w:u w:val="single" w:color="auto"/>
            <w:color w:val="0000FF"/>
          </w:rPr>
          <w:t>subsidiary guarantors party thereto, Deutsche Trustee Company Limited, as Trustee, Deutsche Bank AG, London Branch, as</w:t>
        </w:r>
      </w:hyperlink>
      <w:r>
        <w:rPr>
          <w:rFonts w:ascii="Times New Roman" w:cs="Times New Roman" w:eastAsia="Times New Roman" w:hAnsi="Times New Roman"/>
          <w:sz w:val="18"/>
          <w:szCs w:val="18"/>
          <w:u w:val="single" w:color="auto"/>
          <w:color w:val="0000FF"/>
        </w:rPr>
        <w:t xml:space="preserve"> </w:t>
      </w:r>
      <w:hyperlink r:id="rId710">
        <w:r>
          <w:rPr>
            <w:rFonts w:ascii="Times New Roman" w:cs="Times New Roman" w:eastAsia="Times New Roman" w:hAnsi="Times New Roman"/>
            <w:sz w:val="18"/>
            <w:szCs w:val="18"/>
            <w:u w:val="single" w:color="auto"/>
            <w:color w:val="0000FF"/>
          </w:rPr>
          <w:t>Principal Paying Agent and Transfer Agent, and Deutsche Bank Luxembourg S.A., as Registrar and Transfer Agent, in respect</w:t>
        </w:r>
      </w:hyperlink>
      <w:r>
        <w:rPr>
          <w:rFonts w:ascii="Times New Roman" w:cs="Times New Roman" w:eastAsia="Times New Roman" w:hAnsi="Times New Roman"/>
          <w:sz w:val="18"/>
          <w:szCs w:val="18"/>
          <w:u w:val="single" w:color="auto"/>
          <w:color w:val="0000FF"/>
        </w:rPr>
        <w:t xml:space="preserve"> </w:t>
      </w:r>
      <w:hyperlink r:id="rId710">
        <w:r>
          <w:rPr>
            <w:rFonts w:ascii="Times New Roman" w:cs="Times New Roman" w:eastAsia="Times New Roman" w:hAnsi="Times New Roman"/>
            <w:sz w:val="18"/>
            <w:szCs w:val="18"/>
            <w:u w:val="single" w:color="auto"/>
            <w:color w:val="0000FF"/>
          </w:rPr>
          <w:t>of GEBV's 2.75% Senior Notes due 2028 (incorporated by reference, filed as Exhibit 4.1 to the Company's Current Report on</w:t>
        </w:r>
      </w:hyperlink>
      <w:r>
        <w:rPr>
          <w:rFonts w:ascii="Times New Roman" w:cs="Times New Roman" w:eastAsia="Times New Roman" w:hAnsi="Times New Roman"/>
          <w:sz w:val="18"/>
          <w:szCs w:val="18"/>
          <w:u w:val="single" w:color="auto"/>
          <w:color w:val="0000FF"/>
        </w:rPr>
        <w:t xml:space="preserve"> </w:t>
      </w:r>
      <w:hyperlink r:id="rId710">
        <w:r>
          <w:rPr>
            <w:rFonts w:ascii="Times New Roman" w:cs="Times New Roman" w:eastAsia="Times New Roman" w:hAnsi="Times New Roman"/>
            <w:sz w:val="18"/>
            <w:szCs w:val="18"/>
            <w:u w:val="single" w:color="auto"/>
            <w:color w:val="0000FF"/>
          </w:rPr>
          <w:t>Form 8-K, filed September 28, 2021, File No. 1-1927).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673100</wp:posOffset>
            </wp:positionH>
            <wp:positionV relativeFrom="paragraph">
              <wp:posOffset>-582930</wp:posOffset>
            </wp:positionV>
            <wp:extent cx="58000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1">
                      <a:extLst>
                        <a:ext uri="{28A0092B-C50C-407E-A947-70E740481C1C}"/>
                      </a:extLst>
                    </a:blip>
                    <a:srcRect/>
                    <a:stretch>
                      <a:fillRect/>
                    </a:stretch>
                  </pic:blipFill>
                  <pic:spPr bwMode="auto">
                    <a:xfrm>
                      <a:off x="0" y="0"/>
                      <a:ext cx="580009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-445770</wp:posOffset>
            </wp:positionV>
            <wp:extent cx="580326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2">
                      <a:extLst>
                        <a:ext uri="{28A0092B-C50C-407E-A947-70E740481C1C}"/>
                      </a:extLst>
                    </a:blip>
                    <a:srcRect/>
                    <a:stretch>
                      <a:fillRect/>
                    </a:stretch>
                  </pic:blipFill>
                  <pic:spPr bwMode="auto">
                    <a:xfrm>
                      <a:off x="0" y="0"/>
                      <a:ext cx="580326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-308610</wp:posOffset>
            </wp:positionV>
            <wp:extent cx="580263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3">
                      <a:extLst>
                        <a:ext uri="{28A0092B-C50C-407E-A947-70E740481C1C}"/>
                      </a:extLst>
                    </a:blip>
                    <a:srcRect/>
                    <a:stretch>
                      <a:fillRect/>
                    </a:stretch>
                  </pic:blipFill>
                  <pic:spPr bwMode="auto">
                    <a:xfrm>
                      <a:off x="0" y="0"/>
                      <a:ext cx="580263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-172085</wp:posOffset>
            </wp:positionV>
            <wp:extent cx="57994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4">
                      <a:extLst>
                        <a:ext uri="{28A0092B-C50C-407E-A947-70E740481C1C}"/>
                      </a:extLst>
                    </a:blip>
                    <a:srcRect/>
                    <a:stretch>
                      <a:fillRect/>
                    </a:stretch>
                  </pic:blipFill>
                  <pic:spPr bwMode="auto">
                    <a:xfrm>
                      <a:off x="0" y="0"/>
                      <a:ext cx="57994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-34925</wp:posOffset>
            </wp:positionV>
            <wp:extent cx="251333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5">
                      <a:extLst>
                        <a:ext uri="{28A0092B-C50C-407E-A947-70E740481C1C}"/>
                      </a:extLst>
                    </a:blip>
                    <a:srcRect/>
                    <a:stretch>
                      <a:fillRect/>
                    </a:stretch>
                  </pic:blipFill>
                  <pic:spPr bwMode="auto">
                    <a:xfrm>
                      <a:off x="0" y="0"/>
                      <a:ext cx="2513330" cy="8255"/>
                    </a:xfrm>
                    <a:prstGeom prst="rect">
                      <a:avLst/>
                    </a:prstGeom>
                    <a:noFill/>
                  </pic:spPr>
                </pic:pic>
              </a:graphicData>
            </a:graphic>
          </wp:anchor>
        </w:drawing>
      </w:r>
    </w:p>
    <w:p>
      <w:pPr>
        <w:spacing w:after="0" w:line="175" w:lineRule="exact"/>
        <w:rPr>
          <w:rFonts w:ascii="Times New Roman" w:cs="Times New Roman" w:eastAsia="Times New Roman" w:hAnsi="Times New Roman"/>
          <w:sz w:val="18"/>
          <w:szCs w:val="18"/>
          <w:u w:val="single" w:color="auto"/>
          <w:color w:val="0000FF"/>
        </w:rPr>
      </w:pPr>
    </w:p>
    <w:p>
      <w:pPr>
        <w:ind w:left="360"/>
        <w:spacing w:after="0"/>
        <w:tabs>
          <w:tab w:leader="none" w:pos="1040" w:val="left"/>
          <w:tab w:leader="none" w:pos="10660" w:val="left"/>
        </w:tabs>
        <w:rPr>
          <w:sz w:val="20"/>
          <w:szCs w:val="20"/>
          <w:color w:val="auto"/>
        </w:rPr>
      </w:pPr>
      <w:r>
        <w:rPr>
          <w:rFonts w:ascii="Times New Roman" w:cs="Times New Roman" w:eastAsia="Times New Roman" w:hAnsi="Times New Roman"/>
          <w:sz w:val="18"/>
          <w:szCs w:val="18"/>
          <w:color w:val="auto"/>
        </w:rPr>
        <w:t>(g)</w:t>
      </w:r>
      <w:r>
        <w:rPr>
          <w:sz w:val="20"/>
          <w:szCs w:val="20"/>
          <w:color w:val="auto"/>
        </w:rPr>
        <w:tab/>
      </w:r>
      <w:r>
        <w:rPr>
          <w:rFonts w:ascii="Times New Roman" w:cs="Times New Roman" w:eastAsia="Times New Roman" w:hAnsi="Times New Roman"/>
          <w:sz w:val="18"/>
          <w:szCs w:val="18"/>
          <w:u w:val="single" w:color="auto"/>
          <w:color w:val="0000FF"/>
        </w:rPr>
        <w:t>Description of Common Stock</w:t>
      </w:r>
      <w:r>
        <w:rPr>
          <w:sz w:val="20"/>
          <w:szCs w:val="20"/>
          <w:color w:val="auto"/>
        </w:rPr>
        <w:tab/>
      </w:r>
      <w:r>
        <w:rPr>
          <w:rFonts w:ascii="Times New Roman" w:cs="Times New Roman" w:eastAsia="Times New Roman" w:hAnsi="Times New Roman"/>
          <w:sz w:val="17"/>
          <w:szCs w:val="17"/>
          <w:color w:val="auto"/>
        </w:rPr>
        <w:t>4.1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673100</wp:posOffset>
            </wp:positionH>
            <wp:positionV relativeFrom="paragraph">
              <wp:posOffset>-7620</wp:posOffset>
            </wp:positionV>
            <wp:extent cx="139763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6">
                      <a:extLst>
                        <a:ext uri="{28A0092B-C50C-407E-A947-70E740481C1C}"/>
                      </a:extLst>
                    </a:blip>
                    <a:srcRect/>
                    <a:stretch>
                      <a:fillRect/>
                    </a:stretch>
                  </pic:blipFill>
                  <pic:spPr bwMode="auto">
                    <a:xfrm>
                      <a:off x="0" y="0"/>
                      <a:ext cx="1397635" cy="8255"/>
                    </a:xfrm>
                    <a:prstGeom prst="rect">
                      <a:avLst/>
                    </a:prstGeom>
                    <a:noFill/>
                  </pic:spPr>
                </pic:pic>
              </a:graphicData>
            </a:graphic>
          </wp:anchor>
        </w:drawing>
      </w:r>
    </w:p>
    <w:p>
      <w:pPr>
        <w:spacing w:after="0" w:line="218" w:lineRule="exact"/>
        <w:rPr>
          <w:rFonts w:ascii="Times New Roman" w:cs="Times New Roman" w:eastAsia="Times New Roman" w:hAnsi="Times New Roman"/>
          <w:sz w:val="18"/>
          <w:szCs w:val="18"/>
          <w:u w:val="single" w:color="auto"/>
          <w:color w:val="0000FF"/>
        </w:rPr>
      </w:pPr>
    </w:p>
    <w:p>
      <w:pPr>
        <w:jc w:val="both"/>
        <w:ind w:left="1060" w:right="700"/>
        <w:spacing w:after="0" w:line="260" w:lineRule="auto"/>
        <w:rPr>
          <w:sz w:val="20"/>
          <w:szCs w:val="20"/>
          <w:color w:val="auto"/>
        </w:rPr>
      </w:pPr>
      <w:r>
        <w:rPr>
          <w:rFonts w:ascii="Times New Roman" w:cs="Times New Roman" w:eastAsia="Times New Roman" w:hAnsi="Times New Roman"/>
          <w:sz w:val="18"/>
          <w:szCs w:val="18"/>
          <w:color w:val="auto"/>
        </w:rPr>
        <w:t>In accordance with Item 601(b)(4)(iii) of Regulation S-K, certain instruments defining the rights of holders of long term debt of the Company and its consolidated subsidiaries pursuant to which the total amount of securities authorized thereunder does not exceed 10% of the total assets of the Company and its subsidiaries on a consolidated basis are not filed herewith. The Company hereby agrees to furnish a copy of any such instrument to the SEC upon request.</w:t>
      </w:r>
    </w:p>
    <w:p>
      <w:pPr>
        <w:spacing w:after="0" w:line="191" w:lineRule="exact"/>
        <w:rPr>
          <w:rFonts w:ascii="Times New Roman" w:cs="Times New Roman" w:eastAsia="Times New Roman" w:hAnsi="Times New Roman"/>
          <w:sz w:val="18"/>
          <w:szCs w:val="18"/>
          <w:u w:val="single" w:color="auto"/>
          <w:color w:val="0000FF"/>
        </w:rPr>
      </w:pPr>
    </w:p>
    <w:p>
      <w:pPr>
        <w:ind w:left="1040" w:hanging="670"/>
        <w:spacing w:after="0"/>
        <w:tabs>
          <w:tab w:leader="none" w:pos="1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Contracts</w:t>
      </w:r>
    </w:p>
    <w:p>
      <w:pPr>
        <w:spacing w:after="0" w:line="242" w:lineRule="exact"/>
        <w:rPr>
          <w:rFonts w:ascii="Times New Roman" w:cs="Times New Roman" w:eastAsia="Times New Roman" w:hAnsi="Times New Roman"/>
          <w:sz w:val="18"/>
          <w:szCs w:val="18"/>
          <w:u w:val="single" w:color="auto"/>
          <w:color w:val="0000FF"/>
        </w:rPr>
      </w:pPr>
    </w:p>
    <w:p>
      <w:pPr>
        <w:jc w:val="both"/>
        <w:ind w:left="1060" w:right="700" w:hanging="700"/>
        <w:spacing w:after="0" w:line="260" w:lineRule="auto"/>
        <w:tabs>
          <w:tab w:leader="none" w:pos="1060" w:val="left"/>
        </w:tabs>
        <w:numPr>
          <w:ilvl w:val="0"/>
          <w:numId w:val="59"/>
        </w:numPr>
        <w:rPr>
          <w:rFonts w:ascii="Times New Roman" w:cs="Times New Roman" w:eastAsia="Times New Roman" w:hAnsi="Times New Roman"/>
          <w:sz w:val="18"/>
          <w:szCs w:val="18"/>
          <w:color w:val="0000FF"/>
        </w:rPr>
      </w:pPr>
      <w:hyperlink r:id="rId717">
        <w:r>
          <w:rPr>
            <w:rFonts w:ascii="Times New Roman" w:cs="Times New Roman" w:eastAsia="Times New Roman" w:hAnsi="Times New Roman"/>
            <w:sz w:val="18"/>
            <w:szCs w:val="18"/>
            <w:u w:val="single" w:color="auto"/>
            <w:color w:val="0000FF"/>
          </w:rPr>
          <w:t>Amended and Restated First Lien Credit Agreement, dated as of June 7, 2021, as amended as of September 15, 2022, among</w:t>
        </w:r>
      </w:hyperlink>
      <w:r>
        <w:rPr>
          <w:rFonts w:ascii="Times New Roman" w:cs="Times New Roman" w:eastAsia="Times New Roman" w:hAnsi="Times New Roman"/>
          <w:sz w:val="18"/>
          <w:szCs w:val="18"/>
          <w:u w:val="single" w:color="auto"/>
          <w:color w:val="0000FF"/>
        </w:rPr>
        <w:t xml:space="preserve"> </w:t>
      </w:r>
      <w:hyperlink r:id="rId717">
        <w:r>
          <w:rPr>
            <w:rFonts w:ascii="Times New Roman" w:cs="Times New Roman" w:eastAsia="Times New Roman" w:hAnsi="Times New Roman"/>
            <w:sz w:val="18"/>
            <w:szCs w:val="18"/>
            <w:u w:val="single" w:color="auto"/>
            <w:color w:val="0000FF"/>
          </w:rPr>
          <w:t>the Company, the lenders and issuing banks party thereto, and JPMorgan Chase Bank, N.A., as Administrative Agent and</w:t>
        </w:r>
      </w:hyperlink>
      <w:r>
        <w:rPr>
          <w:rFonts w:ascii="Times New Roman" w:cs="Times New Roman" w:eastAsia="Times New Roman" w:hAnsi="Times New Roman"/>
          <w:sz w:val="18"/>
          <w:szCs w:val="18"/>
          <w:u w:val="single" w:color="auto"/>
          <w:color w:val="0000FF"/>
        </w:rPr>
        <w:t xml:space="preserve"> </w:t>
      </w:r>
      <w:hyperlink r:id="rId717">
        <w:r>
          <w:rPr>
            <w:rFonts w:ascii="Times New Roman" w:cs="Times New Roman" w:eastAsia="Times New Roman" w:hAnsi="Times New Roman"/>
            <w:sz w:val="18"/>
            <w:szCs w:val="18"/>
            <w:u w:val="single" w:color="auto"/>
            <w:color w:val="0000FF"/>
          </w:rPr>
          <w:t>Collateral Agent (incorporated by reference, filed as Exhibit 10.1 to the Company's Quarterly Report on Form 10-Q for the</w:t>
        </w:r>
      </w:hyperlink>
      <w:r>
        <w:rPr>
          <w:rFonts w:ascii="Times New Roman" w:cs="Times New Roman" w:eastAsia="Times New Roman" w:hAnsi="Times New Roman"/>
          <w:sz w:val="18"/>
          <w:szCs w:val="18"/>
          <w:u w:val="single" w:color="auto"/>
          <w:color w:val="0000FF"/>
        </w:rPr>
        <w:t xml:space="preserve"> </w:t>
      </w:r>
      <w:hyperlink r:id="rId717">
        <w:r>
          <w:rPr>
            <w:rFonts w:ascii="Times New Roman" w:cs="Times New Roman" w:eastAsia="Times New Roman" w:hAnsi="Times New Roman"/>
            <w:sz w:val="18"/>
            <w:szCs w:val="18"/>
            <w:u w:val="single" w:color="auto"/>
            <w:color w:val="0000FF"/>
          </w:rPr>
          <w:t>quarter ended September 30, 2022, File No. 1-1927).</w:t>
        </w:r>
        <w:r>
          <w:rPr>
            <w:rFonts w:ascii="Times New Roman" w:cs="Times New Roman" w:eastAsia="Times New Roman" w:hAnsi="Times New Roman"/>
            <w:sz w:val="18"/>
            <w:szCs w:val="18"/>
            <w:color w:val="000000"/>
          </w:rPr>
          <w: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673100</wp:posOffset>
            </wp:positionH>
            <wp:positionV relativeFrom="paragraph">
              <wp:posOffset>-445770</wp:posOffset>
            </wp:positionV>
            <wp:extent cx="579755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8">
                      <a:extLst>
                        <a:ext uri="{28A0092B-C50C-407E-A947-70E740481C1C}"/>
                      </a:extLst>
                    </a:blip>
                    <a:srcRect/>
                    <a:stretch>
                      <a:fillRect/>
                    </a:stretch>
                  </pic:blipFill>
                  <pic:spPr bwMode="auto">
                    <a:xfrm>
                      <a:off x="0" y="0"/>
                      <a:ext cx="579755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-309245</wp:posOffset>
            </wp:positionV>
            <wp:extent cx="580326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9">
                      <a:extLst>
                        <a:ext uri="{28A0092B-C50C-407E-A947-70E740481C1C}"/>
                      </a:extLst>
                    </a:blip>
                    <a:srcRect/>
                    <a:stretch>
                      <a:fillRect/>
                    </a:stretch>
                  </pic:blipFill>
                  <pic:spPr bwMode="auto">
                    <a:xfrm>
                      <a:off x="0" y="0"/>
                      <a:ext cx="580326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-172085</wp:posOffset>
            </wp:positionV>
            <wp:extent cx="579691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0">
                      <a:extLst>
                        <a:ext uri="{28A0092B-C50C-407E-A947-70E740481C1C}"/>
                      </a:extLst>
                    </a:blip>
                    <a:srcRect/>
                    <a:stretch>
                      <a:fillRect/>
                    </a:stretch>
                  </pic:blipFill>
                  <pic:spPr bwMode="auto">
                    <a:xfrm>
                      <a:off x="0" y="0"/>
                      <a:ext cx="579691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-34925</wp:posOffset>
            </wp:positionV>
            <wp:extent cx="241808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1">
                      <a:extLst>
                        <a:ext uri="{28A0092B-C50C-407E-A947-70E740481C1C}"/>
                      </a:extLst>
                    </a:blip>
                    <a:srcRect/>
                    <a:stretch>
                      <a:fillRect/>
                    </a:stretch>
                  </pic:blipFill>
                  <pic:spPr bwMode="auto">
                    <a:xfrm>
                      <a:off x="0" y="0"/>
                      <a:ext cx="2418080" cy="8255"/>
                    </a:xfrm>
                    <a:prstGeom prst="rect">
                      <a:avLst/>
                    </a:prstGeom>
                    <a:noFill/>
                  </pic:spPr>
                </pic:pic>
              </a:graphicData>
            </a:graphic>
          </wp:anchor>
        </w:drawing>
      </w:r>
    </w:p>
    <w:p>
      <w:pPr>
        <w:spacing w:after="0" w:line="81" w:lineRule="exact"/>
        <w:rPr>
          <w:rFonts w:ascii="Times New Roman" w:cs="Times New Roman" w:eastAsia="Times New Roman" w:hAnsi="Times New Roman"/>
          <w:sz w:val="18"/>
          <w:szCs w:val="18"/>
          <w:u w:val="single" w:color="auto"/>
          <w:color w:val="0000FF"/>
        </w:rPr>
      </w:pPr>
    </w:p>
    <w:p>
      <w:pPr>
        <w:jc w:val="center"/>
        <w:ind w:right="-339"/>
        <w:spacing w:after="0"/>
        <w:rPr>
          <w:sz w:val="20"/>
          <w:szCs w:val="20"/>
          <w:color w:val="auto"/>
        </w:rPr>
      </w:pPr>
      <w:r>
        <w:rPr>
          <w:rFonts w:ascii="Times New Roman" w:cs="Times New Roman" w:eastAsia="Times New Roman" w:hAnsi="Times New Roman"/>
          <w:sz w:val="18"/>
          <w:szCs w:val="18"/>
          <w:color w:val="auto"/>
        </w:rPr>
        <w:t>X-2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764" w:right="6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left="1080" w:right="1040" w:hanging="718"/>
        <w:spacing w:after="0" w:line="260" w:lineRule="auto"/>
        <w:tabs>
          <w:tab w:leader="none" w:pos="1080" w:val="left"/>
        </w:tabs>
        <w:numPr>
          <w:ilvl w:val="0"/>
          <w:numId w:val="60"/>
        </w:numPr>
        <w:rPr>
          <w:rFonts w:ascii="Times New Roman" w:cs="Times New Roman" w:eastAsia="Times New Roman" w:hAnsi="Times New Roman"/>
          <w:sz w:val="18"/>
          <w:szCs w:val="18"/>
          <w:u w:val="single" w:color="auto"/>
          <w:color w:val="0000FF"/>
        </w:rPr>
      </w:pPr>
      <w:hyperlink r:id="rId724">
        <w:r>
          <w:rPr>
            <w:rFonts w:ascii="Times New Roman" w:cs="Times New Roman" w:eastAsia="Times New Roman" w:hAnsi="Times New Roman"/>
            <w:sz w:val="18"/>
            <w:szCs w:val="18"/>
            <w:u w:val="single" w:color="auto"/>
            <w:color w:val="0000FF"/>
          </w:rPr>
          <w:t>Reaffirmation of First Lien Guarantee and Collateral Agreement, dated as of June 7, 2021, among the Company, the</w:t>
        </w:r>
      </w:hyperlink>
      <w:r>
        <w:rPr>
          <w:rFonts w:ascii="Times New Roman" w:cs="Times New Roman" w:eastAsia="Times New Roman" w:hAnsi="Times New Roman"/>
          <w:sz w:val="18"/>
          <w:szCs w:val="18"/>
          <w:u w:val="single" w:color="auto"/>
          <w:color w:val="0000FF"/>
        </w:rPr>
        <w:t xml:space="preserve"> </w:t>
      </w:r>
      <w:hyperlink r:id="rId724">
        <w:r>
          <w:rPr>
            <w:rFonts w:ascii="Times New Roman" w:cs="Times New Roman" w:eastAsia="Times New Roman" w:hAnsi="Times New Roman"/>
            <w:sz w:val="18"/>
            <w:szCs w:val="18"/>
            <w:u w:val="single" w:color="auto"/>
            <w:color w:val="0000FF"/>
          </w:rPr>
          <w:t>subsidiaries of the Company identified therein and JPMorgan Chase Bank, N.A., as Administrative Agent and Collateral</w:t>
        </w:r>
      </w:hyperlink>
      <w:r>
        <w:rPr>
          <w:rFonts w:ascii="Times New Roman" w:cs="Times New Roman" w:eastAsia="Times New Roman" w:hAnsi="Times New Roman"/>
          <w:sz w:val="18"/>
          <w:szCs w:val="18"/>
          <w:u w:val="single" w:color="auto"/>
          <w:color w:val="0000FF"/>
        </w:rPr>
        <w:t xml:space="preserve"> </w:t>
      </w:r>
      <w:hyperlink r:id="rId724">
        <w:r>
          <w:rPr>
            <w:rFonts w:ascii="Times New Roman" w:cs="Times New Roman" w:eastAsia="Times New Roman" w:hAnsi="Times New Roman"/>
            <w:sz w:val="18"/>
            <w:szCs w:val="18"/>
            <w:u w:val="single" w:color="auto"/>
            <w:color w:val="0000FF"/>
          </w:rPr>
          <w:t>Agent (incorporated by reference, filed as Exhibit 10.2 to the Company’s Quarterly Report on Form 10-Q for the quarter</w:t>
        </w:r>
      </w:hyperlink>
      <w:r>
        <w:rPr>
          <w:rFonts w:ascii="Times New Roman" w:cs="Times New Roman" w:eastAsia="Times New Roman" w:hAnsi="Times New Roman"/>
          <w:sz w:val="18"/>
          <w:szCs w:val="18"/>
          <w:u w:val="single" w:color="auto"/>
          <w:color w:val="0000FF"/>
        </w:rPr>
        <w:t xml:space="preserve"> </w:t>
      </w:r>
      <w:hyperlink r:id="rId724">
        <w:r>
          <w:rPr>
            <w:rFonts w:ascii="Times New Roman" w:cs="Times New Roman" w:eastAsia="Times New Roman" w:hAnsi="Times New Roman"/>
            <w:sz w:val="18"/>
            <w:szCs w:val="18"/>
            <w:u w:val="single" w:color="auto"/>
            <w:color w:val="0000FF"/>
          </w:rPr>
          <w:t>ended June 30, 2021, File No. 1-1927).</w:t>
        </w:r>
      </w:hyperlink>
    </w:p>
    <w:p>
      <w:pPr>
        <w:spacing w:after="0" w:line="195" w:lineRule="exact"/>
        <w:rPr>
          <w:rFonts w:ascii="Times New Roman" w:cs="Times New Roman" w:eastAsia="Times New Roman" w:hAnsi="Times New Roman"/>
          <w:sz w:val="18"/>
          <w:szCs w:val="18"/>
          <w:u w:val="single" w:color="auto"/>
          <w:color w:val="0000FF"/>
        </w:rPr>
      </w:pPr>
    </w:p>
    <w:p>
      <w:pPr>
        <w:jc w:val="both"/>
        <w:ind w:left="1080" w:right="1040" w:hanging="713"/>
        <w:spacing w:after="0" w:line="256" w:lineRule="auto"/>
        <w:tabs>
          <w:tab w:leader="none" w:pos="1080" w:val="left"/>
        </w:tabs>
        <w:numPr>
          <w:ilvl w:val="0"/>
          <w:numId w:val="60"/>
        </w:numPr>
        <w:rPr>
          <w:rFonts w:ascii="Times New Roman" w:cs="Times New Roman" w:eastAsia="Times New Roman" w:hAnsi="Times New Roman"/>
          <w:sz w:val="18"/>
          <w:szCs w:val="18"/>
          <w:color w:val="0000FF"/>
        </w:rPr>
      </w:pPr>
      <w:hyperlink r:id="rId725">
        <w:r>
          <w:rPr>
            <w:rFonts w:ascii="Times New Roman" w:cs="Times New Roman" w:eastAsia="Times New Roman" w:hAnsi="Times New Roman"/>
            <w:sz w:val="18"/>
            <w:szCs w:val="18"/>
            <w:u w:val="single" w:color="auto"/>
            <w:color w:val="0000FF"/>
          </w:rPr>
          <w:t>First Amendment, dated as of September 15, 2022, to (a) the Amended and Restated First Lien Credit Agreement, dated as of</w:t>
        </w:r>
      </w:hyperlink>
      <w:r>
        <w:rPr>
          <w:rFonts w:ascii="Times New Roman" w:cs="Times New Roman" w:eastAsia="Times New Roman" w:hAnsi="Times New Roman"/>
          <w:sz w:val="18"/>
          <w:szCs w:val="18"/>
          <w:u w:val="single" w:color="auto"/>
          <w:color w:val="0000FF"/>
        </w:rPr>
        <w:t xml:space="preserve"> </w:t>
      </w:r>
      <w:hyperlink r:id="rId725">
        <w:r>
          <w:rPr>
            <w:rFonts w:ascii="Times New Roman" w:cs="Times New Roman" w:eastAsia="Times New Roman" w:hAnsi="Times New Roman"/>
            <w:sz w:val="18"/>
            <w:szCs w:val="18"/>
            <w:u w:val="single" w:color="auto"/>
            <w:color w:val="0000FF"/>
          </w:rPr>
          <w:t>June 7, 2021, among the Company, the lenders and issuing banks party thereto, and JPMorgan Chase Bank, N.A., as</w:t>
        </w:r>
      </w:hyperlink>
      <w:r>
        <w:rPr>
          <w:rFonts w:ascii="Times New Roman" w:cs="Times New Roman" w:eastAsia="Times New Roman" w:hAnsi="Times New Roman"/>
          <w:sz w:val="18"/>
          <w:szCs w:val="18"/>
          <w:u w:val="single" w:color="auto"/>
          <w:color w:val="0000FF"/>
        </w:rPr>
        <w:t xml:space="preserve"> </w:t>
      </w:r>
      <w:hyperlink r:id="rId725">
        <w:r>
          <w:rPr>
            <w:rFonts w:ascii="Times New Roman" w:cs="Times New Roman" w:eastAsia="Times New Roman" w:hAnsi="Times New Roman"/>
            <w:sz w:val="18"/>
            <w:szCs w:val="18"/>
            <w:u w:val="single" w:color="auto"/>
            <w:color w:val="0000FF"/>
          </w:rPr>
          <w:t>Administrative Agent and Collateral Agent, and (b) the First Lien Guarantee and Collateral Agreement, as amended and</w:t>
        </w:r>
      </w:hyperlink>
      <w:r>
        <w:rPr>
          <w:rFonts w:ascii="Times New Roman" w:cs="Times New Roman" w:eastAsia="Times New Roman" w:hAnsi="Times New Roman"/>
          <w:sz w:val="18"/>
          <w:szCs w:val="18"/>
          <w:u w:val="single" w:color="auto"/>
          <w:color w:val="0000FF"/>
        </w:rPr>
        <w:t xml:space="preserve"> </w:t>
      </w:r>
      <w:hyperlink r:id="rId725">
        <w:r>
          <w:rPr>
            <w:rFonts w:ascii="Times New Roman" w:cs="Times New Roman" w:eastAsia="Times New Roman" w:hAnsi="Times New Roman"/>
            <w:sz w:val="18"/>
            <w:szCs w:val="18"/>
            <w:u w:val="single" w:color="auto"/>
            <w:color w:val="0000FF"/>
          </w:rPr>
          <w:t>restated as of June 7, 2021, among the Company, the subsidiaries of the Company identified therein and JPMorgan Chase</w:t>
        </w:r>
      </w:hyperlink>
      <w:r>
        <w:rPr>
          <w:rFonts w:ascii="Times New Roman" w:cs="Times New Roman" w:eastAsia="Times New Roman" w:hAnsi="Times New Roman"/>
          <w:sz w:val="18"/>
          <w:szCs w:val="18"/>
          <w:u w:val="single" w:color="auto"/>
          <w:color w:val="0000FF"/>
        </w:rPr>
        <w:t xml:space="preserve"> </w:t>
      </w:r>
      <w:hyperlink r:id="rId725">
        <w:r>
          <w:rPr>
            <w:rFonts w:ascii="Times New Roman" w:cs="Times New Roman" w:eastAsia="Times New Roman" w:hAnsi="Times New Roman"/>
            <w:sz w:val="18"/>
            <w:szCs w:val="18"/>
            <w:u w:val="single" w:color="auto"/>
            <w:color w:val="0000FF"/>
          </w:rPr>
          <w:t>Bank, N.A., as Administrative Agent and Collateral Agent (incorporated by reference, filed as Exhibit 10.2 to the Company’s</w:t>
        </w:r>
      </w:hyperlink>
      <w:r>
        <w:rPr>
          <w:rFonts w:ascii="Times New Roman" w:cs="Times New Roman" w:eastAsia="Times New Roman" w:hAnsi="Times New Roman"/>
          <w:sz w:val="18"/>
          <w:szCs w:val="18"/>
          <w:u w:val="single" w:color="auto"/>
          <w:color w:val="0000FF"/>
        </w:rPr>
        <w:t xml:space="preserve"> </w:t>
      </w:r>
      <w:hyperlink r:id="rId725">
        <w:r>
          <w:rPr>
            <w:rFonts w:ascii="Times New Roman" w:cs="Times New Roman" w:eastAsia="Times New Roman" w:hAnsi="Times New Roman"/>
            <w:sz w:val="18"/>
            <w:szCs w:val="18"/>
            <w:u w:val="single" w:color="auto"/>
            <w:color w:val="0000FF"/>
          </w:rPr>
          <w:t>Quarterly Report on Form 10-Q for the quarter ended September 30, 2022, File No. 1-1927).</w:t>
        </w:r>
        <w:r>
          <w:rPr>
            <w:rFonts w:ascii="Times New Roman" w:cs="Times New Roman" w:eastAsia="Times New Roman" w:hAnsi="Times New Roman"/>
            <w:sz w:val="18"/>
            <w:szCs w:val="18"/>
            <w:color w:val="000000"/>
          </w:rPr>
          <w:t>**</w:t>
        </w:r>
      </w:hyperlink>
    </w:p>
    <w:p>
      <w:pPr>
        <w:spacing w:after="0" w:line="185" w:lineRule="exact"/>
        <w:rPr>
          <w:rFonts w:ascii="Times New Roman" w:cs="Times New Roman" w:eastAsia="Times New Roman" w:hAnsi="Times New Roman"/>
          <w:sz w:val="18"/>
          <w:szCs w:val="18"/>
          <w:color w:val="0000FF"/>
        </w:rPr>
      </w:pPr>
    </w:p>
    <w:p>
      <w:pPr>
        <w:jc w:val="both"/>
        <w:ind w:left="1060" w:right="1020" w:hanging="698"/>
        <w:spacing w:after="0" w:line="258" w:lineRule="auto"/>
        <w:tabs>
          <w:tab w:leader="none" w:pos="1060" w:val="left"/>
        </w:tabs>
        <w:numPr>
          <w:ilvl w:val="0"/>
          <w:numId w:val="60"/>
        </w:numPr>
        <w:rPr>
          <w:rFonts w:ascii="Times New Roman" w:cs="Times New Roman" w:eastAsia="Times New Roman" w:hAnsi="Times New Roman"/>
          <w:sz w:val="18"/>
          <w:szCs w:val="18"/>
          <w:color w:val="0000FF"/>
        </w:rPr>
      </w:pPr>
      <w:hyperlink r:id="rId726">
        <w:r>
          <w:rPr>
            <w:rFonts w:ascii="Times New Roman" w:cs="Times New Roman" w:eastAsia="Times New Roman" w:hAnsi="Times New Roman"/>
            <w:sz w:val="18"/>
            <w:szCs w:val="18"/>
            <w:u w:val="single" w:color="auto"/>
            <w:color w:val="0000FF"/>
          </w:rPr>
          <w:t>Amended and Restated Revolving Credit Agreement, dated as of October 12, 2022, among the Company, Goodyear Europe</w:t>
        </w:r>
      </w:hyperlink>
      <w:r>
        <w:rPr>
          <w:rFonts w:ascii="Times New Roman" w:cs="Times New Roman" w:eastAsia="Times New Roman" w:hAnsi="Times New Roman"/>
          <w:sz w:val="18"/>
          <w:szCs w:val="18"/>
          <w:u w:val="single" w:color="auto"/>
          <w:color w:val="0000FF"/>
        </w:rPr>
        <w:t xml:space="preserve"> </w:t>
      </w:r>
      <w:hyperlink r:id="rId726">
        <w:r>
          <w:rPr>
            <w:rFonts w:ascii="Times New Roman" w:cs="Times New Roman" w:eastAsia="Times New Roman" w:hAnsi="Times New Roman"/>
            <w:sz w:val="18"/>
            <w:szCs w:val="18"/>
            <w:u w:val="single" w:color="auto"/>
            <w:color w:val="0000FF"/>
          </w:rPr>
          <w:t>B.V., Goodyear Germany GmbH, Goodyear Operations S.A., the lenders party thereto, J.P. Morgan SE, as Administrative</w:t>
        </w:r>
      </w:hyperlink>
      <w:r>
        <w:rPr>
          <w:rFonts w:ascii="Times New Roman" w:cs="Times New Roman" w:eastAsia="Times New Roman" w:hAnsi="Times New Roman"/>
          <w:sz w:val="18"/>
          <w:szCs w:val="18"/>
          <w:u w:val="single" w:color="auto"/>
          <w:color w:val="0000FF"/>
        </w:rPr>
        <w:t xml:space="preserve"> </w:t>
      </w:r>
      <w:hyperlink r:id="rId726">
        <w:r>
          <w:rPr>
            <w:rFonts w:ascii="Times New Roman" w:cs="Times New Roman" w:eastAsia="Times New Roman" w:hAnsi="Times New Roman"/>
            <w:sz w:val="18"/>
            <w:szCs w:val="18"/>
            <w:u w:val="single" w:color="auto"/>
            <w:color w:val="0000FF"/>
          </w:rPr>
          <w:t>Agent, JPMorgan Chase Bank, N.A., as Collateral Agent, and the syndication agents, documentation agents, joint bookrunners</w:t>
        </w:r>
      </w:hyperlink>
      <w:r>
        <w:rPr>
          <w:rFonts w:ascii="Times New Roman" w:cs="Times New Roman" w:eastAsia="Times New Roman" w:hAnsi="Times New Roman"/>
          <w:sz w:val="18"/>
          <w:szCs w:val="18"/>
          <w:u w:val="single" w:color="auto"/>
          <w:color w:val="0000FF"/>
        </w:rPr>
        <w:t xml:space="preserve"> </w:t>
      </w:r>
      <w:hyperlink r:id="rId726">
        <w:r>
          <w:rPr>
            <w:rFonts w:ascii="Times New Roman" w:cs="Times New Roman" w:eastAsia="Times New Roman" w:hAnsi="Times New Roman"/>
            <w:sz w:val="18"/>
            <w:szCs w:val="18"/>
            <w:u w:val="single" w:color="auto"/>
            <w:color w:val="0000FF"/>
          </w:rPr>
          <w:t>and joint lead arrangers identified therein (incorporated by reference, filed as Exhibit 10.3 to the Company’s Quarterly Report</w:t>
        </w:r>
      </w:hyperlink>
      <w:r>
        <w:rPr>
          <w:rFonts w:ascii="Times New Roman" w:cs="Times New Roman" w:eastAsia="Times New Roman" w:hAnsi="Times New Roman"/>
          <w:sz w:val="18"/>
          <w:szCs w:val="18"/>
          <w:u w:val="single" w:color="auto"/>
          <w:color w:val="0000FF"/>
        </w:rPr>
        <w:t xml:space="preserve"> </w:t>
      </w:r>
      <w:hyperlink r:id="rId726">
        <w:r>
          <w:rPr>
            <w:rFonts w:ascii="Times New Roman" w:cs="Times New Roman" w:eastAsia="Times New Roman" w:hAnsi="Times New Roman"/>
            <w:sz w:val="18"/>
            <w:szCs w:val="18"/>
            <w:u w:val="single" w:color="auto"/>
            <w:color w:val="0000FF"/>
          </w:rPr>
          <w:t>on Form 10-Q for the quarter ended September 30, 2022, File No. 1-1927).</w:t>
        </w:r>
        <w:r>
          <w:rPr>
            <w:rFonts w:ascii="Times New Roman" w:cs="Times New Roman" w:eastAsia="Times New Roman" w:hAnsi="Times New Roman"/>
            <w:sz w:val="18"/>
            <w:szCs w:val="18"/>
            <w:color w:val="000000"/>
          </w:rPr>
          <w:t>**</w:t>
        </w:r>
      </w:hyperlink>
    </w:p>
    <w:p>
      <w:pPr>
        <w:spacing w:after="0" w:line="397" w:lineRule="exact"/>
        <w:rPr>
          <w:rFonts w:ascii="Times New Roman" w:cs="Times New Roman" w:eastAsia="Times New Roman" w:hAnsi="Times New Roman"/>
          <w:sz w:val="18"/>
          <w:szCs w:val="18"/>
          <w:color w:val="0000FF"/>
        </w:rPr>
      </w:pPr>
    </w:p>
    <w:p>
      <w:pPr>
        <w:jc w:val="both"/>
        <w:ind w:left="1060" w:right="1020" w:hanging="693"/>
        <w:spacing w:after="0" w:line="252" w:lineRule="auto"/>
        <w:tabs>
          <w:tab w:leader="none" w:pos="1060" w:val="left"/>
        </w:tabs>
        <w:numPr>
          <w:ilvl w:val="0"/>
          <w:numId w:val="60"/>
        </w:numPr>
        <w:rPr>
          <w:rFonts w:ascii="Times New Roman" w:cs="Times New Roman" w:eastAsia="Times New Roman" w:hAnsi="Times New Roman"/>
          <w:sz w:val="18"/>
          <w:szCs w:val="18"/>
          <w:u w:val="single" w:color="auto"/>
          <w:color w:val="0000FF"/>
        </w:rPr>
      </w:pPr>
      <w:hyperlink r:id="rId727">
        <w:r>
          <w:rPr>
            <w:rFonts w:ascii="Times New Roman" w:cs="Times New Roman" w:eastAsia="Times New Roman" w:hAnsi="Times New Roman"/>
            <w:sz w:val="18"/>
            <w:szCs w:val="18"/>
            <w:u w:val="single" w:color="auto"/>
            <w:color w:val="0000FF"/>
          </w:rPr>
          <w:t>Master Guarantee and Collateral Agreement, dated as of March 31, 2003, as amended and restated as of February 20, 2004,</w:t>
        </w:r>
      </w:hyperlink>
      <w:r>
        <w:rPr>
          <w:rFonts w:ascii="Times New Roman" w:cs="Times New Roman" w:eastAsia="Times New Roman" w:hAnsi="Times New Roman"/>
          <w:sz w:val="18"/>
          <w:szCs w:val="18"/>
          <w:u w:val="single" w:color="auto"/>
          <w:color w:val="0000FF"/>
        </w:rPr>
        <w:t xml:space="preserve"> </w:t>
      </w:r>
      <w:hyperlink r:id="rId727">
        <w:r>
          <w:rPr>
            <w:rFonts w:ascii="Times New Roman" w:cs="Times New Roman" w:eastAsia="Times New Roman" w:hAnsi="Times New Roman"/>
            <w:sz w:val="18"/>
            <w:szCs w:val="18"/>
            <w:u w:val="single" w:color="auto"/>
            <w:color w:val="0000FF"/>
          </w:rPr>
          <w:t>and as further amended and restated as of April 8, 2005, among the Company, Goodyear Dunlop Tires Europe B.V. (now</w:t>
        </w:r>
      </w:hyperlink>
      <w:r>
        <w:rPr>
          <w:rFonts w:ascii="Times New Roman" w:cs="Times New Roman" w:eastAsia="Times New Roman" w:hAnsi="Times New Roman"/>
          <w:sz w:val="18"/>
          <w:szCs w:val="18"/>
          <w:u w:val="single" w:color="auto"/>
          <w:color w:val="0000FF"/>
        </w:rPr>
        <w:t xml:space="preserve"> </w:t>
      </w:r>
      <w:hyperlink r:id="rId727">
        <w:r>
          <w:rPr>
            <w:rFonts w:ascii="Times New Roman" w:cs="Times New Roman" w:eastAsia="Times New Roman" w:hAnsi="Times New Roman"/>
            <w:sz w:val="18"/>
            <w:szCs w:val="18"/>
            <w:u w:val="single" w:color="auto"/>
            <w:color w:val="0000FF"/>
          </w:rPr>
          <w:t>known as Goodyear Europe B.V.), the other subsidiaries of the Company identified therein and JPMorgan Chase Bank, N.A.,</w:t>
        </w:r>
      </w:hyperlink>
      <w:r>
        <w:rPr>
          <w:rFonts w:ascii="Times New Roman" w:cs="Times New Roman" w:eastAsia="Times New Roman" w:hAnsi="Times New Roman"/>
          <w:sz w:val="18"/>
          <w:szCs w:val="18"/>
          <w:u w:val="single" w:color="auto"/>
          <w:color w:val="0000FF"/>
        </w:rPr>
        <w:t xml:space="preserve"> </w:t>
      </w:r>
      <w:hyperlink r:id="rId727">
        <w:r>
          <w:rPr>
            <w:rFonts w:ascii="Times New Roman" w:cs="Times New Roman" w:eastAsia="Times New Roman" w:hAnsi="Times New Roman"/>
            <w:sz w:val="18"/>
            <w:szCs w:val="18"/>
            <w:u w:val="single" w:color="auto"/>
            <w:color w:val="0000FF"/>
          </w:rPr>
          <w:t>as Collateral Agent (incorporated by reference, filed as Exhibit 4.7 to the Company’s Quarterly Report on Form 10-Q for the</w:t>
        </w:r>
      </w:hyperlink>
      <w:r>
        <w:rPr>
          <w:rFonts w:ascii="Times New Roman" w:cs="Times New Roman" w:eastAsia="Times New Roman" w:hAnsi="Times New Roman"/>
          <w:sz w:val="18"/>
          <w:szCs w:val="18"/>
          <w:u w:val="single" w:color="auto"/>
          <w:color w:val="0000FF"/>
        </w:rPr>
        <w:t xml:space="preserve"> </w:t>
      </w:r>
      <w:hyperlink r:id="rId728">
        <w:r>
          <w:rPr>
            <w:rFonts w:ascii="Times New Roman" w:cs="Times New Roman" w:eastAsia="Times New Roman" w:hAnsi="Times New Roman"/>
            <w:sz w:val="18"/>
            <w:szCs w:val="18"/>
            <w:u w:val="single" w:color="auto"/>
            <w:color w:val="0000FF"/>
          </w:rPr>
          <w:t>quarter ended March 31, 2005, File No. 1-1927), as amended by the Amendment and Restatement Agreement, dated as of</w:t>
        </w:r>
      </w:hyperlink>
      <w:r>
        <w:rPr>
          <w:rFonts w:ascii="Times New Roman" w:cs="Times New Roman" w:eastAsia="Times New Roman" w:hAnsi="Times New Roman"/>
          <w:sz w:val="18"/>
          <w:szCs w:val="18"/>
          <w:u w:val="single" w:color="auto"/>
          <w:color w:val="0000FF"/>
        </w:rPr>
        <w:t xml:space="preserve"> </w:t>
      </w:r>
      <w:hyperlink r:id="rId728">
        <w:r>
          <w:rPr>
            <w:rFonts w:ascii="Times New Roman" w:cs="Times New Roman" w:eastAsia="Times New Roman" w:hAnsi="Times New Roman"/>
            <w:sz w:val="18"/>
            <w:szCs w:val="18"/>
            <w:u w:val="single" w:color="auto"/>
            <w:color w:val="0000FF"/>
          </w:rPr>
          <w:t>April 20, 2007 (incorporated by reference, filed as Exhibit 4.6 to the Company’s Quarterly Report on Form 10-Q for the</w:t>
        </w:r>
      </w:hyperlink>
      <w:r>
        <w:rPr>
          <w:rFonts w:ascii="Times New Roman" w:cs="Times New Roman" w:eastAsia="Times New Roman" w:hAnsi="Times New Roman"/>
          <w:sz w:val="18"/>
          <w:szCs w:val="18"/>
          <w:u w:val="single" w:color="auto"/>
          <w:color w:val="0000FF"/>
        </w:rPr>
        <w:t xml:space="preserve"> </w:t>
      </w:r>
      <w:hyperlink r:id="rId729">
        <w:r>
          <w:rPr>
            <w:rFonts w:ascii="Times New Roman" w:cs="Times New Roman" w:eastAsia="Times New Roman" w:hAnsi="Times New Roman"/>
            <w:sz w:val="18"/>
            <w:szCs w:val="18"/>
            <w:u w:val="single" w:color="auto"/>
            <w:color w:val="0000FF"/>
          </w:rPr>
          <w:t>quarter ended March 31, 2007, File No. 1-1927), as amended by the Amendment and Restatement Agreement, dated as of</w:t>
        </w:r>
      </w:hyperlink>
      <w:r>
        <w:rPr>
          <w:rFonts w:ascii="Times New Roman" w:cs="Times New Roman" w:eastAsia="Times New Roman" w:hAnsi="Times New Roman"/>
          <w:sz w:val="18"/>
          <w:szCs w:val="18"/>
          <w:u w:val="single" w:color="auto"/>
          <w:color w:val="0000FF"/>
        </w:rPr>
        <w:t xml:space="preserve"> </w:t>
      </w:r>
      <w:hyperlink r:id="rId729">
        <w:r>
          <w:rPr>
            <w:rFonts w:ascii="Times New Roman" w:cs="Times New Roman" w:eastAsia="Times New Roman" w:hAnsi="Times New Roman"/>
            <w:sz w:val="18"/>
            <w:szCs w:val="18"/>
            <w:u w:val="single" w:color="auto"/>
            <w:color w:val="0000FF"/>
          </w:rPr>
          <w:t>April 20, 2011 (incorporated by reference, filed as Exhibit 10.1 to the Company's Annual Report on Form 10-K for the year</w:t>
        </w:r>
      </w:hyperlink>
      <w:r>
        <w:rPr>
          <w:rFonts w:ascii="Times New Roman" w:cs="Times New Roman" w:eastAsia="Times New Roman" w:hAnsi="Times New Roman"/>
          <w:sz w:val="18"/>
          <w:szCs w:val="18"/>
          <w:u w:val="single" w:color="auto"/>
          <w:color w:val="0000FF"/>
        </w:rPr>
        <w:t xml:space="preserve"> </w:t>
      </w:r>
      <w:hyperlink r:id="rId730">
        <w:r>
          <w:rPr>
            <w:rFonts w:ascii="Times New Roman" w:cs="Times New Roman" w:eastAsia="Times New Roman" w:hAnsi="Times New Roman"/>
            <w:sz w:val="18"/>
            <w:szCs w:val="18"/>
            <w:u w:val="single" w:color="auto"/>
            <w:color w:val="0000FF"/>
          </w:rPr>
          <w:t>ended December 31, 2011, File No. 1-1927), as amended by the Amendment and Restatement Agreement, dated as of May 12,</w:t>
        </w:r>
      </w:hyperlink>
      <w:r>
        <w:rPr>
          <w:rFonts w:ascii="Times New Roman" w:cs="Times New Roman" w:eastAsia="Times New Roman" w:hAnsi="Times New Roman"/>
          <w:sz w:val="18"/>
          <w:szCs w:val="18"/>
          <w:u w:val="single" w:color="auto"/>
          <w:color w:val="0000FF"/>
        </w:rPr>
        <w:t xml:space="preserve"> </w:t>
      </w:r>
      <w:hyperlink r:id="rId730">
        <w:r>
          <w:rPr>
            <w:rFonts w:ascii="Times New Roman" w:cs="Times New Roman" w:eastAsia="Times New Roman" w:hAnsi="Times New Roman"/>
            <w:sz w:val="18"/>
            <w:szCs w:val="18"/>
            <w:u w:val="single" w:color="auto"/>
            <w:color w:val="0000FF"/>
          </w:rPr>
          <w:t>2015 (incorporated by reference, filed as Exhibit 10.2 to the Company’s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731">
        <w:r>
          <w:rPr>
            <w:rFonts w:ascii="Times New Roman" w:cs="Times New Roman" w:eastAsia="Times New Roman" w:hAnsi="Times New Roman"/>
            <w:sz w:val="18"/>
            <w:szCs w:val="18"/>
            <w:u w:val="single" w:color="auto"/>
            <w:color w:val="0000FF"/>
          </w:rPr>
          <w:t>June 30, 2015, File No. 1-1927), as amended by the Amendment and Restatement Agreement, dated as of March 27, 2019</w:t>
        </w:r>
      </w:hyperlink>
      <w:r>
        <w:rPr>
          <w:rFonts w:ascii="Times New Roman" w:cs="Times New Roman" w:eastAsia="Times New Roman" w:hAnsi="Times New Roman"/>
          <w:sz w:val="18"/>
          <w:szCs w:val="18"/>
          <w:u w:val="single" w:color="auto"/>
          <w:color w:val="0000FF"/>
        </w:rPr>
        <w:t xml:space="preserve"> </w:t>
      </w:r>
      <w:hyperlink r:id="rId731">
        <w:r>
          <w:rPr>
            <w:rFonts w:ascii="Times New Roman" w:cs="Times New Roman" w:eastAsia="Times New Roman" w:hAnsi="Times New Roman"/>
            <w:sz w:val="18"/>
            <w:szCs w:val="18"/>
            <w:u w:val="single" w:color="auto"/>
            <w:color w:val="0000FF"/>
          </w:rPr>
          <w:t>(incorporated by reference, filed as Exhibit 10.2 to the Company's Quarterly Report on Form 10-Q for the quarter ended March</w:t>
        </w:r>
      </w:hyperlink>
      <w:r>
        <w:rPr>
          <w:rFonts w:ascii="Times New Roman" w:cs="Times New Roman" w:eastAsia="Times New Roman" w:hAnsi="Times New Roman"/>
          <w:sz w:val="18"/>
          <w:szCs w:val="18"/>
          <w:u w:val="single" w:color="auto"/>
          <w:color w:val="0000FF"/>
        </w:rPr>
        <w:t xml:space="preserve"> </w:t>
      </w:r>
      <w:hyperlink r:id="rId732">
        <w:r>
          <w:rPr>
            <w:rFonts w:ascii="Times New Roman" w:cs="Times New Roman" w:eastAsia="Times New Roman" w:hAnsi="Times New Roman"/>
            <w:sz w:val="18"/>
            <w:szCs w:val="18"/>
            <w:u w:val="single" w:color="auto"/>
            <w:color w:val="0000FF"/>
          </w:rPr>
          <w:t>31, 2019, File No. 1-1927), and as amended by the Amendment and Restatement Agreement, dated as of October 12, 2022</w:t>
        </w:r>
      </w:hyperlink>
      <w:r>
        <w:rPr>
          <w:rFonts w:ascii="Times New Roman" w:cs="Times New Roman" w:eastAsia="Times New Roman" w:hAnsi="Times New Roman"/>
          <w:sz w:val="18"/>
          <w:szCs w:val="18"/>
          <w:u w:val="single" w:color="auto"/>
          <w:color w:val="0000FF"/>
        </w:rPr>
        <w:t xml:space="preserve"> </w:t>
      </w:r>
      <w:hyperlink r:id="rId732">
        <w:r>
          <w:rPr>
            <w:rFonts w:ascii="Times New Roman" w:cs="Times New Roman" w:eastAsia="Times New Roman" w:hAnsi="Times New Roman"/>
            <w:sz w:val="18"/>
            <w:szCs w:val="18"/>
            <w:u w:val="single" w:color="auto"/>
            <w:color w:val="0000FF"/>
          </w:rPr>
          <w:t>(incorporated by reference, filed as Exhibit 10.4 to the Company’s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732">
        <w:r>
          <w:rPr>
            <w:rFonts w:ascii="Times New Roman" w:cs="Times New Roman" w:eastAsia="Times New Roman" w:hAnsi="Times New Roman"/>
            <w:sz w:val="18"/>
            <w:szCs w:val="18"/>
            <w:u w:val="single" w:color="auto"/>
            <w:color w:val="0000FF"/>
          </w:rPr>
          <w:t>September 30, 2022, File No. 1-1927).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681355</wp:posOffset>
            </wp:positionH>
            <wp:positionV relativeFrom="paragraph">
              <wp:posOffset>-4558030</wp:posOffset>
            </wp:positionV>
            <wp:extent cx="579501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3">
                      <a:extLst>
                        <a:ext uri="{28A0092B-C50C-407E-A947-70E740481C1C}"/>
                      </a:extLst>
                    </a:blip>
                    <a:srcRect/>
                    <a:stretch>
                      <a:fillRect/>
                    </a:stretch>
                  </pic:blipFill>
                  <pic:spPr bwMode="auto">
                    <a:xfrm>
                      <a:off x="0" y="0"/>
                      <a:ext cx="579501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-4420870</wp:posOffset>
            </wp:positionV>
            <wp:extent cx="579437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4">
                      <a:extLst>
                        <a:ext uri="{28A0092B-C50C-407E-A947-70E740481C1C}"/>
                      </a:extLst>
                    </a:blip>
                    <a:srcRect/>
                    <a:stretch>
                      <a:fillRect/>
                    </a:stretch>
                  </pic:blipFill>
                  <pic:spPr bwMode="auto">
                    <a:xfrm>
                      <a:off x="0" y="0"/>
                      <a:ext cx="5794375"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-4284345</wp:posOffset>
            </wp:positionV>
            <wp:extent cx="579247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5">
                      <a:extLst>
                        <a:ext uri="{28A0092B-C50C-407E-A947-70E740481C1C}"/>
                      </a:extLst>
                    </a:blip>
                    <a:srcRect/>
                    <a:stretch>
                      <a:fillRect/>
                    </a:stretch>
                  </pic:blipFill>
                  <pic:spPr bwMode="auto">
                    <a:xfrm>
                      <a:off x="0" y="0"/>
                      <a:ext cx="579247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-4147185</wp:posOffset>
            </wp:positionV>
            <wp:extent cx="178752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6">
                      <a:extLst>
                        <a:ext uri="{28A0092B-C50C-407E-A947-70E740481C1C}"/>
                      </a:extLst>
                    </a:blip>
                    <a:srcRect/>
                    <a:stretch>
                      <a:fillRect/>
                    </a:stretch>
                  </pic:blipFill>
                  <pic:spPr bwMode="auto">
                    <a:xfrm>
                      <a:off x="0" y="0"/>
                      <a:ext cx="1787525"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-3864610</wp:posOffset>
            </wp:positionV>
            <wp:extent cx="578993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7">
                      <a:extLst>
                        <a:ext uri="{28A0092B-C50C-407E-A947-70E740481C1C}"/>
                      </a:extLst>
                    </a:blip>
                    <a:srcRect/>
                    <a:stretch>
                      <a:fillRect/>
                    </a:stretch>
                  </pic:blipFill>
                  <pic:spPr bwMode="auto">
                    <a:xfrm>
                      <a:off x="0" y="0"/>
                      <a:ext cx="578993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-3727450</wp:posOffset>
            </wp:positionV>
            <wp:extent cx="578866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8">
                      <a:extLst>
                        <a:ext uri="{28A0092B-C50C-407E-A947-70E740481C1C}"/>
                      </a:extLst>
                    </a:blip>
                    <a:srcRect/>
                    <a:stretch>
                      <a:fillRect/>
                    </a:stretch>
                  </pic:blipFill>
                  <pic:spPr bwMode="auto">
                    <a:xfrm>
                      <a:off x="0" y="0"/>
                      <a:ext cx="578866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-3590290</wp:posOffset>
            </wp:positionV>
            <wp:extent cx="578802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9">
                      <a:extLst>
                        <a:ext uri="{28A0092B-C50C-407E-A947-70E740481C1C}"/>
                      </a:extLst>
                    </a:blip>
                    <a:srcRect/>
                    <a:stretch>
                      <a:fillRect/>
                    </a:stretch>
                  </pic:blipFill>
                  <pic:spPr bwMode="auto">
                    <a:xfrm>
                      <a:off x="0" y="0"/>
                      <a:ext cx="5788025"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-3453765</wp:posOffset>
            </wp:positionV>
            <wp:extent cx="579501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40">
                      <a:extLst>
                        <a:ext uri="{28A0092B-C50C-407E-A947-70E740481C1C}"/>
                      </a:extLst>
                    </a:blip>
                    <a:srcRect/>
                    <a:stretch>
                      <a:fillRect/>
                    </a:stretch>
                  </pic:blipFill>
                  <pic:spPr bwMode="auto">
                    <a:xfrm>
                      <a:off x="0" y="0"/>
                      <a:ext cx="579501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-3316605</wp:posOffset>
            </wp:positionV>
            <wp:extent cx="579501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1">
                      <a:extLst>
                        <a:ext uri="{28A0092B-C50C-407E-A947-70E740481C1C}"/>
                      </a:extLst>
                    </a:blip>
                    <a:srcRect/>
                    <a:stretch>
                      <a:fillRect/>
                    </a:stretch>
                  </pic:blipFill>
                  <pic:spPr bwMode="auto">
                    <a:xfrm>
                      <a:off x="0" y="0"/>
                      <a:ext cx="579501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-3179445</wp:posOffset>
            </wp:positionV>
            <wp:extent cx="423418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2">
                      <a:extLst>
                        <a:ext uri="{28A0092B-C50C-407E-A947-70E740481C1C}"/>
                      </a:extLst>
                    </a:blip>
                    <a:srcRect/>
                    <a:stretch>
                      <a:fillRect/>
                    </a:stretch>
                  </pic:blipFill>
                  <pic:spPr bwMode="auto">
                    <a:xfrm>
                      <a:off x="0" y="0"/>
                      <a:ext cx="423418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-2905760</wp:posOffset>
            </wp:positionV>
            <wp:extent cx="580707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3">
                      <a:extLst>
                        <a:ext uri="{28A0092B-C50C-407E-A947-70E740481C1C}"/>
                      </a:extLst>
                    </a:blip>
                    <a:srcRect/>
                    <a:stretch>
                      <a:fillRect/>
                    </a:stretch>
                  </pic:blipFill>
                  <pic:spPr bwMode="auto">
                    <a:xfrm>
                      <a:off x="0" y="0"/>
                      <a:ext cx="580707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-2768600</wp:posOffset>
            </wp:positionV>
            <wp:extent cx="58121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4">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-2631440</wp:posOffset>
            </wp:positionV>
            <wp:extent cx="580771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5">
                      <a:extLst>
                        <a:ext uri="{28A0092B-C50C-407E-A947-70E740481C1C}"/>
                      </a:extLst>
                    </a:blip>
                    <a:srcRect/>
                    <a:stretch>
                      <a:fillRect/>
                    </a:stretch>
                  </pic:blipFill>
                  <pic:spPr bwMode="auto">
                    <a:xfrm>
                      <a:off x="0" y="0"/>
                      <a:ext cx="580771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-2494280</wp:posOffset>
            </wp:positionV>
            <wp:extent cx="581342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6">
                      <a:extLst>
                        <a:ext uri="{28A0092B-C50C-407E-A947-70E740481C1C}"/>
                      </a:extLst>
                    </a:blip>
                    <a:srcRect/>
                    <a:stretch>
                      <a:fillRect/>
                    </a:stretch>
                  </pic:blipFill>
                  <pic:spPr bwMode="auto">
                    <a:xfrm>
                      <a:off x="0" y="0"/>
                      <a:ext cx="581342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-2357755</wp:posOffset>
            </wp:positionV>
            <wp:extent cx="342900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7">
                      <a:extLst>
                        <a:ext uri="{28A0092B-C50C-407E-A947-70E740481C1C}"/>
                      </a:extLst>
                    </a:blip>
                    <a:srcRect/>
                    <a:stretch>
                      <a:fillRect/>
                    </a:stretch>
                  </pic:blipFill>
                  <pic:spPr bwMode="auto">
                    <a:xfrm>
                      <a:off x="0" y="0"/>
                      <a:ext cx="342900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-1946275</wp:posOffset>
            </wp:positionV>
            <wp:extent cx="58121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8">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-1809750</wp:posOffset>
            </wp:positionV>
            <wp:extent cx="581088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9">
                      <a:extLst>
                        <a:ext uri="{28A0092B-C50C-407E-A947-70E740481C1C}"/>
                      </a:extLst>
                    </a:blip>
                    <a:srcRect/>
                    <a:stretch>
                      <a:fillRect/>
                    </a:stretch>
                  </pic:blipFill>
                  <pic:spPr bwMode="auto">
                    <a:xfrm>
                      <a:off x="0" y="0"/>
                      <a:ext cx="581088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-1672590</wp:posOffset>
            </wp:positionV>
            <wp:extent cx="580771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50">
                      <a:extLst>
                        <a:ext uri="{28A0092B-C50C-407E-A947-70E740481C1C}"/>
                      </a:extLst>
                    </a:blip>
                    <a:srcRect/>
                    <a:stretch>
                      <a:fillRect/>
                    </a:stretch>
                  </pic:blipFill>
                  <pic:spPr bwMode="auto">
                    <a:xfrm>
                      <a:off x="0" y="0"/>
                      <a:ext cx="580771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-1535430</wp:posOffset>
            </wp:positionV>
            <wp:extent cx="580580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1">
                      <a:extLst>
                        <a:ext uri="{28A0092B-C50C-407E-A947-70E740481C1C}"/>
                      </a:extLst>
                    </a:blip>
                    <a:srcRect/>
                    <a:stretch>
                      <a:fillRect/>
                    </a:stretch>
                  </pic:blipFill>
                  <pic:spPr bwMode="auto">
                    <a:xfrm>
                      <a:off x="0" y="0"/>
                      <a:ext cx="580580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-1398270</wp:posOffset>
            </wp:positionV>
            <wp:extent cx="580771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2">
                      <a:extLst>
                        <a:ext uri="{28A0092B-C50C-407E-A947-70E740481C1C}"/>
                      </a:extLst>
                    </a:blip>
                    <a:srcRect/>
                    <a:stretch>
                      <a:fillRect/>
                    </a:stretch>
                  </pic:blipFill>
                  <pic:spPr bwMode="auto">
                    <a:xfrm>
                      <a:off x="0" y="0"/>
                      <a:ext cx="580771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-1261745</wp:posOffset>
            </wp:positionV>
            <wp:extent cx="580834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3">
                      <a:extLst>
                        <a:ext uri="{28A0092B-C50C-407E-A947-70E740481C1C}"/>
                      </a:extLst>
                    </a:blip>
                    <a:srcRect/>
                    <a:stretch>
                      <a:fillRect/>
                    </a:stretch>
                  </pic:blipFill>
                  <pic:spPr bwMode="auto">
                    <a:xfrm>
                      <a:off x="0" y="0"/>
                      <a:ext cx="580834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-1124585</wp:posOffset>
            </wp:positionV>
            <wp:extent cx="580771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4">
                      <a:extLst>
                        <a:ext uri="{28A0092B-C50C-407E-A947-70E740481C1C}"/>
                      </a:extLst>
                    </a:blip>
                    <a:srcRect/>
                    <a:stretch>
                      <a:fillRect/>
                    </a:stretch>
                  </pic:blipFill>
                  <pic:spPr bwMode="auto">
                    <a:xfrm>
                      <a:off x="0" y="0"/>
                      <a:ext cx="580771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-987425</wp:posOffset>
            </wp:positionV>
            <wp:extent cx="581088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5">
                      <a:extLst>
                        <a:ext uri="{28A0092B-C50C-407E-A947-70E740481C1C}"/>
                      </a:extLst>
                    </a:blip>
                    <a:srcRect/>
                    <a:stretch>
                      <a:fillRect/>
                    </a:stretch>
                  </pic:blipFill>
                  <pic:spPr bwMode="auto">
                    <a:xfrm>
                      <a:off x="0" y="0"/>
                      <a:ext cx="581088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-850265</wp:posOffset>
            </wp:positionV>
            <wp:extent cx="580898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6">
                      <a:extLst>
                        <a:ext uri="{28A0092B-C50C-407E-A947-70E740481C1C}"/>
                      </a:extLst>
                    </a:blip>
                    <a:srcRect/>
                    <a:stretch>
                      <a:fillRect/>
                    </a:stretch>
                  </pic:blipFill>
                  <pic:spPr bwMode="auto">
                    <a:xfrm>
                      <a:off x="0" y="0"/>
                      <a:ext cx="580898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-713740</wp:posOffset>
            </wp:positionV>
            <wp:extent cx="581152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7">
                      <a:extLst>
                        <a:ext uri="{28A0092B-C50C-407E-A947-70E740481C1C}"/>
                      </a:extLst>
                    </a:blip>
                    <a:srcRect/>
                    <a:stretch>
                      <a:fillRect/>
                    </a:stretch>
                  </pic:blipFill>
                  <pic:spPr bwMode="auto">
                    <a:xfrm>
                      <a:off x="0" y="0"/>
                      <a:ext cx="581152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-576580</wp:posOffset>
            </wp:positionV>
            <wp:extent cx="58121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8">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-439420</wp:posOffset>
            </wp:positionV>
            <wp:extent cx="581025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9">
                      <a:extLst>
                        <a:ext uri="{28A0092B-C50C-407E-A947-70E740481C1C}"/>
                      </a:extLst>
                    </a:blip>
                    <a:srcRect/>
                    <a:stretch>
                      <a:fillRect/>
                    </a:stretch>
                  </pic:blipFill>
                  <pic:spPr bwMode="auto">
                    <a:xfrm>
                      <a:off x="0" y="0"/>
                      <a:ext cx="581025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-302260</wp:posOffset>
            </wp:positionV>
            <wp:extent cx="581152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60">
                      <a:extLst>
                        <a:ext uri="{28A0092B-C50C-407E-A947-70E740481C1C}"/>
                      </a:extLst>
                    </a:blip>
                    <a:srcRect/>
                    <a:stretch>
                      <a:fillRect/>
                    </a:stretch>
                  </pic:blipFill>
                  <pic:spPr bwMode="auto">
                    <a:xfrm>
                      <a:off x="0" y="0"/>
                      <a:ext cx="581152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-165735</wp:posOffset>
            </wp:positionV>
            <wp:extent cx="58121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1">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-28575</wp:posOffset>
            </wp:positionV>
            <wp:extent cx="176530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2">
                      <a:extLst>
                        <a:ext uri="{28A0092B-C50C-407E-A947-70E740481C1C}"/>
                      </a:extLst>
                    </a:blip>
                    <a:srcRect/>
                    <a:stretch>
                      <a:fillRect/>
                    </a:stretch>
                  </pic:blipFill>
                  <pic:spPr bwMode="auto">
                    <a:xfrm>
                      <a:off x="0" y="0"/>
                      <a:ext cx="1765300" cy="8255"/>
                    </a:xfrm>
                    <a:prstGeom prst="rect">
                      <a:avLst/>
                    </a:prstGeom>
                    <a:noFill/>
                  </pic:spPr>
                </pic:pic>
              </a:graphicData>
            </a:graphic>
          </wp:anchor>
        </w:drawing>
      </w:r>
    </w:p>
    <w:p>
      <w:pPr>
        <w:spacing w:after="0" w:line="131" w:lineRule="exact"/>
        <w:rPr>
          <w:rFonts w:ascii="Times New Roman" w:cs="Times New Roman" w:eastAsia="Times New Roman" w:hAnsi="Times New Roman"/>
          <w:sz w:val="18"/>
          <w:szCs w:val="18"/>
          <w:u w:val="single" w:color="auto"/>
          <w:color w:val="0000FF"/>
        </w:rPr>
      </w:pPr>
    </w:p>
    <w:p>
      <w:pPr>
        <w:jc w:val="both"/>
        <w:ind w:left="1060" w:right="1020" w:hanging="683"/>
        <w:spacing w:after="0" w:line="258" w:lineRule="auto"/>
        <w:tabs>
          <w:tab w:leader="none" w:pos="1060" w:val="left"/>
        </w:tabs>
        <w:numPr>
          <w:ilvl w:val="0"/>
          <w:numId w:val="61"/>
        </w:numPr>
        <w:rPr>
          <w:rFonts w:ascii="Times New Roman" w:cs="Times New Roman" w:eastAsia="Times New Roman" w:hAnsi="Times New Roman"/>
          <w:sz w:val="18"/>
          <w:szCs w:val="18"/>
          <w:color w:val="0000FF"/>
        </w:rPr>
      </w:pPr>
      <w:hyperlink r:id="rId763">
        <w:r>
          <w:rPr>
            <w:rFonts w:ascii="Times New Roman" w:cs="Times New Roman" w:eastAsia="Times New Roman" w:hAnsi="Times New Roman"/>
            <w:sz w:val="18"/>
            <w:szCs w:val="18"/>
            <w:u w:val="single" w:color="auto"/>
            <w:color w:val="0000FF"/>
          </w:rPr>
          <w:t>Amended and Restated General Master Purchase Agreement dated December 10, 2004, as last amended and restated on</w:t>
        </w:r>
      </w:hyperlink>
      <w:r>
        <w:rPr>
          <w:rFonts w:ascii="Times New Roman" w:cs="Times New Roman" w:eastAsia="Times New Roman" w:hAnsi="Times New Roman"/>
          <w:sz w:val="18"/>
          <w:szCs w:val="18"/>
          <w:u w:val="single" w:color="auto"/>
          <w:color w:val="0000FF"/>
        </w:rPr>
        <w:t xml:space="preserve"> </w:t>
      </w:r>
      <w:hyperlink r:id="rId763">
        <w:r>
          <w:rPr>
            <w:rFonts w:ascii="Times New Roman" w:cs="Times New Roman" w:eastAsia="Times New Roman" w:hAnsi="Times New Roman"/>
            <w:sz w:val="18"/>
            <w:szCs w:val="18"/>
            <w:u w:val="single" w:color="auto"/>
            <w:color w:val="0000FF"/>
          </w:rPr>
          <w:t>October 11, 2021, between Ester Finance Technologies, as Purchaser, Credit Agricole Leasing &amp; Factoring, as Agent, Credit</w:t>
        </w:r>
      </w:hyperlink>
      <w:r>
        <w:rPr>
          <w:rFonts w:ascii="Times New Roman" w:cs="Times New Roman" w:eastAsia="Times New Roman" w:hAnsi="Times New Roman"/>
          <w:sz w:val="18"/>
          <w:szCs w:val="18"/>
          <w:u w:val="single" w:color="auto"/>
          <w:color w:val="0000FF"/>
        </w:rPr>
        <w:t xml:space="preserve"> </w:t>
      </w:r>
      <w:hyperlink r:id="rId763">
        <w:r>
          <w:rPr>
            <w:rFonts w:ascii="Times New Roman" w:cs="Times New Roman" w:eastAsia="Times New Roman" w:hAnsi="Times New Roman"/>
            <w:sz w:val="18"/>
            <w:szCs w:val="18"/>
            <w:u w:val="single" w:color="auto"/>
            <w:color w:val="0000FF"/>
          </w:rPr>
          <w:t>Agricole Corporate and Investment Bank, as Joint Lead Arranger and as Calculation Agent, Natixis, as Joint Lead Arranger,</w:t>
        </w:r>
      </w:hyperlink>
      <w:r>
        <w:rPr>
          <w:rFonts w:ascii="Times New Roman" w:cs="Times New Roman" w:eastAsia="Times New Roman" w:hAnsi="Times New Roman"/>
          <w:sz w:val="18"/>
          <w:szCs w:val="18"/>
          <w:u w:val="single" w:color="auto"/>
          <w:color w:val="0000FF"/>
        </w:rPr>
        <w:t xml:space="preserve"> </w:t>
      </w:r>
      <w:hyperlink r:id="rId763">
        <w:r>
          <w:rPr>
            <w:rFonts w:ascii="Times New Roman" w:cs="Times New Roman" w:eastAsia="Times New Roman" w:hAnsi="Times New Roman"/>
            <w:sz w:val="18"/>
            <w:szCs w:val="18"/>
            <w:u w:val="single" w:color="auto"/>
            <w:color w:val="0000FF"/>
          </w:rPr>
          <w:t>Dunlop Tyres Limited, as Centralising Unit, and the Sellers listed therein (incorporated by reference, filed as Exhibit 10.2 to</w:t>
        </w:r>
      </w:hyperlink>
      <w:r>
        <w:rPr>
          <w:rFonts w:ascii="Times New Roman" w:cs="Times New Roman" w:eastAsia="Times New Roman" w:hAnsi="Times New Roman"/>
          <w:sz w:val="18"/>
          <w:szCs w:val="18"/>
          <w:u w:val="single" w:color="auto"/>
          <w:color w:val="0000FF"/>
        </w:rPr>
        <w:t xml:space="preserve"> </w:t>
      </w:r>
      <w:hyperlink r:id="rId763">
        <w:r>
          <w:rPr>
            <w:rFonts w:ascii="Times New Roman" w:cs="Times New Roman" w:eastAsia="Times New Roman" w:hAnsi="Times New Roman"/>
            <w:sz w:val="18"/>
            <w:szCs w:val="18"/>
            <w:u w:val="single" w:color="auto"/>
            <w:color w:val="0000FF"/>
          </w:rPr>
          <w:t>the Company’s Annual Report on Form 10-K for the year ended December 31, 2021, File No. 1-1927)</w:t>
        </w:r>
        <w:r>
          <w:rPr>
            <w:rFonts w:ascii="Times New Roman" w:cs="Times New Roman" w:eastAsia="Times New Roman" w:hAnsi="Times New Roman"/>
            <w:sz w:val="18"/>
            <w:szCs w:val="18"/>
            <w:color w:val="000000"/>
          </w:rPr>
          <w: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673100</wp:posOffset>
            </wp:positionH>
            <wp:positionV relativeFrom="paragraph">
              <wp:posOffset>-582930</wp:posOffset>
            </wp:positionV>
            <wp:extent cx="58121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4">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-445770</wp:posOffset>
            </wp:positionV>
            <wp:extent cx="580771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5">
                      <a:extLst>
                        <a:ext uri="{28A0092B-C50C-407E-A947-70E740481C1C}"/>
                      </a:extLst>
                    </a:blip>
                    <a:srcRect/>
                    <a:stretch>
                      <a:fillRect/>
                    </a:stretch>
                  </pic:blipFill>
                  <pic:spPr bwMode="auto">
                    <a:xfrm>
                      <a:off x="0" y="0"/>
                      <a:ext cx="580771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-308610</wp:posOffset>
            </wp:positionV>
            <wp:extent cx="580834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6">
                      <a:extLst>
                        <a:ext uri="{28A0092B-C50C-407E-A947-70E740481C1C}"/>
                      </a:extLst>
                    </a:blip>
                    <a:srcRect/>
                    <a:stretch>
                      <a:fillRect/>
                    </a:stretch>
                  </pic:blipFill>
                  <pic:spPr bwMode="auto">
                    <a:xfrm>
                      <a:off x="0" y="0"/>
                      <a:ext cx="580834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-172085</wp:posOffset>
            </wp:positionV>
            <wp:extent cx="580834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67">
                      <a:extLst>
                        <a:ext uri="{28A0092B-C50C-407E-A947-70E740481C1C}"/>
                      </a:extLst>
                    </a:blip>
                    <a:srcRect/>
                    <a:stretch>
                      <a:fillRect/>
                    </a:stretch>
                  </pic:blipFill>
                  <pic:spPr bwMode="auto">
                    <a:xfrm>
                      <a:off x="0" y="0"/>
                      <a:ext cx="580834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-34925</wp:posOffset>
            </wp:positionV>
            <wp:extent cx="467487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68">
                      <a:extLst>
                        <a:ext uri="{28A0092B-C50C-407E-A947-70E740481C1C}"/>
                      </a:extLst>
                    </a:blip>
                    <a:srcRect/>
                    <a:stretch>
                      <a:fillRect/>
                    </a:stretch>
                  </pic:blipFill>
                  <pic:spPr bwMode="auto">
                    <a:xfrm>
                      <a:off x="0" y="0"/>
                      <a:ext cx="4674870" cy="8255"/>
                    </a:xfrm>
                    <a:prstGeom prst="rect">
                      <a:avLst/>
                    </a:prstGeom>
                    <a:noFill/>
                  </pic:spPr>
                </pic:pic>
              </a:graphicData>
            </a:graphic>
          </wp:anchor>
        </w:drawing>
      </w:r>
    </w:p>
    <w:p>
      <w:pPr>
        <w:spacing w:after="0" w:line="108"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1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w:t>
            </w:r>
          </w:p>
        </w:tc>
        <w:tc>
          <w:tcPr>
            <w:tcW w:w="10160" w:type="dxa"/>
            <w:vAlign w:val="bottom"/>
            <w:gridSpan w:val="6"/>
          </w:tcPr>
          <w:p>
            <w:pPr>
              <w:spacing w:after="0"/>
              <w:rPr>
                <w:rFonts w:ascii="Times New Roman" w:cs="Times New Roman" w:eastAsia="Times New Roman" w:hAnsi="Times New Roman"/>
                <w:sz w:val="18"/>
                <w:szCs w:val="18"/>
                <w:color w:val="0000FF"/>
              </w:rPr>
            </w:pPr>
            <w:hyperlink r:id="rId769">
              <w:r>
                <w:rPr>
                  <w:rFonts w:ascii="Times New Roman" w:cs="Times New Roman" w:eastAsia="Times New Roman" w:hAnsi="Times New Roman"/>
                  <w:sz w:val="18"/>
                  <w:szCs w:val="18"/>
                  <w:color w:val="0000FF"/>
                </w:rPr>
                <w:t>2022 Performance Plan of the Company (incorporated by reference, filed as Exhibit 10.1 to the Company's Current Report on</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5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6"/>
          </w:tcPr>
          <w:p>
            <w:pPr>
              <w:spacing w:after="0" w:line="195" w:lineRule="exact"/>
              <w:rPr>
                <w:rFonts w:ascii="Times New Roman" w:cs="Times New Roman" w:eastAsia="Times New Roman" w:hAnsi="Times New Roman"/>
                <w:sz w:val="18"/>
                <w:szCs w:val="18"/>
                <w:color w:val="0000FF"/>
              </w:rPr>
            </w:pPr>
            <w:hyperlink r:id="rId769">
              <w:r>
                <w:rPr>
                  <w:rFonts w:ascii="Times New Roman" w:cs="Times New Roman" w:eastAsia="Times New Roman" w:hAnsi="Times New Roman"/>
                  <w:sz w:val="18"/>
                  <w:szCs w:val="18"/>
                  <w:color w:val="0000FF"/>
                </w:rPr>
                <w:t>Form 8-K, filed April 15, 2022, File No. 1-1927).</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56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71"/>
        </w:trPr>
        <w:tc>
          <w:tcPr>
            <w:tcW w:w="1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w:t>
            </w:r>
          </w:p>
        </w:tc>
        <w:tc>
          <w:tcPr>
            <w:tcW w:w="10160" w:type="dxa"/>
            <w:vAlign w:val="bottom"/>
            <w:gridSpan w:val="6"/>
          </w:tcPr>
          <w:p>
            <w:pPr>
              <w:spacing w:after="0"/>
              <w:rPr>
                <w:rFonts w:ascii="Times New Roman" w:cs="Times New Roman" w:eastAsia="Times New Roman" w:hAnsi="Times New Roman"/>
                <w:sz w:val="18"/>
                <w:szCs w:val="18"/>
                <w:color w:val="0000FF"/>
              </w:rPr>
            </w:pPr>
            <w:hyperlink r:id="rId770">
              <w:r>
                <w:rPr>
                  <w:rFonts w:ascii="Times New Roman" w:cs="Times New Roman" w:eastAsia="Times New Roman" w:hAnsi="Times New Roman"/>
                  <w:sz w:val="18"/>
                  <w:szCs w:val="18"/>
                  <w:color w:val="0000FF"/>
                </w:rPr>
                <w:t>Form of Non-Qualified Stock Option Grant Agreement (incorporated by reference, filed as Exhibit 10.1 to the Company's</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6"/>
          </w:tcPr>
          <w:p>
            <w:pPr>
              <w:spacing w:after="0" w:line="195" w:lineRule="exact"/>
              <w:rPr>
                <w:rFonts w:ascii="Times New Roman" w:cs="Times New Roman" w:eastAsia="Times New Roman" w:hAnsi="Times New Roman"/>
                <w:sz w:val="18"/>
                <w:szCs w:val="18"/>
                <w:color w:val="0000FF"/>
              </w:rPr>
            </w:pPr>
            <w:hyperlink r:id="rId770">
              <w:r>
                <w:rPr>
                  <w:rFonts w:ascii="Times New Roman" w:cs="Times New Roman" w:eastAsia="Times New Roman" w:hAnsi="Times New Roman"/>
                  <w:sz w:val="18"/>
                  <w:szCs w:val="18"/>
                  <w:color w:val="0000FF"/>
                </w:rPr>
                <w:t>Current Report on Form 8-K, filed June 10, 2022, File No. 1-1927).</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71"/>
        </w:trPr>
        <w:tc>
          <w:tcPr>
            <w:tcW w:w="1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w:t>
            </w:r>
          </w:p>
        </w:tc>
        <w:tc>
          <w:tcPr>
            <w:tcW w:w="10160" w:type="dxa"/>
            <w:vAlign w:val="bottom"/>
            <w:gridSpan w:val="6"/>
          </w:tcPr>
          <w:p>
            <w:pPr>
              <w:spacing w:after="0"/>
              <w:rPr>
                <w:rFonts w:ascii="Times New Roman" w:cs="Times New Roman" w:eastAsia="Times New Roman" w:hAnsi="Times New Roman"/>
                <w:sz w:val="18"/>
                <w:szCs w:val="18"/>
                <w:color w:val="0000FF"/>
              </w:rPr>
            </w:pPr>
            <w:hyperlink r:id="rId771">
              <w:r>
                <w:rPr>
                  <w:rFonts w:ascii="Times New Roman" w:cs="Times New Roman" w:eastAsia="Times New Roman" w:hAnsi="Times New Roman"/>
                  <w:sz w:val="18"/>
                  <w:szCs w:val="18"/>
                  <w:color w:val="0000FF"/>
                </w:rPr>
                <w:t>Form of Non-Qualified Stock Option with tandem Stock Appreciation Right Grant Agreement (incorporated by reference,</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6"/>
          </w:tcPr>
          <w:p>
            <w:pPr>
              <w:spacing w:after="0" w:line="195" w:lineRule="exact"/>
              <w:rPr>
                <w:rFonts w:ascii="Times New Roman" w:cs="Times New Roman" w:eastAsia="Times New Roman" w:hAnsi="Times New Roman"/>
                <w:sz w:val="18"/>
                <w:szCs w:val="18"/>
                <w:color w:val="0000FF"/>
              </w:rPr>
            </w:pPr>
            <w:hyperlink r:id="rId771">
              <w:r>
                <w:rPr>
                  <w:rFonts w:ascii="Times New Roman" w:cs="Times New Roman" w:eastAsia="Times New Roman" w:hAnsi="Times New Roman"/>
                  <w:sz w:val="18"/>
                  <w:szCs w:val="18"/>
                  <w:color w:val="0000FF"/>
                </w:rPr>
                <w:t>filed as Exhibit 10.2 to the Company's Current Report on Form 8-K, filed June 10, 2022, File No. 1-1927).</w:t>
              </w:r>
            </w:hyperlink>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1"/>
        </w:trPr>
        <w:tc>
          <w:tcPr>
            <w:tcW w:w="1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w:t>
            </w:r>
          </w:p>
        </w:tc>
        <w:tc>
          <w:tcPr>
            <w:tcW w:w="91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772">
              <w:r>
                <w:rPr>
                  <w:rFonts w:ascii="Times New Roman" w:cs="Times New Roman" w:eastAsia="Times New Roman" w:hAnsi="Times New Roman"/>
                  <w:sz w:val="18"/>
                  <w:szCs w:val="18"/>
                  <w:color w:val="0000FF"/>
                </w:rPr>
                <w:t>Form of Performance Share Grant Agreement (incorporated by reference, filed as Exhibit 10.3 to the Company's Current</w:t>
              </w:r>
            </w:hyperlink>
          </w:p>
        </w:tc>
        <w:tc>
          <w:tcPr>
            <w:tcW w:w="102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6"/>
          </w:tcPr>
          <w:p>
            <w:pPr>
              <w:spacing w:after="0" w:line="195" w:lineRule="exact"/>
              <w:rPr>
                <w:rFonts w:ascii="Times New Roman" w:cs="Times New Roman" w:eastAsia="Times New Roman" w:hAnsi="Times New Roman"/>
                <w:sz w:val="18"/>
                <w:szCs w:val="18"/>
                <w:color w:val="0000FF"/>
              </w:rPr>
            </w:pPr>
            <w:hyperlink r:id="rId772">
              <w:r>
                <w:rPr>
                  <w:rFonts w:ascii="Times New Roman" w:cs="Times New Roman" w:eastAsia="Times New Roman" w:hAnsi="Times New Roman"/>
                  <w:sz w:val="18"/>
                  <w:szCs w:val="18"/>
                  <w:color w:val="0000FF"/>
                </w:rPr>
                <w:t>Report on Form 8-K, filed June 10, 2022, File No. 1-1927).</w:t>
              </w:r>
            </w:hyperlink>
          </w:p>
        </w:tc>
      </w:tr>
      <w:tr>
        <w:trPr>
          <w:trHeight w:val="546"/>
        </w:trPr>
        <w:tc>
          <w:tcPr>
            <w:tcW w:w="1080" w:type="dxa"/>
            <w:vAlign w:val="bottom"/>
          </w:tcPr>
          <w:p>
            <w:pPr>
              <w:spacing w:after="0"/>
              <w:rPr>
                <w:sz w:val="24"/>
                <w:szCs w:val="24"/>
                <w:color w:val="auto"/>
              </w:rPr>
            </w:pPr>
          </w:p>
        </w:tc>
        <w:tc>
          <w:tcPr>
            <w:tcW w:w="356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58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X-3</w:t>
            </w:r>
          </w:p>
        </w:tc>
      </w:tr>
      <w:tr>
        <w:trPr>
          <w:trHeight w:val="762"/>
        </w:trPr>
        <w:tc>
          <w:tcPr>
            <w:tcW w:w="108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6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492"/>
        </w:trPr>
        <w:tc>
          <w:tcPr>
            <w:tcW w:w="102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auto"/>
                <w:w w:val="99"/>
              </w:rPr>
              <w:t>(k)*</w:t>
            </w:r>
          </w:p>
        </w:tc>
        <w:tc>
          <w:tcPr>
            <w:tcW w:w="60" w:type="dxa"/>
            <w:vAlign w:val="bottom"/>
          </w:tcPr>
          <w:p>
            <w:pPr>
              <w:spacing w:after="0"/>
              <w:rPr>
                <w:sz w:val="24"/>
                <w:szCs w:val="24"/>
                <w:color w:val="auto"/>
              </w:rPr>
            </w:pPr>
          </w:p>
        </w:tc>
        <w:tc>
          <w:tcPr>
            <w:tcW w:w="91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775">
              <w:r>
                <w:rPr>
                  <w:rFonts w:ascii="Times New Roman" w:cs="Times New Roman" w:eastAsia="Times New Roman" w:hAnsi="Times New Roman"/>
                  <w:sz w:val="18"/>
                  <w:szCs w:val="18"/>
                  <w:color w:val="0000FF"/>
                </w:rPr>
                <w:t>Form of Performance Share Continuous Vesting Grant Agreement (incorporated by reference, filed as Exhibit 10.4 to the</w:t>
              </w:r>
            </w:hyperlink>
          </w:p>
        </w:tc>
        <w:tc>
          <w:tcPr>
            <w:tcW w:w="102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72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775">
              <w:r>
                <w:rPr>
                  <w:rFonts w:ascii="Times New Roman" w:cs="Times New Roman" w:eastAsia="Times New Roman" w:hAnsi="Times New Roman"/>
                  <w:sz w:val="18"/>
                  <w:szCs w:val="18"/>
                  <w:color w:val="0000FF"/>
                  <w:w w:val="99"/>
                </w:rPr>
                <w:t>Company's Current Report on Form 8-K, filed June 10, 2022, File No. 1-1927).</w:t>
              </w:r>
            </w:hyperlink>
          </w:p>
        </w:tc>
        <w:tc>
          <w:tcPr>
            <w:tcW w:w="20" w:type="dxa"/>
            <w:vAlign w:val="bottom"/>
            <w:tcBorders>
              <w:bottom w:val="single" w:sz="8" w:color="0000EE"/>
            </w:tcBorders>
          </w:tcPr>
          <w:p>
            <w:pPr>
              <w:spacing w:after="0"/>
              <w:rPr>
                <w:sz w:val="17"/>
                <w:szCs w:val="17"/>
                <w:color w:val="auto"/>
              </w:rPr>
            </w:pPr>
          </w:p>
        </w:tc>
        <w:tc>
          <w:tcPr>
            <w:tcW w:w="4420" w:type="dxa"/>
            <w:vAlign w:val="bottom"/>
            <w:gridSpan w:val="12"/>
          </w:tcPr>
          <w:p>
            <w:pPr>
              <w:spacing w:after="0"/>
              <w:rPr>
                <w:sz w:val="17"/>
                <w:szCs w:val="17"/>
                <w:color w:val="auto"/>
              </w:rPr>
            </w:pPr>
          </w:p>
        </w:tc>
      </w:tr>
      <w:tr>
        <w:trPr>
          <w:trHeight w:val="371"/>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w:t>
            </w:r>
          </w:p>
        </w:tc>
        <w:tc>
          <w:tcPr>
            <w:tcW w:w="91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776">
              <w:r>
                <w:rPr>
                  <w:rFonts w:ascii="Times New Roman" w:cs="Times New Roman" w:eastAsia="Times New Roman" w:hAnsi="Times New Roman"/>
                  <w:sz w:val="18"/>
                  <w:szCs w:val="18"/>
                  <w:color w:val="0000FF"/>
                </w:rPr>
                <w:t>Form of Executive Performance Unit Grant Agreement (incorporated by reference, filed as Exhibit 10.5 to the Company's</w:t>
              </w:r>
            </w:hyperlink>
          </w:p>
        </w:tc>
        <w:tc>
          <w:tcPr>
            <w:tcW w:w="104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60" w:type="dxa"/>
            <w:vAlign w:val="bottom"/>
            <w:gridSpan w:val="21"/>
          </w:tcPr>
          <w:p>
            <w:pPr>
              <w:spacing w:after="0" w:line="195" w:lineRule="exact"/>
              <w:rPr>
                <w:rFonts w:ascii="Times New Roman" w:cs="Times New Roman" w:eastAsia="Times New Roman" w:hAnsi="Times New Roman"/>
                <w:sz w:val="18"/>
                <w:szCs w:val="18"/>
                <w:color w:val="0000FF"/>
              </w:rPr>
            </w:pPr>
            <w:hyperlink r:id="rId776">
              <w:r>
                <w:rPr>
                  <w:rFonts w:ascii="Times New Roman" w:cs="Times New Roman" w:eastAsia="Times New Roman" w:hAnsi="Times New Roman"/>
                  <w:sz w:val="18"/>
                  <w:szCs w:val="18"/>
                  <w:color w:val="0000FF"/>
                </w:rPr>
                <w:t>Current Report on Form 8-K, filed June 10, 2022, File No. 1-1927).</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25"/>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(m)*</w:t>
            </w:r>
          </w:p>
        </w:tc>
        <w:tc>
          <w:tcPr>
            <w:tcW w:w="91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777">
              <w:r>
                <w:rPr>
                  <w:rFonts w:ascii="Times New Roman" w:cs="Times New Roman" w:eastAsia="Times New Roman" w:hAnsi="Times New Roman"/>
                  <w:sz w:val="18"/>
                  <w:szCs w:val="18"/>
                  <w:color w:val="0000FF"/>
                  <w:w w:val="99"/>
                </w:rPr>
                <w:t>Form of Executive Performance Unit Continuous Vesting Grant Agreement (incorporated by reference, filed as Exhibit 10.6 to</w:t>
              </w:r>
            </w:hyperlink>
          </w:p>
        </w:tc>
        <w:tc>
          <w:tcPr>
            <w:tcW w:w="100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980" w:type="dxa"/>
            <w:vAlign w:val="bottom"/>
            <w:tcBorders>
              <w:bottom w:val="single" w:sz="8" w:color="0000FF"/>
            </w:tcBorders>
            <w:gridSpan w:val="10"/>
          </w:tcPr>
          <w:p>
            <w:pPr>
              <w:spacing w:after="0" w:line="195" w:lineRule="exact"/>
              <w:rPr>
                <w:rFonts w:ascii="Times New Roman" w:cs="Times New Roman" w:eastAsia="Times New Roman" w:hAnsi="Times New Roman"/>
                <w:sz w:val="18"/>
                <w:szCs w:val="18"/>
                <w:color w:val="0000FF"/>
                <w:w w:val="99"/>
              </w:rPr>
            </w:pPr>
            <w:hyperlink r:id="rId777">
              <w:r>
                <w:rPr>
                  <w:rFonts w:ascii="Times New Roman" w:cs="Times New Roman" w:eastAsia="Times New Roman" w:hAnsi="Times New Roman"/>
                  <w:sz w:val="18"/>
                  <w:szCs w:val="18"/>
                  <w:color w:val="0000FF"/>
                  <w:w w:val="99"/>
                </w:rPr>
                <w:t>the Company's Current Report on Form 8-K, filed June 10, 2022, File No. 1-1927).</w:t>
              </w:r>
            </w:hyperlink>
          </w:p>
        </w:tc>
        <w:tc>
          <w:tcPr>
            <w:tcW w:w="20" w:type="dxa"/>
            <w:vAlign w:val="bottom"/>
            <w:tcBorders>
              <w:bottom w:val="single" w:sz="8" w:color="0000EE"/>
            </w:tcBorders>
          </w:tcPr>
          <w:p>
            <w:pPr>
              <w:spacing w:after="0"/>
              <w:rPr>
                <w:sz w:val="17"/>
                <w:szCs w:val="17"/>
                <w:color w:val="auto"/>
              </w:rPr>
            </w:pPr>
          </w:p>
        </w:tc>
        <w:tc>
          <w:tcPr>
            <w:tcW w:w="4160" w:type="dxa"/>
            <w:vAlign w:val="bottom"/>
            <w:gridSpan w:val="10"/>
          </w:tcPr>
          <w:p>
            <w:pPr>
              <w:spacing w:after="0"/>
              <w:rPr>
                <w:sz w:val="17"/>
                <w:szCs w:val="17"/>
                <w:color w:val="auto"/>
              </w:rPr>
            </w:pPr>
          </w:p>
        </w:tc>
      </w:tr>
      <w:tr>
        <w:trPr>
          <w:trHeight w:val="425"/>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w:t>
            </w:r>
          </w:p>
        </w:tc>
        <w:tc>
          <w:tcPr>
            <w:tcW w:w="91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778">
              <w:r>
                <w:rPr>
                  <w:rFonts w:ascii="Times New Roman" w:cs="Times New Roman" w:eastAsia="Times New Roman" w:hAnsi="Times New Roman"/>
                  <w:sz w:val="18"/>
                  <w:szCs w:val="18"/>
                  <w:color w:val="0000FF"/>
                </w:rPr>
                <w:t>Form of Restricted Stock Unit Annual Cliff Grant Agreement (incorporated by reference, filed as Exhibit 10.7 to the</w:t>
              </w:r>
            </w:hyperlink>
          </w:p>
        </w:tc>
        <w:tc>
          <w:tcPr>
            <w:tcW w:w="104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72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778">
              <w:r>
                <w:rPr>
                  <w:rFonts w:ascii="Times New Roman" w:cs="Times New Roman" w:eastAsia="Times New Roman" w:hAnsi="Times New Roman"/>
                  <w:sz w:val="18"/>
                  <w:szCs w:val="18"/>
                  <w:color w:val="0000FF"/>
                  <w:w w:val="99"/>
                </w:rPr>
                <w:t>Company's Current Report on Form 8-K, filed June 10, 2022, File No. 1-1927).</w:t>
              </w:r>
            </w:hyperlink>
          </w:p>
        </w:tc>
        <w:tc>
          <w:tcPr>
            <w:tcW w:w="20" w:type="dxa"/>
            <w:vAlign w:val="bottom"/>
            <w:tcBorders>
              <w:bottom w:val="single" w:sz="8" w:color="0000EE"/>
            </w:tcBorders>
          </w:tcPr>
          <w:p>
            <w:pPr>
              <w:spacing w:after="0"/>
              <w:rPr>
                <w:sz w:val="17"/>
                <w:szCs w:val="17"/>
                <w:color w:val="auto"/>
              </w:rPr>
            </w:pPr>
          </w:p>
        </w:tc>
        <w:tc>
          <w:tcPr>
            <w:tcW w:w="4420" w:type="dxa"/>
            <w:vAlign w:val="bottom"/>
            <w:gridSpan w:val="12"/>
          </w:tcPr>
          <w:p>
            <w:pPr>
              <w:spacing w:after="0"/>
              <w:rPr>
                <w:sz w:val="17"/>
                <w:szCs w:val="17"/>
                <w:color w:val="auto"/>
              </w:rPr>
            </w:pPr>
          </w:p>
        </w:tc>
      </w:tr>
      <w:tr>
        <w:trPr>
          <w:trHeight w:val="425"/>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t>
            </w:r>
          </w:p>
        </w:tc>
        <w:tc>
          <w:tcPr>
            <w:tcW w:w="91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779">
              <w:r>
                <w:rPr>
                  <w:rFonts w:ascii="Times New Roman" w:cs="Times New Roman" w:eastAsia="Times New Roman" w:hAnsi="Times New Roman"/>
                  <w:sz w:val="18"/>
                  <w:szCs w:val="18"/>
                  <w:color w:val="0000FF"/>
                </w:rPr>
                <w:t>Form of Restricted Stock Unit Annual Ratable Grant Agreement (incorporated by reference, filed as Exhibit 10.8 to the</w:t>
              </w:r>
            </w:hyperlink>
          </w:p>
        </w:tc>
        <w:tc>
          <w:tcPr>
            <w:tcW w:w="9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72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779">
              <w:r>
                <w:rPr>
                  <w:rFonts w:ascii="Times New Roman" w:cs="Times New Roman" w:eastAsia="Times New Roman" w:hAnsi="Times New Roman"/>
                  <w:sz w:val="18"/>
                  <w:szCs w:val="18"/>
                  <w:color w:val="0000FF"/>
                  <w:w w:val="99"/>
                </w:rPr>
                <w:t>Company's Current Report on Form 8-K, filed June 10, 2022, File No. 1-1927).</w:t>
              </w:r>
            </w:hyperlink>
          </w:p>
        </w:tc>
        <w:tc>
          <w:tcPr>
            <w:tcW w:w="20" w:type="dxa"/>
            <w:vAlign w:val="bottom"/>
            <w:tcBorders>
              <w:bottom w:val="single" w:sz="8" w:color="0000EE"/>
            </w:tcBorders>
          </w:tcPr>
          <w:p>
            <w:pPr>
              <w:spacing w:after="0"/>
              <w:rPr>
                <w:sz w:val="17"/>
                <w:szCs w:val="17"/>
                <w:color w:val="auto"/>
              </w:rPr>
            </w:pPr>
          </w:p>
        </w:tc>
        <w:tc>
          <w:tcPr>
            <w:tcW w:w="4420" w:type="dxa"/>
            <w:vAlign w:val="bottom"/>
            <w:gridSpan w:val="12"/>
          </w:tcPr>
          <w:p>
            <w:pPr>
              <w:spacing w:after="0"/>
              <w:rPr>
                <w:sz w:val="17"/>
                <w:szCs w:val="17"/>
                <w:color w:val="auto"/>
              </w:rPr>
            </w:pPr>
          </w:p>
        </w:tc>
      </w:tr>
      <w:tr>
        <w:trPr>
          <w:trHeight w:val="425"/>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w:t>
            </w:r>
          </w:p>
        </w:tc>
        <w:tc>
          <w:tcPr>
            <w:tcW w:w="91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780">
              <w:r>
                <w:rPr>
                  <w:rFonts w:ascii="Times New Roman" w:cs="Times New Roman" w:eastAsia="Times New Roman" w:hAnsi="Times New Roman"/>
                  <w:sz w:val="18"/>
                  <w:szCs w:val="18"/>
                  <w:color w:val="0000FF"/>
                </w:rPr>
                <w:t>Form of Restricted Stock Unit Continuous Vesting Grant Agreement (incorporated by reference, filed as Exhibit 10.9 to the</w:t>
              </w:r>
            </w:hyperlink>
          </w:p>
        </w:tc>
        <w:tc>
          <w:tcPr>
            <w:tcW w:w="102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72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780">
              <w:r>
                <w:rPr>
                  <w:rFonts w:ascii="Times New Roman" w:cs="Times New Roman" w:eastAsia="Times New Roman" w:hAnsi="Times New Roman"/>
                  <w:sz w:val="18"/>
                  <w:szCs w:val="18"/>
                  <w:color w:val="0000FF"/>
                  <w:w w:val="99"/>
                </w:rPr>
                <w:t>Company's Current Report on Form 8-K, filed June 10, 2022, File No. 1-1927).</w:t>
              </w:r>
            </w:hyperlink>
          </w:p>
        </w:tc>
        <w:tc>
          <w:tcPr>
            <w:tcW w:w="20" w:type="dxa"/>
            <w:vAlign w:val="bottom"/>
            <w:tcBorders>
              <w:bottom w:val="single" w:sz="8" w:color="0000EE"/>
            </w:tcBorders>
          </w:tcPr>
          <w:p>
            <w:pPr>
              <w:spacing w:after="0"/>
              <w:rPr>
                <w:sz w:val="17"/>
                <w:szCs w:val="17"/>
                <w:color w:val="auto"/>
              </w:rPr>
            </w:pPr>
          </w:p>
        </w:tc>
        <w:tc>
          <w:tcPr>
            <w:tcW w:w="4420" w:type="dxa"/>
            <w:vAlign w:val="bottom"/>
            <w:gridSpan w:val="12"/>
          </w:tcPr>
          <w:p>
            <w:pPr>
              <w:spacing w:after="0"/>
              <w:rPr>
                <w:sz w:val="17"/>
                <w:szCs w:val="17"/>
                <w:color w:val="auto"/>
              </w:rPr>
            </w:pPr>
          </w:p>
        </w:tc>
      </w:tr>
      <w:tr>
        <w:trPr>
          <w:trHeight w:val="425"/>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(q)*</w:t>
            </w:r>
          </w:p>
        </w:tc>
        <w:tc>
          <w:tcPr>
            <w:tcW w:w="91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781">
              <w:r>
                <w:rPr>
                  <w:rFonts w:ascii="Times New Roman" w:cs="Times New Roman" w:eastAsia="Times New Roman" w:hAnsi="Times New Roman"/>
                  <w:sz w:val="18"/>
                  <w:szCs w:val="18"/>
                  <w:color w:val="0000FF"/>
                </w:rPr>
                <w:t>2017 Performance Plan of the Company (incorporated by reference, filed as Exhibit 10.1 to the Company's Current Report on</w:t>
              </w:r>
            </w:hyperlink>
          </w:p>
        </w:tc>
        <w:tc>
          <w:tcPr>
            <w:tcW w:w="104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60" w:type="dxa"/>
            <w:vAlign w:val="bottom"/>
            <w:gridSpan w:val="21"/>
          </w:tcPr>
          <w:p>
            <w:pPr>
              <w:spacing w:after="0" w:line="195" w:lineRule="exact"/>
              <w:rPr>
                <w:rFonts w:ascii="Times New Roman" w:cs="Times New Roman" w:eastAsia="Times New Roman" w:hAnsi="Times New Roman"/>
                <w:sz w:val="18"/>
                <w:szCs w:val="18"/>
                <w:color w:val="0000FF"/>
              </w:rPr>
            </w:pPr>
            <w:hyperlink r:id="rId781">
              <w:r>
                <w:rPr>
                  <w:rFonts w:ascii="Times New Roman" w:cs="Times New Roman" w:eastAsia="Times New Roman" w:hAnsi="Times New Roman"/>
                  <w:sz w:val="18"/>
                  <w:szCs w:val="18"/>
                  <w:color w:val="0000FF"/>
                </w:rPr>
                <w:t>Form 8-K, filed April 13, 2017, File No. 1-1927).</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425"/>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(r)*</w:t>
            </w:r>
          </w:p>
        </w:tc>
        <w:tc>
          <w:tcPr>
            <w:tcW w:w="91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782">
              <w:r>
                <w:rPr>
                  <w:rFonts w:ascii="Times New Roman" w:cs="Times New Roman" w:eastAsia="Times New Roman" w:hAnsi="Times New Roman"/>
                  <w:sz w:val="18"/>
                  <w:szCs w:val="18"/>
                  <w:color w:val="0000FF"/>
                </w:rPr>
                <w:t>2013 Performance Plan of the Company (incorporated by reference, filed as Exhibit 10.1 to the Company's Current Report on</w:t>
              </w:r>
            </w:hyperlink>
          </w:p>
        </w:tc>
        <w:tc>
          <w:tcPr>
            <w:tcW w:w="104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60" w:type="dxa"/>
            <w:vAlign w:val="bottom"/>
            <w:gridSpan w:val="21"/>
          </w:tcPr>
          <w:p>
            <w:pPr>
              <w:spacing w:after="0" w:line="195" w:lineRule="exact"/>
              <w:rPr>
                <w:rFonts w:ascii="Times New Roman" w:cs="Times New Roman" w:eastAsia="Times New Roman" w:hAnsi="Times New Roman"/>
                <w:sz w:val="18"/>
                <w:szCs w:val="18"/>
                <w:color w:val="0000FF"/>
              </w:rPr>
            </w:pPr>
            <w:hyperlink r:id="rId782">
              <w:r>
                <w:rPr>
                  <w:rFonts w:ascii="Times New Roman" w:cs="Times New Roman" w:eastAsia="Times New Roman" w:hAnsi="Times New Roman"/>
                  <w:sz w:val="18"/>
                  <w:szCs w:val="18"/>
                  <w:color w:val="0000FF"/>
                </w:rPr>
                <w:t>Form 8-K, filed April 19, 2013, File No. 1-1927).</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425"/>
        </w:trPr>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w:t>
            </w:r>
          </w:p>
        </w:tc>
        <w:tc>
          <w:tcPr>
            <w:tcW w:w="10160" w:type="dxa"/>
            <w:vAlign w:val="bottom"/>
            <w:gridSpan w:val="21"/>
          </w:tcPr>
          <w:p>
            <w:pPr>
              <w:spacing w:after="0"/>
              <w:rPr>
                <w:rFonts w:ascii="Times New Roman" w:cs="Times New Roman" w:eastAsia="Times New Roman" w:hAnsi="Times New Roman"/>
                <w:sz w:val="18"/>
                <w:szCs w:val="18"/>
                <w:color w:val="0000FF"/>
              </w:rPr>
            </w:pPr>
            <w:hyperlink r:id="rId783">
              <w:r>
                <w:rPr>
                  <w:rFonts w:ascii="Times New Roman" w:cs="Times New Roman" w:eastAsia="Times New Roman" w:hAnsi="Times New Roman"/>
                  <w:sz w:val="18"/>
                  <w:szCs w:val="18"/>
                  <w:color w:val="0000FF"/>
                </w:rPr>
                <w:t>The Goodyear Tire &amp; Rubber Company Executive Annual Incentive Plan, effective as of January 1, 2019 (incorporated by</w:t>
              </w:r>
            </w:hyperlink>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00" w:type="dxa"/>
            <w:vAlign w:val="bottom"/>
            <w:tcBorders>
              <w:top w:val="single" w:sz="8" w:color="0000FF"/>
            </w:tcBorders>
            <w:gridSpan w:val="16"/>
          </w:tcPr>
          <w:p>
            <w:pPr>
              <w:spacing w:after="0" w:line="195" w:lineRule="exact"/>
              <w:rPr>
                <w:rFonts w:ascii="Times New Roman" w:cs="Times New Roman" w:eastAsia="Times New Roman" w:hAnsi="Times New Roman"/>
                <w:sz w:val="18"/>
                <w:szCs w:val="18"/>
                <w:color w:val="0000FF"/>
              </w:rPr>
            </w:pPr>
            <w:hyperlink r:id="rId783">
              <w:r>
                <w:rPr>
                  <w:rFonts w:ascii="Times New Roman" w:cs="Times New Roman" w:eastAsia="Times New Roman" w:hAnsi="Times New Roman"/>
                  <w:sz w:val="18"/>
                  <w:szCs w:val="18"/>
                  <w:color w:val="0000FF"/>
                </w:rPr>
                <w:t>reference, filed as Exhibit 10.1 to the Company’s Current Report on Form 8-K, filed December 10, 2018, File No. 1-1927).</w:t>
              </w:r>
            </w:hyperlink>
          </w:p>
        </w:tc>
        <w:tc>
          <w:tcPr>
            <w:tcW w:w="1060" w:type="dxa"/>
            <w:vAlign w:val="bottom"/>
            <w:gridSpan w:val="5"/>
          </w:tcPr>
          <w:p>
            <w:pPr>
              <w:spacing w:after="0"/>
              <w:rPr>
                <w:sz w:val="17"/>
                <w:szCs w:val="17"/>
                <w:color w:val="auto"/>
              </w:rPr>
            </w:pPr>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720" w:type="dxa"/>
            <w:vAlign w:val="bottom"/>
            <w:tcBorders>
              <w:right w:val="single" w:sz="8" w:color="0000FF"/>
            </w:tcBorders>
            <w:gridSpan w:val="6"/>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425"/>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w:t>
            </w:r>
          </w:p>
        </w:tc>
        <w:tc>
          <w:tcPr>
            <w:tcW w:w="91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784">
              <w:r>
                <w:rPr>
                  <w:rFonts w:ascii="Times New Roman" w:cs="Times New Roman" w:eastAsia="Times New Roman" w:hAnsi="Times New Roman"/>
                  <w:sz w:val="18"/>
                  <w:szCs w:val="18"/>
                  <w:color w:val="0000FF"/>
                </w:rPr>
                <w:t>Goodyear Supplementary Pension Plan (December 31, 2021 Restatement) (incorporated by reference, filed as Exhibit 10.1 to</w:t>
              </w:r>
            </w:hyperlink>
          </w:p>
        </w:tc>
        <w:tc>
          <w:tcPr>
            <w:tcW w:w="102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60" w:type="dxa"/>
            <w:vAlign w:val="bottom"/>
            <w:gridSpan w:val="21"/>
          </w:tcPr>
          <w:p>
            <w:pPr>
              <w:spacing w:after="0" w:line="195" w:lineRule="exact"/>
              <w:rPr>
                <w:rFonts w:ascii="Times New Roman" w:cs="Times New Roman" w:eastAsia="Times New Roman" w:hAnsi="Times New Roman"/>
                <w:sz w:val="18"/>
                <w:szCs w:val="18"/>
                <w:color w:val="0000FF"/>
              </w:rPr>
            </w:pPr>
            <w:hyperlink r:id="rId784">
              <w:r>
                <w:rPr>
                  <w:rFonts w:ascii="Times New Roman" w:cs="Times New Roman" w:eastAsia="Times New Roman" w:hAnsi="Times New Roman"/>
                  <w:sz w:val="18"/>
                  <w:szCs w:val="18"/>
                  <w:color w:val="0000FF"/>
                </w:rPr>
                <w:t>the Company’s Current Report on Form 8-K, filed December 10, 2021, File No. 1-1927).</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720" w:type="dxa"/>
            <w:vAlign w:val="bottom"/>
            <w:tcBorders>
              <w:right w:val="single" w:sz="8" w:color="0000EE"/>
            </w:tcBorders>
            <w:gridSpan w:val="6"/>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425"/>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(u)*</w:t>
            </w:r>
          </w:p>
        </w:tc>
        <w:tc>
          <w:tcPr>
            <w:tcW w:w="91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785">
              <w:r>
                <w:rPr>
                  <w:rFonts w:ascii="Times New Roman" w:cs="Times New Roman" w:eastAsia="Times New Roman" w:hAnsi="Times New Roman"/>
                  <w:sz w:val="18"/>
                  <w:szCs w:val="18"/>
                  <w:color w:val="0000FF"/>
                </w:rPr>
                <w:t>Defined Benefit Excess Benefit Plan of the Company, as amended and restated as of October 7, 2008, effective as of January</w:t>
              </w:r>
            </w:hyperlink>
          </w:p>
        </w:tc>
        <w:tc>
          <w:tcPr>
            <w:tcW w:w="20" w:type="dxa"/>
            <w:vAlign w:val="bottom"/>
            <w:tcBorders>
              <w:bottom w:val="single" w:sz="8" w:color="0000EE"/>
            </w:tcBorders>
          </w:tcPr>
          <w:p>
            <w:pPr>
              <w:spacing w:after="0"/>
              <w:rPr>
                <w:sz w:val="24"/>
                <w:szCs w:val="24"/>
                <w:color w:val="auto"/>
              </w:rPr>
            </w:pPr>
          </w:p>
        </w:tc>
        <w:tc>
          <w:tcPr>
            <w:tcW w:w="102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60" w:type="dxa"/>
            <w:vAlign w:val="bottom"/>
            <w:tcBorders>
              <w:bottom w:val="single" w:sz="8" w:color="0000FF"/>
            </w:tcBorders>
            <w:gridSpan w:val="19"/>
          </w:tcPr>
          <w:p>
            <w:pPr>
              <w:spacing w:after="0" w:line="195" w:lineRule="exact"/>
              <w:rPr>
                <w:rFonts w:ascii="Times New Roman" w:cs="Times New Roman" w:eastAsia="Times New Roman" w:hAnsi="Times New Roman"/>
                <w:sz w:val="18"/>
                <w:szCs w:val="18"/>
                <w:color w:val="0000FF"/>
              </w:rPr>
            </w:pPr>
            <w:hyperlink r:id="rId785">
              <w:r>
                <w:rPr>
                  <w:rFonts w:ascii="Times New Roman" w:cs="Times New Roman" w:eastAsia="Times New Roman" w:hAnsi="Times New Roman"/>
                  <w:sz w:val="18"/>
                  <w:szCs w:val="18"/>
                  <w:color w:val="0000FF"/>
                </w:rPr>
                <w:t>1, 2005 (incorporated by reference, filed as Exhibit 10.11 to the Company’s Annual Report on Form 10-K for the year ended</w:t>
              </w:r>
            </w:hyperlink>
          </w:p>
        </w:tc>
        <w:tc>
          <w:tcPr>
            <w:tcW w:w="100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60" w:type="dxa"/>
            <w:vAlign w:val="bottom"/>
            <w:gridSpan w:val="21"/>
          </w:tcPr>
          <w:p>
            <w:pPr>
              <w:spacing w:after="0" w:line="195" w:lineRule="exact"/>
              <w:rPr>
                <w:rFonts w:ascii="Times New Roman" w:cs="Times New Roman" w:eastAsia="Times New Roman" w:hAnsi="Times New Roman"/>
                <w:sz w:val="18"/>
                <w:szCs w:val="18"/>
                <w:color w:val="0000FF"/>
              </w:rPr>
            </w:pPr>
            <w:hyperlink r:id="rId785">
              <w:r>
                <w:rPr>
                  <w:rFonts w:ascii="Times New Roman" w:cs="Times New Roman" w:eastAsia="Times New Roman" w:hAnsi="Times New Roman"/>
                  <w:sz w:val="18"/>
                  <w:szCs w:val="18"/>
                  <w:color w:val="0000FF"/>
                </w:rPr>
                <w:t>December 31, 2008, File No. 1-1927).</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425"/>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(v)*</w:t>
            </w:r>
          </w:p>
        </w:tc>
        <w:tc>
          <w:tcPr>
            <w:tcW w:w="91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786">
              <w:r>
                <w:rPr>
                  <w:rFonts w:ascii="Times New Roman" w:cs="Times New Roman" w:eastAsia="Times New Roman" w:hAnsi="Times New Roman"/>
                  <w:sz w:val="18"/>
                  <w:szCs w:val="18"/>
                  <w:color w:val="0000FF"/>
                </w:rPr>
                <w:t>Defined Contribution Excess Benefit Plan of the Company, adopted October 7, 2008, effective as of January 1, 2005, as</w:t>
              </w:r>
            </w:hyperlink>
          </w:p>
        </w:tc>
        <w:tc>
          <w:tcPr>
            <w:tcW w:w="100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60" w:type="dxa"/>
            <w:vAlign w:val="bottom"/>
            <w:tcBorders>
              <w:bottom w:val="single" w:sz="8" w:color="0000FF"/>
            </w:tcBorders>
            <w:gridSpan w:val="19"/>
          </w:tcPr>
          <w:p>
            <w:pPr>
              <w:spacing w:after="0" w:line="195" w:lineRule="exact"/>
              <w:rPr>
                <w:rFonts w:ascii="Times New Roman" w:cs="Times New Roman" w:eastAsia="Times New Roman" w:hAnsi="Times New Roman"/>
                <w:sz w:val="18"/>
                <w:szCs w:val="18"/>
                <w:color w:val="0000FF"/>
              </w:rPr>
            </w:pPr>
            <w:hyperlink r:id="rId786">
              <w:r>
                <w:rPr>
                  <w:rFonts w:ascii="Times New Roman" w:cs="Times New Roman" w:eastAsia="Times New Roman" w:hAnsi="Times New Roman"/>
                  <w:sz w:val="18"/>
                  <w:szCs w:val="18"/>
                  <w:color w:val="0000FF"/>
                </w:rPr>
                <w:t>amended and restated effective January 1, 2022 (incorporated by reference, filed as Exhibit 10.2 to the Company's Current</w:t>
              </w:r>
            </w:hyperlink>
          </w:p>
        </w:tc>
        <w:tc>
          <w:tcPr>
            <w:tcW w:w="100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60" w:type="dxa"/>
            <w:vAlign w:val="bottom"/>
            <w:gridSpan w:val="21"/>
          </w:tcPr>
          <w:p>
            <w:pPr>
              <w:spacing w:after="0" w:line="195" w:lineRule="exact"/>
              <w:rPr>
                <w:rFonts w:ascii="Times New Roman" w:cs="Times New Roman" w:eastAsia="Times New Roman" w:hAnsi="Times New Roman"/>
                <w:sz w:val="18"/>
                <w:szCs w:val="18"/>
                <w:color w:val="0000FF"/>
              </w:rPr>
            </w:pPr>
            <w:hyperlink r:id="rId786">
              <w:r>
                <w:rPr>
                  <w:rFonts w:ascii="Times New Roman" w:cs="Times New Roman" w:eastAsia="Times New Roman" w:hAnsi="Times New Roman"/>
                  <w:sz w:val="18"/>
                  <w:szCs w:val="18"/>
                  <w:color w:val="0000FF"/>
                </w:rPr>
                <w:t>Report on Form 8-K, filed December 10, 2021, File No. 1-1927).</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0" w:type="dxa"/>
            <w:vAlign w:val="bottom"/>
            <w:tcBorders>
              <w:right w:val="single" w:sz="8" w:color="0000EE"/>
            </w:tcBorders>
            <w:gridSpan w:val="3"/>
            <w:shd w:val="clear" w:color="auto" w:fill="0000FF"/>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425"/>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w:t>
            </w:r>
          </w:p>
        </w:tc>
        <w:tc>
          <w:tcPr>
            <w:tcW w:w="10160" w:type="dxa"/>
            <w:vAlign w:val="bottom"/>
            <w:gridSpan w:val="21"/>
          </w:tcPr>
          <w:p>
            <w:pPr>
              <w:spacing w:after="0"/>
              <w:rPr>
                <w:rFonts w:ascii="Times New Roman" w:cs="Times New Roman" w:eastAsia="Times New Roman" w:hAnsi="Times New Roman"/>
                <w:sz w:val="18"/>
                <w:szCs w:val="18"/>
                <w:color w:val="0000FF"/>
              </w:rPr>
            </w:pPr>
            <w:hyperlink r:id="rId787">
              <w:r>
                <w:rPr>
                  <w:rFonts w:ascii="Times New Roman" w:cs="Times New Roman" w:eastAsia="Times New Roman" w:hAnsi="Times New Roman"/>
                  <w:sz w:val="18"/>
                  <w:szCs w:val="18"/>
                  <w:color w:val="0000FF"/>
                </w:rPr>
                <w:t>Deferred Compensation Plan for Executives, as amended and restated on October 12, 2020 (incorporated by reference, filed as</w:t>
              </w:r>
            </w:hyperlink>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20" w:type="dxa"/>
            <w:vAlign w:val="bottom"/>
            <w:tcBorders>
              <w:top w:val="single" w:sz="8" w:color="0000FF"/>
              <w:bottom w:val="single" w:sz="8" w:color="0000FF"/>
            </w:tcBorders>
            <w:gridSpan w:val="13"/>
          </w:tcPr>
          <w:p>
            <w:pPr>
              <w:spacing w:after="0" w:line="195" w:lineRule="exact"/>
              <w:rPr>
                <w:rFonts w:ascii="Times New Roman" w:cs="Times New Roman" w:eastAsia="Times New Roman" w:hAnsi="Times New Roman"/>
                <w:sz w:val="18"/>
                <w:szCs w:val="18"/>
                <w:color w:val="0000FF"/>
                <w:w w:val="99"/>
              </w:rPr>
            </w:pPr>
            <w:hyperlink r:id="rId787">
              <w:r>
                <w:rPr>
                  <w:rFonts w:ascii="Times New Roman" w:cs="Times New Roman" w:eastAsia="Times New Roman" w:hAnsi="Times New Roman"/>
                  <w:sz w:val="18"/>
                  <w:szCs w:val="18"/>
                  <w:color w:val="0000FF"/>
                  <w:w w:val="99"/>
                </w:rPr>
                <w:t>Exhibit 10.1 to the Company’s Annual Report on Form 10-K for the year ended December 31, 2020, File No. 1-1927).</w:t>
              </w:r>
            </w:hyperlink>
          </w:p>
        </w:tc>
        <w:tc>
          <w:tcPr>
            <w:tcW w:w="20" w:type="dxa"/>
            <w:vAlign w:val="bottom"/>
            <w:tcBorders>
              <w:top w:val="single" w:sz="8" w:color="0000FF"/>
              <w:bottom w:val="single" w:sz="8" w:color="0000EE"/>
            </w:tcBorders>
          </w:tcPr>
          <w:p>
            <w:pPr>
              <w:spacing w:after="0"/>
              <w:rPr>
                <w:sz w:val="17"/>
                <w:szCs w:val="17"/>
                <w:color w:val="auto"/>
              </w:rPr>
            </w:pPr>
          </w:p>
        </w:tc>
        <w:tc>
          <w:tcPr>
            <w:tcW w:w="560" w:type="dxa"/>
            <w:vAlign w:val="bottom"/>
            <w:tcBorders>
              <w:top w:val="single" w:sz="8" w:color="0000FF"/>
            </w:tcBorders>
            <w:gridSpan w:val="2"/>
          </w:tcPr>
          <w:p>
            <w:pPr>
              <w:spacing w:after="0"/>
              <w:rPr>
                <w:sz w:val="17"/>
                <w:szCs w:val="17"/>
                <w:color w:val="auto"/>
              </w:rPr>
            </w:pPr>
          </w:p>
        </w:tc>
        <w:tc>
          <w:tcPr>
            <w:tcW w:w="1060" w:type="dxa"/>
            <w:vAlign w:val="bottom"/>
            <w:gridSpan w:val="5"/>
          </w:tcPr>
          <w:p>
            <w:pPr>
              <w:spacing w:after="0"/>
              <w:rPr>
                <w:sz w:val="17"/>
                <w:szCs w:val="17"/>
                <w:color w:val="auto"/>
              </w:rPr>
            </w:pPr>
          </w:p>
        </w:tc>
      </w:tr>
      <w:tr>
        <w:trPr>
          <w:trHeight w:val="425"/>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(x)*</w:t>
            </w:r>
          </w:p>
        </w:tc>
        <w:tc>
          <w:tcPr>
            <w:tcW w:w="91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788">
              <w:r>
                <w:rPr>
                  <w:rFonts w:ascii="Times New Roman" w:cs="Times New Roman" w:eastAsia="Times New Roman" w:hAnsi="Times New Roman"/>
                  <w:sz w:val="18"/>
                  <w:szCs w:val="18"/>
                  <w:color w:val="0000FF"/>
                </w:rPr>
                <w:t>Outside Directors’ Equity Participation Plan, as adopted February 2, 1996 and last amended as of February 28, 2023</w:t>
              </w:r>
            </w:hyperlink>
          </w:p>
        </w:tc>
        <w:tc>
          <w:tcPr>
            <w:tcW w:w="20" w:type="dxa"/>
            <w:vAlign w:val="bottom"/>
            <w:tcBorders>
              <w:bottom w:val="single" w:sz="8" w:color="0000EE"/>
            </w:tcBorders>
          </w:tcPr>
          <w:p>
            <w:pPr>
              <w:spacing w:after="0"/>
              <w:rPr>
                <w:sz w:val="24"/>
                <w:szCs w:val="24"/>
                <w:color w:val="auto"/>
              </w:rPr>
            </w:pPr>
          </w:p>
        </w:tc>
        <w:tc>
          <w:tcPr>
            <w:tcW w:w="102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60" w:type="dxa"/>
            <w:vAlign w:val="bottom"/>
            <w:tcBorders>
              <w:bottom w:val="single" w:sz="8" w:color="0000FF"/>
            </w:tcBorders>
            <w:gridSpan w:val="19"/>
          </w:tcPr>
          <w:p>
            <w:pPr>
              <w:spacing w:after="0" w:line="195" w:lineRule="exact"/>
              <w:rPr>
                <w:rFonts w:ascii="Times New Roman" w:cs="Times New Roman" w:eastAsia="Times New Roman" w:hAnsi="Times New Roman"/>
                <w:sz w:val="18"/>
                <w:szCs w:val="18"/>
                <w:color w:val="0000FF"/>
              </w:rPr>
            </w:pPr>
            <w:hyperlink r:id="rId788">
              <w:r>
                <w:rPr>
                  <w:rFonts w:ascii="Times New Roman" w:cs="Times New Roman" w:eastAsia="Times New Roman" w:hAnsi="Times New Roman"/>
                  <w:sz w:val="18"/>
                  <w:szCs w:val="18"/>
                  <w:color w:val="0000FF"/>
                </w:rPr>
                <w:t>(incorporated by reference, filed as Exhibit 10.1 to the Company’s Quarterly Report on Form 10-Q for the quarter ended</w:t>
              </w:r>
            </w:hyperlink>
          </w:p>
        </w:tc>
        <w:tc>
          <w:tcPr>
            <w:tcW w:w="100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80" w:type="dxa"/>
            <w:vAlign w:val="bottom"/>
            <w:tcBorders>
              <w:bottom w:val="single" w:sz="8" w:color="0000FF"/>
            </w:tcBorders>
            <w:gridSpan w:val="2"/>
          </w:tcPr>
          <w:p>
            <w:pPr>
              <w:spacing w:after="0" w:line="195" w:lineRule="exact"/>
              <w:rPr>
                <w:rFonts w:ascii="Times New Roman" w:cs="Times New Roman" w:eastAsia="Times New Roman" w:hAnsi="Times New Roman"/>
                <w:sz w:val="18"/>
                <w:szCs w:val="18"/>
                <w:color w:val="0000FF"/>
                <w:w w:val="98"/>
              </w:rPr>
            </w:pPr>
            <w:hyperlink r:id="rId788">
              <w:r>
                <w:rPr>
                  <w:rFonts w:ascii="Times New Roman" w:cs="Times New Roman" w:eastAsia="Times New Roman" w:hAnsi="Times New Roman"/>
                  <w:sz w:val="18"/>
                  <w:szCs w:val="18"/>
                  <w:color w:val="0000FF"/>
                  <w:w w:val="98"/>
                </w:rPr>
                <w:t>March 31, 2023, File No. 1-1927).</w:t>
              </w:r>
            </w:hyperlink>
          </w:p>
        </w:tc>
        <w:tc>
          <w:tcPr>
            <w:tcW w:w="20" w:type="dxa"/>
            <w:vAlign w:val="bottom"/>
            <w:tcBorders>
              <w:bottom w:val="single" w:sz="8" w:color="0000EE"/>
            </w:tcBorders>
          </w:tcPr>
          <w:p>
            <w:pPr>
              <w:spacing w:after="0"/>
              <w:rPr>
                <w:sz w:val="17"/>
                <w:szCs w:val="17"/>
                <w:color w:val="auto"/>
              </w:rPr>
            </w:pPr>
          </w:p>
        </w:tc>
        <w:tc>
          <w:tcPr>
            <w:tcW w:w="7660" w:type="dxa"/>
            <w:vAlign w:val="bottom"/>
            <w:gridSpan w:val="18"/>
          </w:tcPr>
          <w:p>
            <w:pPr>
              <w:spacing w:after="0"/>
              <w:rPr>
                <w:sz w:val="17"/>
                <w:szCs w:val="17"/>
                <w:color w:val="auto"/>
              </w:rPr>
            </w:pPr>
          </w:p>
        </w:tc>
      </w:tr>
      <w:tr>
        <w:trPr>
          <w:trHeight w:val="371"/>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(y)*</w:t>
            </w:r>
          </w:p>
        </w:tc>
        <w:tc>
          <w:tcPr>
            <w:tcW w:w="91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789">
              <w:r>
                <w:rPr>
                  <w:rFonts w:ascii="Times New Roman" w:cs="Times New Roman" w:eastAsia="Times New Roman" w:hAnsi="Times New Roman"/>
                  <w:sz w:val="18"/>
                  <w:szCs w:val="18"/>
                  <w:color w:val="0000FF"/>
                </w:rPr>
                <w:t>The Goodyear Tire &amp; Rubber Company Executive Severance and Change in Control Plan, adopted February 28, 2013</w:t>
              </w:r>
            </w:hyperlink>
          </w:p>
        </w:tc>
        <w:tc>
          <w:tcPr>
            <w:tcW w:w="20" w:type="dxa"/>
            <w:vAlign w:val="bottom"/>
            <w:tcBorders>
              <w:bottom w:val="single" w:sz="8" w:color="0000EE"/>
            </w:tcBorders>
          </w:tcPr>
          <w:p>
            <w:pPr>
              <w:spacing w:after="0"/>
              <w:rPr>
                <w:sz w:val="24"/>
                <w:szCs w:val="24"/>
                <w:color w:val="auto"/>
              </w:rPr>
            </w:pPr>
          </w:p>
        </w:tc>
        <w:tc>
          <w:tcPr>
            <w:tcW w:w="100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60" w:type="dxa"/>
            <w:vAlign w:val="bottom"/>
            <w:gridSpan w:val="21"/>
          </w:tcPr>
          <w:p>
            <w:pPr>
              <w:spacing w:after="0" w:line="195" w:lineRule="exact"/>
              <w:rPr>
                <w:rFonts w:ascii="Times New Roman" w:cs="Times New Roman" w:eastAsia="Times New Roman" w:hAnsi="Times New Roman"/>
                <w:sz w:val="18"/>
                <w:szCs w:val="18"/>
                <w:color w:val="0000FF"/>
              </w:rPr>
            </w:pPr>
            <w:hyperlink r:id="rId789">
              <w:r>
                <w:rPr>
                  <w:rFonts w:ascii="Times New Roman" w:cs="Times New Roman" w:eastAsia="Times New Roman" w:hAnsi="Times New Roman"/>
                  <w:sz w:val="18"/>
                  <w:szCs w:val="18"/>
                  <w:color w:val="0000FF"/>
                </w:rPr>
                <w:t>(incorporated by reference, filed as Exhibit 10.1 to the Company’s Current Report on Form 8-K, filed March 6, 2013, File No.</w:t>
              </w:r>
            </w:hyperlink>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80" w:type="dxa"/>
            <w:vAlign w:val="bottom"/>
            <w:tcBorders>
              <w:top w:val="single" w:sz="8" w:color="0000FF"/>
            </w:tcBorders>
            <w:gridSpan w:val="2"/>
          </w:tcPr>
          <w:p>
            <w:pPr>
              <w:spacing w:after="0" w:line="195" w:lineRule="exact"/>
              <w:rPr>
                <w:rFonts w:ascii="Times New Roman" w:cs="Times New Roman" w:eastAsia="Times New Roman" w:hAnsi="Times New Roman"/>
                <w:sz w:val="18"/>
                <w:szCs w:val="18"/>
                <w:color w:val="0000FF"/>
              </w:rPr>
            </w:pPr>
            <w:hyperlink r:id="rId789">
              <w:r>
                <w:rPr>
                  <w:rFonts w:ascii="Times New Roman" w:cs="Times New Roman" w:eastAsia="Times New Roman" w:hAnsi="Times New Roman"/>
                  <w:sz w:val="18"/>
                  <w:szCs w:val="18"/>
                  <w:color w:val="0000FF"/>
                </w:rPr>
                <w:t>1-1927).</w:t>
              </w:r>
            </w:hyperlink>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71"/>
        </w:trPr>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80" w:type="dxa"/>
            <w:vAlign w:val="bottom"/>
            <w:gridSpan w:val="16"/>
          </w:tcPr>
          <w:p>
            <w:pPr>
              <w:ind w:left="820"/>
              <w:spacing w:after="0"/>
              <w:rPr>
                <w:sz w:val="20"/>
                <w:szCs w:val="20"/>
                <w:color w:val="auto"/>
              </w:rPr>
            </w:pPr>
            <w:r>
              <w:rPr>
                <w:rFonts w:ascii="Times New Roman" w:cs="Times New Roman" w:eastAsia="Times New Roman" w:hAnsi="Times New Roman"/>
                <w:sz w:val="18"/>
                <w:szCs w:val="18"/>
                <w:color w:val="auto"/>
              </w:rPr>
              <w:t>X-4</w:t>
            </w:r>
          </w:p>
        </w:tc>
      </w:tr>
      <w:tr>
        <w:trPr>
          <w:trHeight w:val="762"/>
        </w:trPr>
        <w:tc>
          <w:tcPr>
            <w:tcW w:w="10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92">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8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(z)*</w:t>
            </w:r>
          </w:p>
        </w:tc>
        <w:tc>
          <w:tcPr>
            <w:tcW w:w="91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rPr>
            </w:pPr>
            <w:hyperlink r:id="rId793">
              <w:r>
                <w:rPr>
                  <w:rFonts w:ascii="Times New Roman" w:cs="Times New Roman" w:eastAsia="Times New Roman" w:hAnsi="Times New Roman"/>
                  <w:sz w:val="18"/>
                  <w:szCs w:val="18"/>
                  <w:color w:val="0000FF"/>
                </w:rPr>
                <w:t>Retention Agreement, dated May 24, 2021, between the Company and Darren R. Wells (incorporated by reference, filed as</w:t>
              </w:r>
            </w:hyperlink>
          </w:p>
        </w:tc>
      </w:tr>
      <w:tr>
        <w:trPr>
          <w:trHeight w:val="196"/>
        </w:trPr>
        <w:tc>
          <w:tcPr>
            <w:tcW w:w="800" w:type="dxa"/>
            <w:vAlign w:val="bottom"/>
          </w:tcPr>
          <w:p>
            <w:pPr>
              <w:spacing w:after="0"/>
              <w:rPr>
                <w:sz w:val="17"/>
                <w:szCs w:val="17"/>
                <w:color w:val="auto"/>
              </w:rPr>
            </w:pPr>
          </w:p>
        </w:tc>
        <w:tc>
          <w:tcPr>
            <w:tcW w:w="712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9"/>
              </w:rPr>
            </w:pPr>
            <w:hyperlink r:id="rId793">
              <w:r>
                <w:rPr>
                  <w:rFonts w:ascii="Times New Roman" w:cs="Times New Roman" w:eastAsia="Times New Roman" w:hAnsi="Times New Roman"/>
                  <w:sz w:val="18"/>
                  <w:szCs w:val="18"/>
                  <w:color w:val="0000FF"/>
                  <w:w w:val="99"/>
                </w:rPr>
                <w:t>Exhibit 10.1 to the Company’s Current Report on Form 8-K, filed May 27, 2021, File No. 1-1927).</w:t>
              </w:r>
            </w:hyperlink>
          </w:p>
        </w:tc>
        <w:tc>
          <w:tcPr>
            <w:tcW w:w="2000" w:type="dxa"/>
            <w:vAlign w:val="bottom"/>
            <w:gridSpan w:val="2"/>
          </w:tcPr>
          <w:p>
            <w:pPr>
              <w:spacing w:after="0"/>
              <w:rPr>
                <w:sz w:val="17"/>
                <w:szCs w:val="17"/>
                <w:color w:val="auto"/>
              </w:rPr>
            </w:pPr>
          </w:p>
        </w:tc>
      </w:tr>
      <w:tr>
        <w:trPr>
          <w:trHeight w:val="425"/>
        </w:trPr>
        <w:tc>
          <w:tcPr>
            <w:tcW w:w="8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(aa)*</w:t>
            </w:r>
          </w:p>
        </w:tc>
        <w:tc>
          <w:tcPr>
            <w:tcW w:w="91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rPr>
            </w:pPr>
            <w:hyperlink r:id="rId794">
              <w:r>
                <w:rPr>
                  <w:rFonts w:ascii="Times New Roman" w:cs="Times New Roman" w:eastAsia="Times New Roman" w:hAnsi="Times New Roman"/>
                  <w:sz w:val="18"/>
                  <w:szCs w:val="18"/>
                  <w:color w:val="0000FF"/>
                </w:rPr>
                <w:t>Retention Agreement, dated May 24, 2021, between the Company and Richard J. Kramer (incorporated by reference, filed as</w:t>
              </w:r>
            </w:hyperlink>
          </w:p>
        </w:tc>
      </w:tr>
      <w:tr>
        <w:trPr>
          <w:trHeight w:val="196"/>
        </w:trPr>
        <w:tc>
          <w:tcPr>
            <w:tcW w:w="800" w:type="dxa"/>
            <w:vAlign w:val="bottom"/>
          </w:tcPr>
          <w:p>
            <w:pPr>
              <w:spacing w:after="0"/>
              <w:rPr>
                <w:sz w:val="17"/>
                <w:szCs w:val="17"/>
                <w:color w:val="auto"/>
              </w:rPr>
            </w:pPr>
          </w:p>
        </w:tc>
        <w:tc>
          <w:tcPr>
            <w:tcW w:w="712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9"/>
              </w:rPr>
            </w:pPr>
            <w:hyperlink r:id="rId794">
              <w:r>
                <w:rPr>
                  <w:rFonts w:ascii="Times New Roman" w:cs="Times New Roman" w:eastAsia="Times New Roman" w:hAnsi="Times New Roman"/>
                  <w:sz w:val="18"/>
                  <w:szCs w:val="18"/>
                  <w:color w:val="0000FF"/>
                  <w:w w:val="99"/>
                </w:rPr>
                <w:t>Exhibit 10.2 to the Company’s Current Report on Form 8-K, filed May 27, 2021, File No. 1-1927).</w:t>
              </w:r>
            </w:hyperlink>
          </w:p>
        </w:tc>
        <w:tc>
          <w:tcPr>
            <w:tcW w:w="2000" w:type="dxa"/>
            <w:vAlign w:val="bottom"/>
            <w:gridSpan w:val="2"/>
          </w:tcPr>
          <w:p>
            <w:pPr>
              <w:spacing w:after="0"/>
              <w:rPr>
                <w:sz w:val="17"/>
                <w:szCs w:val="17"/>
                <w:color w:val="auto"/>
              </w:rPr>
            </w:pPr>
          </w:p>
        </w:tc>
      </w:tr>
      <w:tr>
        <w:trPr>
          <w:trHeight w:val="425"/>
        </w:trPr>
        <w:tc>
          <w:tcPr>
            <w:tcW w:w="8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(bb)*</w:t>
            </w:r>
          </w:p>
        </w:tc>
        <w:tc>
          <w:tcPr>
            <w:tcW w:w="91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rPr>
            </w:pPr>
            <w:hyperlink r:id="rId795">
              <w:r>
                <w:rPr>
                  <w:rFonts w:ascii="Times New Roman" w:cs="Times New Roman" w:eastAsia="Times New Roman" w:hAnsi="Times New Roman"/>
                  <w:sz w:val="18"/>
                  <w:szCs w:val="18"/>
                  <w:color w:val="0000FF"/>
                </w:rPr>
                <w:t>Retention Agreement, dated May 24, 2021, between the Company and Stephen R. McClellan (incorporated by reference, filed</w:t>
              </w:r>
            </w:hyperlink>
          </w:p>
        </w:tc>
      </w:tr>
      <w:tr>
        <w:trPr>
          <w:trHeight w:val="196"/>
        </w:trPr>
        <w:tc>
          <w:tcPr>
            <w:tcW w:w="800" w:type="dxa"/>
            <w:vAlign w:val="bottom"/>
          </w:tcPr>
          <w:p>
            <w:pPr>
              <w:spacing w:after="0"/>
              <w:rPr>
                <w:sz w:val="17"/>
                <w:szCs w:val="17"/>
                <w:color w:val="auto"/>
              </w:rPr>
            </w:pPr>
          </w:p>
        </w:tc>
        <w:tc>
          <w:tcPr>
            <w:tcW w:w="9120" w:type="dxa"/>
            <w:vAlign w:val="bottom"/>
            <w:gridSpan w:val="3"/>
          </w:tcPr>
          <w:p>
            <w:pPr>
              <w:spacing w:after="0" w:line="195" w:lineRule="exact"/>
              <w:rPr>
                <w:rFonts w:ascii="Times New Roman" w:cs="Times New Roman" w:eastAsia="Times New Roman" w:hAnsi="Times New Roman"/>
                <w:sz w:val="18"/>
                <w:szCs w:val="18"/>
                <w:color w:val="0000FF"/>
              </w:rPr>
            </w:pPr>
            <w:hyperlink r:id="rId795">
              <w:r>
                <w:rPr>
                  <w:rFonts w:ascii="Times New Roman" w:cs="Times New Roman" w:eastAsia="Times New Roman" w:hAnsi="Times New Roman"/>
                  <w:sz w:val="18"/>
                  <w:szCs w:val="18"/>
                  <w:color w:val="0000FF"/>
                </w:rPr>
                <w:t>as Exhibit 10.3 to the Company’s Current Report on Form 8-K, filed May 27, 2021, File No. 1-1927).</w:t>
              </w:r>
            </w:hyperlink>
          </w:p>
        </w:tc>
      </w:tr>
      <w:tr>
        <w:trPr>
          <w:trHeight w:val="20"/>
        </w:trPr>
        <w:tc>
          <w:tcPr>
            <w:tcW w:w="800" w:type="dxa"/>
            <w:vAlign w:val="bottom"/>
          </w:tcPr>
          <w:p>
            <w:pPr>
              <w:spacing w:after="0" w:line="20" w:lineRule="exact"/>
              <w:rPr>
                <w:sz w:val="1"/>
                <w:szCs w:val="1"/>
                <w:color w:val="auto"/>
              </w:rPr>
            </w:pPr>
          </w:p>
        </w:tc>
        <w:tc>
          <w:tcPr>
            <w:tcW w:w="71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1080" w:right="740" w:hanging="753"/>
        <w:spacing w:after="0" w:line="265" w:lineRule="auto"/>
        <w:tabs>
          <w:tab w:leader="none" w:pos="1080" w:val="left"/>
        </w:tabs>
        <w:numPr>
          <w:ilvl w:val="0"/>
          <w:numId w:val="62"/>
        </w:numPr>
        <w:rPr>
          <w:rFonts w:ascii="Times New Roman" w:cs="Times New Roman" w:eastAsia="Times New Roman" w:hAnsi="Times New Roman"/>
          <w:sz w:val="18"/>
          <w:szCs w:val="18"/>
          <w:u w:val="single" w:color="auto"/>
          <w:color w:val="0000FF"/>
        </w:rPr>
      </w:pPr>
      <w:hyperlink r:id="rId796">
        <w:r>
          <w:rPr>
            <w:rFonts w:ascii="Times New Roman" w:cs="Times New Roman" w:eastAsia="Times New Roman" w:hAnsi="Times New Roman"/>
            <w:sz w:val="18"/>
            <w:szCs w:val="18"/>
            <w:u w:val="single" w:color="auto"/>
            <w:color w:val="0000FF"/>
          </w:rPr>
          <w:t>Cooperation Agreement between The Goodyear Tire &amp; Rubber Company, Elliott Investment Management L.P., Elliott</w:t>
        </w:r>
      </w:hyperlink>
      <w:r>
        <w:rPr>
          <w:rFonts w:ascii="Times New Roman" w:cs="Times New Roman" w:eastAsia="Times New Roman" w:hAnsi="Times New Roman"/>
          <w:sz w:val="18"/>
          <w:szCs w:val="18"/>
          <w:u w:val="single" w:color="auto"/>
          <w:color w:val="0000FF"/>
        </w:rPr>
        <w:t xml:space="preserve"> </w:t>
      </w:r>
      <w:hyperlink r:id="rId796">
        <w:r>
          <w:rPr>
            <w:rFonts w:ascii="Times New Roman" w:cs="Times New Roman" w:eastAsia="Times New Roman" w:hAnsi="Times New Roman"/>
            <w:sz w:val="18"/>
            <w:szCs w:val="18"/>
            <w:u w:val="single" w:color="auto"/>
            <w:color w:val="0000FF"/>
          </w:rPr>
          <w:t>Associates, L.P., and Elliott International, L.P., dated July 25, 2023 (incorporated by reference, filed as Exhibit 10.1 to the</w:t>
        </w:r>
      </w:hyperlink>
      <w:r>
        <w:rPr>
          <w:rFonts w:ascii="Times New Roman" w:cs="Times New Roman" w:eastAsia="Times New Roman" w:hAnsi="Times New Roman"/>
          <w:sz w:val="18"/>
          <w:szCs w:val="18"/>
          <w:u w:val="single" w:color="auto"/>
          <w:color w:val="0000FF"/>
        </w:rPr>
        <w:t xml:space="preserve"> </w:t>
      </w:r>
      <w:hyperlink r:id="rId796">
        <w:r>
          <w:rPr>
            <w:rFonts w:ascii="Times New Roman" w:cs="Times New Roman" w:eastAsia="Times New Roman" w:hAnsi="Times New Roman"/>
            <w:sz w:val="18"/>
            <w:szCs w:val="18"/>
            <w:u w:val="single" w:color="auto"/>
            <w:color w:val="0000FF"/>
          </w:rPr>
          <w:t>Company's Current Report on Form 8-K, filed July 25, 2023, File No. 1-1927).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681355</wp:posOffset>
            </wp:positionH>
            <wp:positionV relativeFrom="paragraph">
              <wp:posOffset>-311785</wp:posOffset>
            </wp:positionV>
            <wp:extent cx="578993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97">
                      <a:extLst>
                        <a:ext uri="{28A0092B-C50C-407E-A947-70E740481C1C}"/>
                      </a:extLst>
                    </a:blip>
                    <a:srcRect/>
                    <a:stretch>
                      <a:fillRect/>
                    </a:stretch>
                  </pic:blipFill>
                  <pic:spPr bwMode="auto">
                    <a:xfrm>
                      <a:off x="0" y="0"/>
                      <a:ext cx="578993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-174625</wp:posOffset>
            </wp:positionV>
            <wp:extent cx="579310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98">
                      <a:extLst>
                        <a:ext uri="{28A0092B-C50C-407E-A947-70E740481C1C}"/>
                      </a:extLst>
                    </a:blip>
                    <a:srcRect/>
                    <a:stretch>
                      <a:fillRect/>
                    </a:stretch>
                  </pic:blipFill>
                  <pic:spPr bwMode="auto">
                    <a:xfrm>
                      <a:off x="0" y="0"/>
                      <a:ext cx="5793105"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-38100</wp:posOffset>
            </wp:positionV>
            <wp:extent cx="361188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99">
                      <a:extLst>
                        <a:ext uri="{28A0092B-C50C-407E-A947-70E740481C1C}"/>
                      </a:extLst>
                    </a:blip>
                    <a:srcRect/>
                    <a:stretch>
                      <a:fillRect/>
                    </a:stretch>
                  </pic:blipFill>
                  <pic:spPr bwMode="auto">
                    <a:xfrm>
                      <a:off x="0" y="0"/>
                      <a:ext cx="3611880" cy="8255"/>
                    </a:xfrm>
                    <a:prstGeom prst="rect">
                      <a:avLst/>
                    </a:prstGeom>
                    <a:noFill/>
                  </pic:spPr>
                </pic:pic>
              </a:graphicData>
            </a:graphic>
          </wp:anchor>
        </w:drawing>
      </w:r>
    </w:p>
    <w:p>
      <w:pPr>
        <w:spacing w:after="0" w:line="167" w:lineRule="exact"/>
        <w:rPr>
          <w:rFonts w:ascii="Times New Roman" w:cs="Times New Roman" w:eastAsia="Times New Roman" w:hAnsi="Times New Roman"/>
          <w:sz w:val="18"/>
          <w:szCs w:val="18"/>
          <w:u w:val="single" w:color="auto"/>
          <w:color w:val="0000FF"/>
        </w:rPr>
      </w:pPr>
    </w:p>
    <w:p>
      <w:pPr>
        <w:ind w:left="1080" w:hanging="70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Subsidiaries</w:t>
      </w:r>
    </w:p>
    <w:p>
      <w:pPr>
        <w:spacing w:after="0" w:line="242" w:lineRule="exact"/>
        <w:rPr>
          <w:rFonts w:ascii="Times New Roman" w:cs="Times New Roman" w:eastAsia="Times New Roman" w:hAnsi="Times New Roman"/>
          <w:sz w:val="18"/>
          <w:szCs w:val="18"/>
          <w:u w:val="single" w:color="auto"/>
          <w:color w:val="0000FF"/>
        </w:rPr>
      </w:pPr>
    </w:p>
    <w:p>
      <w:pPr>
        <w:ind w:left="360"/>
        <w:spacing w:after="0"/>
        <w:tabs>
          <w:tab w:leader="none" w:pos="1060" w:val="left"/>
          <w:tab w:leader="none" w:pos="10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List of Subsidiaries of the Company at December 31, 2023.</w:t>
      </w:r>
      <w:r>
        <w:rPr>
          <w:sz w:val="20"/>
          <w:szCs w:val="20"/>
          <w:color w:val="auto"/>
        </w:rPr>
        <w:tab/>
      </w:r>
      <w:r>
        <w:rPr>
          <w:rFonts w:ascii="Times New Roman" w:cs="Times New Roman" w:eastAsia="Times New Roman" w:hAnsi="Times New Roman"/>
          <w:sz w:val="17"/>
          <w:szCs w:val="17"/>
          <w:color w:val="auto"/>
        </w:rPr>
        <w:t>21.1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681355</wp:posOffset>
            </wp:positionH>
            <wp:positionV relativeFrom="paragraph">
              <wp:posOffset>-7620</wp:posOffset>
            </wp:positionV>
            <wp:extent cx="271589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800">
                      <a:extLst>
                        <a:ext uri="{28A0092B-C50C-407E-A947-70E740481C1C}"/>
                      </a:extLst>
                    </a:blip>
                    <a:srcRect/>
                    <a:stretch>
                      <a:fillRect/>
                    </a:stretch>
                  </pic:blipFill>
                  <pic:spPr bwMode="auto">
                    <a:xfrm>
                      <a:off x="0" y="0"/>
                      <a:ext cx="2715895" cy="8255"/>
                    </a:xfrm>
                    <a:prstGeom prst="rect">
                      <a:avLst/>
                    </a:prstGeom>
                    <a:noFill/>
                  </pic:spPr>
                </pic:pic>
              </a:graphicData>
            </a:graphic>
          </wp:anchor>
        </w:drawing>
      </w:r>
    </w:p>
    <w:p>
      <w:pPr>
        <w:spacing w:after="0" w:line="214" w:lineRule="exact"/>
        <w:rPr>
          <w:rFonts w:ascii="Times New Roman" w:cs="Times New Roman" w:eastAsia="Times New Roman" w:hAnsi="Times New Roman"/>
          <w:sz w:val="18"/>
          <w:szCs w:val="18"/>
          <w:u w:val="single" w:color="auto"/>
          <w:color w:val="0000FF"/>
        </w:rPr>
      </w:pPr>
    </w:p>
    <w:p>
      <w:pPr>
        <w:ind w:left="1080" w:hanging="70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Subsidiary Guarantors of Guaranteed Securities</w:t>
      </w:r>
    </w:p>
    <w:p>
      <w:pPr>
        <w:spacing w:after="0" w:line="242" w:lineRule="exact"/>
        <w:rPr>
          <w:rFonts w:ascii="Times New Roman" w:cs="Times New Roman" w:eastAsia="Times New Roman" w:hAnsi="Times New Roman"/>
          <w:sz w:val="18"/>
          <w:szCs w:val="18"/>
          <w:u w:val="single" w:color="auto"/>
          <w:color w:val="0000FF"/>
        </w:rPr>
      </w:pPr>
    </w:p>
    <w:p>
      <w:pPr>
        <w:ind w:left="360"/>
        <w:spacing w:after="0"/>
        <w:tabs>
          <w:tab w:leader="none" w:pos="1060" w:val="left"/>
          <w:tab w:leader="none" w:pos="10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List of Subsidiary Guarantors.</w:t>
      </w:r>
      <w:r>
        <w:rPr>
          <w:sz w:val="20"/>
          <w:szCs w:val="20"/>
          <w:color w:val="auto"/>
        </w:rPr>
        <w:tab/>
      </w:r>
      <w:r>
        <w:rPr>
          <w:rFonts w:ascii="Times New Roman" w:cs="Times New Roman" w:eastAsia="Times New Roman" w:hAnsi="Times New Roman"/>
          <w:sz w:val="17"/>
          <w:szCs w:val="17"/>
          <w:color w:val="auto"/>
        </w:rPr>
        <w:t>22.1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681355</wp:posOffset>
            </wp:positionH>
            <wp:positionV relativeFrom="paragraph">
              <wp:posOffset>-7620</wp:posOffset>
            </wp:positionV>
            <wp:extent cx="138176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801">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214" w:lineRule="exact"/>
        <w:rPr>
          <w:rFonts w:ascii="Times New Roman" w:cs="Times New Roman" w:eastAsia="Times New Roman" w:hAnsi="Times New Roman"/>
          <w:sz w:val="18"/>
          <w:szCs w:val="18"/>
          <w:u w:val="single" w:color="auto"/>
          <w:color w:val="0000FF"/>
        </w:rPr>
      </w:pPr>
    </w:p>
    <w:p>
      <w:pPr>
        <w:ind w:left="1080" w:hanging="70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Consents</w:t>
      </w:r>
    </w:p>
    <w:p>
      <w:pPr>
        <w:spacing w:after="0" w:line="242" w:lineRule="exact"/>
        <w:rPr>
          <w:rFonts w:ascii="Times New Roman" w:cs="Times New Roman" w:eastAsia="Times New Roman" w:hAnsi="Times New Roman"/>
          <w:sz w:val="18"/>
          <w:szCs w:val="18"/>
          <w:u w:val="single" w:color="auto"/>
          <w:color w:val="0000FF"/>
        </w:rPr>
      </w:pPr>
    </w:p>
    <w:p>
      <w:pPr>
        <w:ind w:left="360"/>
        <w:spacing w:after="0"/>
        <w:tabs>
          <w:tab w:leader="none" w:pos="1060" w:val="left"/>
          <w:tab w:leader="none" w:pos="10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Consent of PricewaterhouseCoopers LLP.</w:t>
      </w:r>
      <w:r>
        <w:rPr>
          <w:sz w:val="20"/>
          <w:szCs w:val="20"/>
          <w:color w:val="auto"/>
        </w:rPr>
        <w:tab/>
      </w:r>
      <w:r>
        <w:rPr>
          <w:rFonts w:ascii="Times New Roman" w:cs="Times New Roman" w:eastAsia="Times New Roman" w:hAnsi="Times New Roman"/>
          <w:sz w:val="17"/>
          <w:szCs w:val="17"/>
          <w:color w:val="auto"/>
        </w:rPr>
        <w:t>23.1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681355</wp:posOffset>
            </wp:positionH>
            <wp:positionV relativeFrom="paragraph">
              <wp:posOffset>-7620</wp:posOffset>
            </wp:positionV>
            <wp:extent cx="190817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802">
                      <a:extLst>
                        <a:ext uri="{28A0092B-C50C-407E-A947-70E740481C1C}"/>
                      </a:extLst>
                    </a:blip>
                    <a:srcRect/>
                    <a:stretch>
                      <a:fillRect/>
                    </a:stretch>
                  </pic:blipFill>
                  <pic:spPr bwMode="auto">
                    <a:xfrm>
                      <a:off x="0" y="0"/>
                      <a:ext cx="1908175" cy="8255"/>
                    </a:xfrm>
                    <a:prstGeom prst="rect">
                      <a:avLst/>
                    </a:prstGeom>
                    <a:noFill/>
                  </pic:spPr>
                </pic:pic>
              </a:graphicData>
            </a:graphic>
          </wp:anchor>
        </w:drawing>
      </w:r>
    </w:p>
    <w:p>
      <w:pPr>
        <w:spacing w:after="0" w:line="214" w:lineRule="exact"/>
        <w:rPr>
          <w:rFonts w:ascii="Times New Roman" w:cs="Times New Roman" w:eastAsia="Times New Roman" w:hAnsi="Times New Roman"/>
          <w:sz w:val="18"/>
          <w:szCs w:val="18"/>
          <w:u w:val="single" w:color="auto"/>
          <w:color w:val="0000FF"/>
        </w:rPr>
      </w:pPr>
    </w:p>
    <w:p>
      <w:pPr>
        <w:ind w:left="1080" w:hanging="70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Powers of Attorney</w:t>
      </w:r>
    </w:p>
    <w:p>
      <w:pPr>
        <w:spacing w:after="0" w:line="242" w:lineRule="exact"/>
        <w:rPr>
          <w:rFonts w:ascii="Times New Roman" w:cs="Times New Roman" w:eastAsia="Times New Roman" w:hAnsi="Times New Roman"/>
          <w:sz w:val="18"/>
          <w:szCs w:val="18"/>
          <w:u w:val="single" w:color="auto"/>
          <w:color w:val="0000FF"/>
        </w:rPr>
      </w:pPr>
    </w:p>
    <w:p>
      <w:pPr>
        <w:ind w:left="360"/>
        <w:spacing w:after="0"/>
        <w:tabs>
          <w:tab w:leader="none" w:pos="1060" w:val="left"/>
          <w:tab w:leader="none" w:pos="10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Power of Attorney of Officers and Directors signing this report.</w:t>
      </w:r>
      <w:r>
        <w:rPr>
          <w:sz w:val="20"/>
          <w:szCs w:val="20"/>
          <w:color w:val="auto"/>
        </w:rPr>
        <w:tab/>
      </w:r>
      <w:r>
        <w:rPr>
          <w:rFonts w:ascii="Times New Roman" w:cs="Times New Roman" w:eastAsia="Times New Roman" w:hAnsi="Times New Roman"/>
          <w:sz w:val="17"/>
          <w:szCs w:val="17"/>
          <w:color w:val="auto"/>
        </w:rPr>
        <w:t>24.1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681355</wp:posOffset>
            </wp:positionH>
            <wp:positionV relativeFrom="paragraph">
              <wp:posOffset>-7620</wp:posOffset>
            </wp:positionV>
            <wp:extent cx="290703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803">
                      <a:extLst>
                        <a:ext uri="{28A0092B-C50C-407E-A947-70E740481C1C}"/>
                      </a:extLst>
                    </a:blip>
                    <a:srcRect/>
                    <a:stretch>
                      <a:fillRect/>
                    </a:stretch>
                  </pic:blipFill>
                  <pic:spPr bwMode="auto">
                    <a:xfrm>
                      <a:off x="0" y="0"/>
                      <a:ext cx="2907030" cy="8255"/>
                    </a:xfrm>
                    <a:prstGeom prst="rect">
                      <a:avLst/>
                    </a:prstGeom>
                    <a:noFill/>
                  </pic:spPr>
                </pic:pic>
              </a:graphicData>
            </a:graphic>
          </wp:anchor>
        </w:drawing>
      </w:r>
    </w:p>
    <w:p>
      <w:pPr>
        <w:spacing w:after="0" w:line="214" w:lineRule="exact"/>
        <w:rPr>
          <w:rFonts w:ascii="Times New Roman" w:cs="Times New Roman" w:eastAsia="Times New Roman" w:hAnsi="Times New Roman"/>
          <w:sz w:val="18"/>
          <w:szCs w:val="18"/>
          <w:u w:val="single" w:color="auto"/>
          <w:color w:val="0000FF"/>
        </w:rPr>
      </w:pPr>
    </w:p>
    <w:p>
      <w:pPr>
        <w:ind w:left="1080" w:hanging="70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13a-14(a) Certifications</w:t>
      </w:r>
    </w:p>
    <w:p>
      <w:pPr>
        <w:spacing w:after="0" w:line="229" w:lineRule="exact"/>
        <w:rPr>
          <w:rFonts w:ascii="Times New Roman" w:cs="Times New Roman" w:eastAsia="Times New Roman" w:hAnsi="Times New Roman"/>
          <w:sz w:val="18"/>
          <w:szCs w:val="18"/>
          <w:u w:val="single" w:color="auto"/>
          <w:color w:val="0000FF"/>
        </w:rPr>
      </w:pPr>
    </w:p>
    <w:tbl>
      <w:tblPr>
        <w:tblLayout w:type="fixed"/>
        <w:tblInd w:w="36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Certificate of Chief Executive Officer pursuant to Rule 13a-14(a) under the Securities Exchange Act of 1934.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42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8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Certificate of Chief Financial Officer pursuant to Rule 13a-14(a) under the Securities Exchange Act of 1934.</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bl>
    <w:p>
      <w:pPr>
        <w:spacing w:after="0" w:line="234" w:lineRule="exact"/>
        <w:rPr>
          <w:rFonts w:ascii="Times New Roman" w:cs="Times New Roman" w:eastAsia="Times New Roman" w:hAnsi="Times New Roman"/>
          <w:sz w:val="18"/>
          <w:szCs w:val="18"/>
          <w:u w:val="single" w:color="auto"/>
          <w:color w:val="0000FF"/>
        </w:rPr>
      </w:pPr>
    </w:p>
    <w:p>
      <w:pPr>
        <w:ind w:left="1080" w:hanging="70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229" w:lineRule="exact"/>
        <w:rPr>
          <w:rFonts w:ascii="Times New Roman" w:cs="Times New Roman" w:eastAsia="Times New Roman" w:hAnsi="Times New Roman"/>
          <w:sz w:val="18"/>
          <w:szCs w:val="18"/>
          <w:u w:val="single" w:color="auto"/>
          <w:color w:val="0000FF"/>
        </w:rPr>
      </w:pPr>
    </w:p>
    <w:tbl>
      <w:tblPr>
        <w:tblLayout w:type="fixed"/>
        <w:tblInd w:w="36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91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Certificate of Chief Executive Officer and Chief Financial Officer pursuant to Rule 13a-14(b) under the Securities Exchange</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196"/>
        </w:trPr>
        <w:tc>
          <w:tcPr>
            <w:tcW w:w="720" w:type="dxa"/>
            <w:vAlign w:val="bottom"/>
          </w:tcPr>
          <w:p>
            <w:pPr>
              <w:spacing w:after="0"/>
              <w:rPr>
                <w:sz w:val="17"/>
                <w:szCs w:val="17"/>
                <w:color w:val="auto"/>
              </w:rPr>
            </w:pPr>
          </w:p>
        </w:tc>
        <w:tc>
          <w:tcPr>
            <w:tcW w:w="90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7"/>
              </w:rPr>
              <w:t>Act of 1934.</w:t>
            </w:r>
          </w:p>
        </w:tc>
        <w:tc>
          <w:tcPr>
            <w:tcW w:w="20" w:type="dxa"/>
            <w:vAlign w:val="bottom"/>
            <w:tcBorders>
              <w:bottom w:val="single" w:sz="8" w:color="0000EE"/>
            </w:tcBorders>
          </w:tcPr>
          <w:p>
            <w:pPr>
              <w:spacing w:after="0"/>
              <w:rPr>
                <w:sz w:val="17"/>
                <w:szCs w:val="17"/>
                <w:color w:val="auto"/>
              </w:rPr>
            </w:pPr>
          </w:p>
        </w:tc>
        <w:tc>
          <w:tcPr>
            <w:tcW w:w="84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r>
    </w:tbl>
    <w:p>
      <w:pPr>
        <w:spacing w:after="0" w:line="234" w:lineRule="exact"/>
        <w:rPr>
          <w:rFonts w:ascii="Times New Roman" w:cs="Times New Roman" w:eastAsia="Times New Roman" w:hAnsi="Times New Roman"/>
          <w:sz w:val="18"/>
          <w:szCs w:val="18"/>
          <w:u w:val="single" w:color="auto"/>
          <w:color w:val="0000FF"/>
        </w:rPr>
      </w:pPr>
    </w:p>
    <w:p>
      <w:pPr>
        <w:ind w:left="1080" w:hanging="70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Policy Relating to Recovery of Erroneously Awarded Compensation</w:t>
      </w:r>
    </w:p>
    <w:p>
      <w:pPr>
        <w:spacing w:after="0" w:line="255" w:lineRule="exact"/>
        <w:rPr>
          <w:rFonts w:ascii="Times New Roman" w:cs="Times New Roman" w:eastAsia="Times New Roman" w:hAnsi="Times New Roman"/>
          <w:sz w:val="18"/>
          <w:szCs w:val="18"/>
          <w:u w:val="single" w:color="auto"/>
          <w:color w:val="0000FF"/>
        </w:rPr>
      </w:pPr>
    </w:p>
    <w:p>
      <w:pPr>
        <w:ind w:left="360"/>
        <w:spacing w:after="0"/>
        <w:tabs>
          <w:tab w:leader="none" w:pos="1060" w:val="left"/>
          <w:tab w:leader="none" w:pos="10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The Goodyear Tire &amp; Rubber Company Compensation Recovery Policy.</w:t>
      </w:r>
      <w:r>
        <w:rPr>
          <w:sz w:val="20"/>
          <w:szCs w:val="20"/>
          <w:color w:val="auto"/>
        </w:rPr>
        <w:tab/>
      </w:r>
      <w:r>
        <w:rPr>
          <w:rFonts w:ascii="Times New Roman" w:cs="Times New Roman" w:eastAsia="Times New Roman" w:hAnsi="Times New Roman"/>
          <w:sz w:val="17"/>
          <w:szCs w:val="17"/>
          <w:color w:val="auto"/>
        </w:rPr>
        <w:t>97.1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681355</wp:posOffset>
            </wp:positionH>
            <wp:positionV relativeFrom="paragraph">
              <wp:posOffset>-7620</wp:posOffset>
            </wp:positionV>
            <wp:extent cx="331914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04">
                      <a:extLst>
                        <a:ext uri="{28A0092B-C50C-407E-A947-70E740481C1C}"/>
                      </a:extLst>
                    </a:blip>
                    <a:srcRect/>
                    <a:stretch>
                      <a:fillRect/>
                    </a:stretch>
                  </pic:blipFill>
                  <pic:spPr bwMode="auto">
                    <a:xfrm>
                      <a:off x="0" y="0"/>
                      <a:ext cx="3319145"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u w:val="single" w:color="auto"/>
          <w:color w:val="0000FF"/>
        </w:rPr>
      </w:pPr>
    </w:p>
    <w:p>
      <w:pPr>
        <w:spacing w:after="0" w:line="369" w:lineRule="exact"/>
        <w:rPr>
          <w:rFonts w:ascii="Times New Roman" w:cs="Times New Roman" w:eastAsia="Times New Roman" w:hAnsi="Times New Roman"/>
          <w:sz w:val="18"/>
          <w:szCs w:val="18"/>
          <w:u w:val="single" w:color="auto"/>
          <w:color w:val="0000FF"/>
        </w:rPr>
      </w:pPr>
    </w:p>
    <w:p>
      <w:pPr>
        <w:jc w:val="center"/>
        <w:ind w:right="-299"/>
        <w:spacing w:after="0"/>
        <w:rPr>
          <w:sz w:val="20"/>
          <w:szCs w:val="20"/>
          <w:color w:val="auto"/>
        </w:rPr>
      </w:pPr>
      <w:r>
        <w:rPr>
          <w:rFonts w:ascii="Times New Roman" w:cs="Times New Roman" w:eastAsia="Times New Roman" w:hAnsi="Times New Roman"/>
          <w:sz w:val="18"/>
          <w:szCs w:val="18"/>
          <w:color w:val="auto"/>
        </w:rPr>
        <w:t>X-5</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764" w:right="6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0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59"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101</w:t>
            </w:r>
          </w:p>
        </w:tc>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Interactive Data Files</w:t>
            </w:r>
          </w:p>
        </w:tc>
        <w:tc>
          <w:tcPr>
            <w:tcW w:w="800" w:type="dxa"/>
            <w:vAlign w:val="bottom"/>
          </w:tcPr>
          <w:p>
            <w:pPr>
              <w:spacing w:after="0"/>
              <w:rPr>
                <w:sz w:val="20"/>
                <w:szCs w:val="20"/>
                <w:color w:val="auto"/>
              </w:rPr>
            </w:pPr>
          </w:p>
        </w:tc>
      </w:tr>
      <w:tr>
        <w:trPr>
          <w:trHeight w:val="427"/>
        </w:trPr>
        <w:tc>
          <w:tcPr>
            <w:tcW w:w="500" w:type="dxa"/>
            <w:vAlign w:val="bottom"/>
          </w:tcPr>
          <w:p>
            <w:pPr>
              <w:spacing w:after="0"/>
              <w:rPr>
                <w:sz w:val="24"/>
                <w:szCs w:val="24"/>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101.INS</w:t>
            </w:r>
          </w:p>
        </w:tc>
      </w:tr>
      <w:tr>
        <w:trPr>
          <w:trHeight w:val="234"/>
        </w:trPr>
        <w:tc>
          <w:tcPr>
            <w:tcW w:w="500" w:type="dxa"/>
            <w:vAlign w:val="bottom"/>
          </w:tcPr>
          <w:p>
            <w:pPr>
              <w:spacing w:after="0"/>
              <w:rPr>
                <w:sz w:val="20"/>
                <w:szCs w:val="20"/>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800" w:type="dxa"/>
            <w:vAlign w:val="bottom"/>
          </w:tcPr>
          <w:p>
            <w:pPr>
              <w:spacing w:after="0"/>
              <w:rPr>
                <w:sz w:val="20"/>
                <w:szCs w:val="20"/>
                <w:color w:val="auto"/>
              </w:rPr>
            </w:pPr>
          </w:p>
        </w:tc>
      </w:tr>
      <w:tr>
        <w:trPr>
          <w:trHeight w:val="445"/>
        </w:trPr>
        <w:tc>
          <w:tcPr>
            <w:tcW w:w="500" w:type="dxa"/>
            <w:vAlign w:val="bottom"/>
          </w:tcPr>
          <w:p>
            <w:pPr>
              <w:spacing w:after="0"/>
              <w:rPr>
                <w:sz w:val="24"/>
                <w:szCs w:val="24"/>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101.SCH</w:t>
            </w:r>
          </w:p>
        </w:tc>
      </w:tr>
    </w:tbl>
    <w:p>
      <w:pPr>
        <w:spacing w:after="0" w:line="207" w:lineRule="exact"/>
        <w:rPr>
          <w:sz w:val="20"/>
          <w:szCs w:val="20"/>
          <w:color w:val="auto"/>
        </w:rPr>
      </w:pPr>
    </w:p>
    <w:p>
      <w:pPr>
        <w:ind w:left="1080" w:hanging="749"/>
        <w:spacing w:after="0"/>
        <w:tabs>
          <w:tab w:leader="none" w:pos="10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w:t>
      </w:r>
    </w:p>
    <w:p>
      <w:pPr>
        <w:spacing w:after="0" w:line="241" w:lineRule="exact"/>
        <w:rPr>
          <w:rFonts w:ascii="Times New Roman" w:cs="Times New Roman" w:eastAsia="Times New Roman" w:hAnsi="Times New Roman"/>
          <w:sz w:val="18"/>
          <w:szCs w:val="18"/>
          <w:color w:val="auto"/>
        </w:rPr>
      </w:pPr>
    </w:p>
    <w:p>
      <w:pPr>
        <w:ind w:left="1080" w:right="10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year ended December 31, 2023, formatted in Inline XBRL (included as Exhibit 101).</w:t>
      </w:r>
    </w:p>
    <w:p>
      <w:pPr>
        <w:spacing w:after="0" w:line="9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16" w:lineRule="exact"/>
        <w:rPr>
          <w:rFonts w:ascii="Times New Roman" w:cs="Times New Roman" w:eastAsia="Times New Roman" w:hAnsi="Times New Roman"/>
          <w:sz w:val="18"/>
          <w:szCs w:val="18"/>
          <w:color w:val="auto"/>
        </w:rPr>
      </w:pPr>
    </w:p>
    <w:p>
      <w:pPr>
        <w:ind w:firstLine="8"/>
        <w:spacing w:after="0" w:line="281" w:lineRule="auto"/>
        <w:tabs>
          <w:tab w:leader="none" w:pos="23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601(a)(5) of Regulation S-K, certain schedules and similar attachments have been omitted. The registrant hereby agrees to furnish a copy of any omitted schedule or similar attachment to the SEC upon request.</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4706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0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5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7"/>
          <w:szCs w:val="17"/>
          <w:color w:val="auto"/>
        </w:rPr>
        <w:t>THE GOODYEAR TIRE &amp; RUBBER COMPANY</w:t>
      </w:r>
    </w:p>
    <w:p>
      <w:pPr>
        <w:spacing w:after="0" w:line="3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680" w:val="left"/>
          <w:tab w:leader="none" w:pos="82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13, 2024</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34290</wp:posOffset>
            </wp:positionV>
            <wp:extent cx="277431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09">
                      <a:extLst>
                        <a:ext uri="{28A0092B-C50C-407E-A947-70E740481C1C}"/>
                      </a:extLst>
                    </a:blip>
                    <a:srcRect/>
                    <a:stretch>
                      <a:fillRect/>
                    </a:stretch>
                  </pic:blipFill>
                  <pic:spPr bwMode="auto">
                    <a:xfrm>
                      <a:off x="0" y="0"/>
                      <a:ext cx="2774315" cy="8255"/>
                    </a:xfrm>
                    <a:prstGeom prst="rect">
                      <a:avLst/>
                    </a:prstGeom>
                    <a:noFill/>
                  </pic:spPr>
                </pic:pic>
              </a:graphicData>
            </a:graphic>
          </wp:anchor>
        </w:drawing>
      </w:r>
    </w:p>
    <w:p>
      <w:pPr>
        <w:spacing w:after="0" w:line="52"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color w:val="auto"/>
        </w:rPr>
        <w:t>Mark W. Stewart,</w:t>
      </w:r>
    </w:p>
    <w:p>
      <w:pPr>
        <w:spacing w:after="0" w:line="3"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color w:val="auto"/>
        </w:rPr>
        <w:t>Chief Executive Officer and President</w:t>
      </w:r>
    </w:p>
    <w:p>
      <w:pPr>
        <w:spacing w:after="0" w:line="12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and on the dates indicated.</w:t>
      </w:r>
    </w:p>
    <w:p>
      <w:pPr>
        <w:sectPr>
          <w:pgSz w:w="11900" w:h="16838" w:orient="portrait"/>
          <w:cols w:equalWidth="0" w:num="1">
            <w:col w:w="11240"/>
          </w:cols>
          <w:pgMar w:left="320" w:top="764" w:right="339" w:bottom="1440" w:gutter="0" w:footer="0" w:header="0"/>
        </w:sectPr>
      </w:pPr>
    </w:p>
    <w:p>
      <w:pPr>
        <w:spacing w:after="0" w:line="82"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February 13, 2024</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February 13, 2024</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February 13,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February 13,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NORMA B. CLAYTON, </w:t>
      </w:r>
      <w:r>
        <w:rPr>
          <w:rFonts w:ascii="Times New Roman" w:cs="Times New Roman" w:eastAsia="Times New Roman" w:hAnsi="Times New Roman"/>
          <w:sz w:val="14"/>
          <w:szCs w:val="14"/>
          <w:i w:val="1"/>
          <w:iCs w:val="1"/>
          <w:color w:val="auto"/>
        </w:rPr>
        <w:t>Director</w:t>
      </w:r>
    </w:p>
    <w:p>
      <w:pPr>
        <w:spacing w:after="0" w:line="229" w:lineRule="auto"/>
        <w:rPr>
          <w:sz w:val="20"/>
          <w:szCs w:val="20"/>
          <w:color w:val="auto"/>
        </w:rPr>
      </w:pPr>
      <w:r>
        <w:rPr>
          <w:rFonts w:ascii="Times New Roman" w:cs="Times New Roman" w:eastAsia="Times New Roman" w:hAnsi="Times New Roman"/>
          <w:sz w:val="14"/>
          <w:szCs w:val="14"/>
          <w:color w:val="auto"/>
        </w:rPr>
        <w:t xml:space="preserve">JAMES A. FIRESTONE, </w:t>
      </w:r>
      <w:r>
        <w:rPr>
          <w:rFonts w:ascii="Times New Roman" w:cs="Times New Roman" w:eastAsia="Times New Roman" w:hAnsi="Times New Roman"/>
          <w:sz w:val="14"/>
          <w:szCs w:val="14"/>
          <w:i w:val="1"/>
          <w:iCs w:val="1"/>
          <w:color w:val="auto"/>
        </w:rPr>
        <w:t>Director</w:t>
      </w:r>
    </w:p>
    <w:p>
      <w:pPr>
        <w:spacing w:after="0" w:line="221" w:lineRule="auto"/>
        <w:rPr>
          <w:sz w:val="20"/>
          <w:szCs w:val="20"/>
          <w:color w:val="auto"/>
        </w:rPr>
      </w:pPr>
      <w:r>
        <w:rPr>
          <w:rFonts w:ascii="Times New Roman" w:cs="Times New Roman" w:eastAsia="Times New Roman" w:hAnsi="Times New Roman"/>
          <w:sz w:val="14"/>
          <w:szCs w:val="14"/>
          <w:color w:val="auto"/>
        </w:rPr>
        <w:t xml:space="preserve">WERNER GEISSLER, </w:t>
      </w:r>
      <w:r>
        <w:rPr>
          <w:rFonts w:ascii="Times New Roman" w:cs="Times New Roman" w:eastAsia="Times New Roman" w:hAnsi="Times New Roman"/>
          <w:sz w:val="14"/>
          <w:szCs w:val="14"/>
          <w:i w:val="1"/>
          <w:iCs w:val="1"/>
          <w:color w:val="auto"/>
        </w:rPr>
        <w:t>Director</w:t>
      </w:r>
    </w:p>
    <w:p>
      <w:pPr>
        <w:spacing w:after="0" w:line="221" w:lineRule="auto"/>
        <w:rPr>
          <w:sz w:val="20"/>
          <w:szCs w:val="20"/>
          <w:color w:val="auto"/>
        </w:rPr>
      </w:pPr>
      <w:r>
        <w:rPr>
          <w:rFonts w:ascii="Times New Roman" w:cs="Times New Roman" w:eastAsia="Times New Roman" w:hAnsi="Times New Roman"/>
          <w:sz w:val="14"/>
          <w:szCs w:val="14"/>
          <w:color w:val="auto"/>
        </w:rPr>
        <w:t xml:space="preserve">JOSEPH R. HINRICHS, </w:t>
      </w:r>
      <w:r>
        <w:rPr>
          <w:rFonts w:ascii="Times New Roman" w:cs="Times New Roman" w:eastAsia="Times New Roman" w:hAnsi="Times New Roman"/>
          <w:sz w:val="14"/>
          <w:szCs w:val="14"/>
          <w:i w:val="1"/>
          <w:iCs w:val="1"/>
          <w:color w:val="auto"/>
        </w:rPr>
        <w:t>Director</w:t>
      </w:r>
    </w:p>
    <w:p>
      <w:pPr>
        <w:spacing w:after="0" w:line="221" w:lineRule="auto"/>
        <w:rPr>
          <w:sz w:val="20"/>
          <w:szCs w:val="20"/>
          <w:color w:val="auto"/>
        </w:rPr>
      </w:pPr>
      <w:r>
        <w:rPr>
          <w:rFonts w:ascii="Times New Roman" w:cs="Times New Roman" w:eastAsia="Times New Roman" w:hAnsi="Times New Roman"/>
          <w:sz w:val="14"/>
          <w:szCs w:val="14"/>
          <w:color w:val="auto"/>
        </w:rPr>
        <w:t xml:space="preserve">LAURETTE T. KOELLNER, </w:t>
      </w:r>
      <w:r>
        <w:rPr>
          <w:rFonts w:ascii="Times New Roman" w:cs="Times New Roman" w:eastAsia="Times New Roman" w:hAnsi="Times New Roman"/>
          <w:sz w:val="14"/>
          <w:szCs w:val="14"/>
          <w:i w:val="1"/>
          <w:iCs w:val="1"/>
          <w:color w:val="auto"/>
        </w:rPr>
        <w:t>Director</w:t>
      </w:r>
    </w:p>
    <w:p>
      <w:pPr>
        <w:spacing w:after="0" w:line="221" w:lineRule="auto"/>
        <w:rPr>
          <w:sz w:val="20"/>
          <w:szCs w:val="20"/>
          <w:color w:val="auto"/>
        </w:rPr>
      </w:pPr>
      <w:r>
        <w:rPr>
          <w:rFonts w:ascii="Times New Roman" w:cs="Times New Roman" w:eastAsia="Times New Roman" w:hAnsi="Times New Roman"/>
          <w:sz w:val="14"/>
          <w:szCs w:val="14"/>
          <w:color w:val="auto"/>
        </w:rPr>
        <w:t xml:space="preserve">KARLA R. LEWIS, </w:t>
      </w:r>
      <w:r>
        <w:rPr>
          <w:rFonts w:ascii="Times New Roman" w:cs="Times New Roman" w:eastAsia="Times New Roman" w:hAnsi="Times New Roman"/>
          <w:sz w:val="14"/>
          <w:szCs w:val="14"/>
          <w:i w:val="1"/>
          <w:iCs w:val="1"/>
          <w:color w:val="auto"/>
        </w:rPr>
        <w:t>Director</w:t>
      </w:r>
    </w:p>
    <w:p>
      <w:pPr>
        <w:spacing w:after="0"/>
        <w:rPr>
          <w:sz w:val="20"/>
          <w:szCs w:val="20"/>
          <w:color w:val="auto"/>
        </w:rPr>
      </w:pPr>
      <w:r>
        <w:rPr>
          <w:rFonts w:ascii="Times New Roman" w:cs="Times New Roman" w:eastAsia="Times New Roman" w:hAnsi="Times New Roman"/>
          <w:sz w:val="14"/>
          <w:szCs w:val="14"/>
          <w:color w:val="auto"/>
        </w:rPr>
        <w:t xml:space="preserve">PRASHANTH MAHENDRA-RAJAH, </w:t>
      </w:r>
      <w:r>
        <w:rPr>
          <w:rFonts w:ascii="Times New Roman" w:cs="Times New Roman" w:eastAsia="Times New Roman" w:hAnsi="Times New Roman"/>
          <w:sz w:val="14"/>
          <w:szCs w:val="14"/>
          <w:i w:val="1"/>
          <w:iCs w:val="1"/>
          <w:color w:val="auto"/>
        </w:rPr>
        <w:t>Director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JOHN E. McGLADE, </w:t>
      </w:r>
      <w:r>
        <w:rPr>
          <w:rFonts w:ascii="Times New Roman" w:cs="Times New Roman" w:eastAsia="Times New Roman" w:hAnsi="Times New Roman"/>
          <w:sz w:val="14"/>
          <w:szCs w:val="14"/>
          <w:i w:val="1"/>
          <w:iCs w:val="1"/>
          <w:color w:val="auto"/>
        </w:rPr>
        <w:t>Director</w:t>
      </w:r>
    </w:p>
    <w:p>
      <w:pPr>
        <w:spacing w:after="0" w:line="221" w:lineRule="auto"/>
        <w:rPr>
          <w:sz w:val="20"/>
          <w:szCs w:val="20"/>
          <w:color w:val="auto"/>
        </w:rPr>
      </w:pPr>
      <w:r>
        <w:rPr>
          <w:rFonts w:ascii="Times New Roman" w:cs="Times New Roman" w:eastAsia="Times New Roman" w:hAnsi="Times New Roman"/>
          <w:sz w:val="14"/>
          <w:szCs w:val="14"/>
          <w:color w:val="auto"/>
        </w:rPr>
        <w:t>MAX H. MITCHELL</w:t>
      </w:r>
      <w:r>
        <w:rPr>
          <w:rFonts w:ascii="Times New Roman" w:cs="Times New Roman" w:eastAsia="Times New Roman" w:hAnsi="Times New Roman"/>
          <w:sz w:val="14"/>
          <w:szCs w:val="14"/>
          <w:i w:val="1"/>
          <w:iCs w:val="1"/>
          <w:color w:val="auto"/>
        </w:rPr>
        <w:t>, Director</w:t>
      </w:r>
    </w:p>
    <w:p>
      <w:pPr>
        <w:spacing w:after="0" w:line="221" w:lineRule="auto"/>
        <w:rPr>
          <w:sz w:val="20"/>
          <w:szCs w:val="20"/>
          <w:color w:val="auto"/>
        </w:rPr>
      </w:pPr>
      <w:r>
        <w:rPr>
          <w:rFonts w:ascii="Times New Roman" w:cs="Times New Roman" w:eastAsia="Times New Roman" w:hAnsi="Times New Roman"/>
          <w:sz w:val="14"/>
          <w:szCs w:val="14"/>
          <w:color w:val="auto"/>
        </w:rPr>
        <w:t xml:space="preserve">RODERICK A. PALMORE, </w:t>
      </w:r>
      <w:r>
        <w:rPr>
          <w:rFonts w:ascii="Times New Roman" w:cs="Times New Roman" w:eastAsia="Times New Roman" w:hAnsi="Times New Roman"/>
          <w:sz w:val="14"/>
          <w:szCs w:val="14"/>
          <w:i w:val="1"/>
          <w:iCs w:val="1"/>
          <w:color w:val="auto"/>
        </w:rPr>
        <w:t>Director</w:t>
      </w:r>
    </w:p>
    <w:p>
      <w:pPr>
        <w:spacing w:after="0" w:line="221" w:lineRule="auto"/>
        <w:rPr>
          <w:sz w:val="20"/>
          <w:szCs w:val="20"/>
          <w:color w:val="auto"/>
        </w:rPr>
      </w:pPr>
      <w:r>
        <w:rPr>
          <w:rFonts w:ascii="Times New Roman" w:cs="Times New Roman" w:eastAsia="Times New Roman" w:hAnsi="Times New Roman"/>
          <w:sz w:val="14"/>
          <w:szCs w:val="14"/>
          <w:color w:val="auto"/>
        </w:rPr>
        <w:t xml:space="preserve">HERA SIU, </w:t>
      </w:r>
      <w:r>
        <w:rPr>
          <w:rFonts w:ascii="Times New Roman" w:cs="Times New Roman" w:eastAsia="Times New Roman" w:hAnsi="Times New Roman"/>
          <w:sz w:val="14"/>
          <w:szCs w:val="14"/>
          <w:i w:val="1"/>
          <w:iCs w:val="1"/>
          <w:color w:val="auto"/>
        </w:rPr>
        <w:t>Director</w:t>
      </w:r>
    </w:p>
    <w:p>
      <w:pPr>
        <w:spacing w:after="0" w:line="221" w:lineRule="auto"/>
        <w:rPr>
          <w:sz w:val="20"/>
          <w:szCs w:val="20"/>
          <w:color w:val="auto"/>
        </w:rPr>
      </w:pPr>
      <w:r>
        <w:rPr>
          <w:rFonts w:ascii="Times New Roman" w:cs="Times New Roman" w:eastAsia="Times New Roman" w:hAnsi="Times New Roman"/>
          <w:sz w:val="14"/>
          <w:szCs w:val="14"/>
          <w:color w:val="auto"/>
        </w:rPr>
        <w:t xml:space="preserve">MICHAEL R. WESSEL, </w:t>
      </w:r>
      <w:r>
        <w:rPr>
          <w:rFonts w:ascii="Times New Roman" w:cs="Times New Roman" w:eastAsia="Times New Roman" w:hAnsi="Times New Roman"/>
          <w:sz w:val="14"/>
          <w:szCs w:val="14"/>
          <w:i w:val="1"/>
          <w:iCs w:val="1"/>
          <w:color w:val="auto"/>
        </w:rPr>
        <w:t>Director</w:t>
      </w:r>
    </w:p>
    <w:p>
      <w:pPr>
        <w:spacing w:after="0" w:line="221" w:lineRule="auto"/>
        <w:rPr>
          <w:sz w:val="20"/>
          <w:szCs w:val="20"/>
          <w:color w:val="auto"/>
        </w:rPr>
      </w:pPr>
      <w:r>
        <w:rPr>
          <w:rFonts w:ascii="Times New Roman" w:cs="Times New Roman" w:eastAsia="Times New Roman" w:hAnsi="Times New Roman"/>
          <w:sz w:val="14"/>
          <w:szCs w:val="14"/>
          <w:color w:val="auto"/>
        </w:rPr>
        <w:t xml:space="preserve">THOMAS L. WILLIAMS, </w:t>
      </w:r>
      <w:r>
        <w:rPr>
          <w:rFonts w:ascii="Times New Roman" w:cs="Times New Roman" w:eastAsia="Times New Roman" w:hAnsi="Times New Roman"/>
          <w:sz w:val="14"/>
          <w:szCs w:val="14"/>
          <w:i w:val="1"/>
          <w:iCs w:val="1"/>
          <w:color w:val="auto"/>
        </w:rPr>
        <w:t>Director</w:t>
      </w:r>
    </w:p>
    <w:p>
      <w:pPr>
        <w:spacing w:after="0"/>
        <w:rPr>
          <w:sz w:val="20"/>
          <w:szCs w:val="20"/>
          <w:color w:val="auto"/>
        </w:rPr>
      </w:pPr>
      <w:r>
        <w:rPr>
          <w:rFonts w:ascii="Times New Roman" w:cs="Times New Roman" w:eastAsia="Times New Roman" w:hAnsi="Times New Roman"/>
          <w:sz w:val="14"/>
          <w:szCs w:val="14"/>
          <w:color w:val="auto"/>
        </w:rPr>
        <w:t>ROGER J. WOOD</w:t>
      </w:r>
      <w:r>
        <w:rPr>
          <w:rFonts w:ascii="Times New Roman" w:cs="Times New Roman" w:eastAsia="Times New Roman" w:hAnsi="Times New Roman"/>
          <w:sz w:val="14"/>
          <w:szCs w:val="14"/>
          <w:i w:val="1"/>
          <w:iCs w:val="1"/>
          <w:color w:val="auto"/>
        </w:rPr>
        <w:t>, Director</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26035</wp:posOffset>
            </wp:positionV>
            <wp:extent cx="277431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10">
                      <a:extLst>
                        <a:ext uri="{28A0092B-C50C-407E-A947-70E740481C1C}"/>
                      </a:extLst>
                    </a:blip>
                    <a:srcRect/>
                    <a:stretch>
                      <a:fillRect/>
                    </a:stretch>
                  </pic:blipFill>
                  <pic:spPr bwMode="auto">
                    <a:xfrm>
                      <a:off x="0" y="0"/>
                      <a:ext cx="2774315" cy="8255"/>
                    </a:xfrm>
                    <a:prstGeom prst="rect">
                      <a:avLst/>
                    </a:prstGeom>
                    <a:noFill/>
                  </pic:spPr>
                </pic:pic>
              </a:graphicData>
            </a:graphic>
          </wp:anchor>
        </w:drawing>
      </w:r>
    </w:p>
    <w:p>
      <w:pPr>
        <w:spacing w:after="0" w:line="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Mark W. Stewart,</w:t>
      </w:r>
    </w:p>
    <w:p>
      <w:pPr>
        <w:jc w:val="center"/>
        <w:ind w:right="740"/>
        <w:spacing w:after="0" w:line="226" w:lineRule="auto"/>
        <w:rPr>
          <w:sz w:val="20"/>
          <w:szCs w:val="20"/>
          <w:color w:val="auto"/>
        </w:rPr>
      </w:pPr>
      <w:r>
        <w:rPr>
          <w:rFonts w:ascii="Times New Roman" w:cs="Times New Roman" w:eastAsia="Times New Roman" w:hAnsi="Times New Roman"/>
          <w:sz w:val="14"/>
          <w:szCs w:val="14"/>
          <w:color w:val="auto"/>
        </w:rPr>
        <w:t>Chief Executive Officer, President and Director</w:t>
      </w:r>
    </w:p>
    <w:p>
      <w:pPr>
        <w:jc w:val="center"/>
        <w:ind w:right="74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26035</wp:posOffset>
            </wp:positionV>
            <wp:extent cx="277431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11">
                      <a:extLst>
                        <a:ext uri="{28A0092B-C50C-407E-A947-70E740481C1C}"/>
                      </a:extLst>
                    </a:blip>
                    <a:srcRect/>
                    <a:stretch>
                      <a:fillRect/>
                    </a:stretch>
                  </pic:blipFill>
                  <pic:spPr bwMode="auto">
                    <a:xfrm>
                      <a:off x="0" y="0"/>
                      <a:ext cx="2774315" cy="8255"/>
                    </a:xfrm>
                    <a:prstGeom prst="rect">
                      <a:avLst/>
                    </a:prstGeom>
                    <a:noFill/>
                  </pic:spPr>
                </pic:pic>
              </a:graphicData>
            </a:graphic>
          </wp:anchor>
        </w:drawing>
      </w: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Christina L. Zamarro, Executive Vice President</w:t>
      </w:r>
    </w:p>
    <w:p>
      <w:pPr>
        <w:ind w:left="660"/>
        <w:spacing w:after="0" w:line="226" w:lineRule="auto"/>
        <w:rPr>
          <w:sz w:val="20"/>
          <w:szCs w:val="20"/>
          <w:color w:val="auto"/>
        </w:rPr>
      </w:pPr>
      <w:r>
        <w:rPr>
          <w:rFonts w:ascii="Times New Roman" w:cs="Times New Roman" w:eastAsia="Times New Roman" w:hAnsi="Times New Roman"/>
          <w:sz w:val="14"/>
          <w:szCs w:val="14"/>
          <w:color w:val="auto"/>
        </w:rPr>
        <w:t>and Chief Financial Officer</w:t>
      </w:r>
    </w:p>
    <w:p>
      <w:pPr>
        <w:ind w:left="64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ARGARET</w:t>
      </w:r>
      <w:r>
        <w:rPr>
          <w:rFonts w:ascii="Times New Roman" w:cs="Times New Roman" w:eastAsia="Times New Roman" w:hAnsi="Times New Roman"/>
          <w:sz w:val="18"/>
          <w:szCs w:val="18"/>
          <w:color w:val="auto"/>
        </w:rPr>
        <w:t xml:space="preserve"> V. S</w:t>
      </w:r>
      <w:r>
        <w:rPr>
          <w:rFonts w:ascii="Times New Roman" w:cs="Times New Roman" w:eastAsia="Times New Roman" w:hAnsi="Times New Roman"/>
          <w:sz w:val="14"/>
          <w:szCs w:val="14"/>
          <w:color w:val="auto"/>
        </w:rPr>
        <w:t>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26035</wp:posOffset>
            </wp:positionV>
            <wp:extent cx="277431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12">
                      <a:extLst>
                        <a:ext uri="{28A0092B-C50C-407E-A947-70E740481C1C}"/>
                      </a:extLst>
                    </a:blip>
                    <a:srcRect/>
                    <a:stretch>
                      <a:fillRect/>
                    </a:stretch>
                  </pic:blipFill>
                  <pic:spPr bwMode="auto">
                    <a:xfrm>
                      <a:off x="0" y="0"/>
                      <a:ext cx="2774315" cy="825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Margaret V. Snyder, Vice President and Controller</w:t>
      </w:r>
    </w:p>
    <w:p>
      <w:pPr>
        <w:spacing w:after="0" w:line="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T. Y</w:t>
      </w:r>
      <w:r>
        <w:rPr>
          <w:rFonts w:ascii="Times New Roman" w:cs="Times New Roman" w:eastAsia="Times New Roman" w:hAnsi="Times New Roman"/>
          <w:sz w:val="14"/>
          <w:szCs w:val="14"/>
          <w:color w:val="auto"/>
        </w:rPr>
        <w:t>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26035</wp:posOffset>
            </wp:positionV>
            <wp:extent cx="277431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13">
                      <a:extLst>
                        <a:ext uri="{28A0092B-C50C-407E-A947-70E740481C1C}"/>
                      </a:extLst>
                    </a:blip>
                    <a:srcRect/>
                    <a:stretch>
                      <a:fillRect/>
                    </a:stretch>
                  </pic:blipFill>
                  <pic:spPr bwMode="auto">
                    <a:xfrm>
                      <a:off x="0" y="0"/>
                      <a:ext cx="2774315" cy="8255"/>
                    </a:xfrm>
                    <a:prstGeom prst="rect">
                      <a:avLst/>
                    </a:prstGeom>
                    <a:noFill/>
                  </pic:spPr>
                </pic:pic>
              </a:graphicData>
            </a:graphic>
          </wp:anchor>
        </w:drawing>
      </w:r>
    </w:p>
    <w:p>
      <w:pPr>
        <w:spacing w:after="0" w:line="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Daniel T. Young, Signing as</w:t>
      </w:r>
    </w:p>
    <w:p>
      <w:pPr>
        <w:spacing w:after="0" w:line="18"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4"/>
          <w:szCs w:val="14"/>
          <w:color w:val="auto"/>
        </w:rPr>
        <w:t>Attorney-in-Fact for the Directors</w:t>
      </w:r>
    </w:p>
    <w:p>
      <w:pPr>
        <w:jc w:val="center"/>
        <w:ind w:right="740"/>
        <w:spacing w:after="0"/>
        <w:rPr>
          <w:sz w:val="20"/>
          <w:szCs w:val="20"/>
          <w:color w:val="auto"/>
        </w:rPr>
      </w:pPr>
      <w:r>
        <w:rPr>
          <w:rFonts w:ascii="Times New Roman" w:cs="Times New Roman" w:eastAsia="Times New Roman" w:hAnsi="Times New Roman"/>
          <w:sz w:val="14"/>
          <w:szCs w:val="14"/>
          <w:color w:val="auto"/>
        </w:rPr>
        <w:t>whose names appear opposite.</w:t>
      </w:r>
    </w:p>
    <w:p>
      <w:pPr>
        <w:spacing w:after="0" w:line="725" w:lineRule="exact"/>
        <w:rPr>
          <w:sz w:val="20"/>
          <w:szCs w:val="20"/>
          <w:color w:val="auto"/>
        </w:rPr>
      </w:pPr>
    </w:p>
    <w:p>
      <w:pPr>
        <w:sectPr>
          <w:pgSz w:w="11900" w:h="16838" w:orient="portrait"/>
          <w:cols w:equalWidth="0" w:num="3">
            <w:col w:w="2460" w:space="720"/>
            <w:col w:w="3700" w:space="720"/>
            <w:col w:w="3640"/>
          </w:cols>
          <w:pgMar w:left="320" w:top="764" w:right="339" w:bottom="1440" w:gutter="0" w:footer="0" w:header="0"/>
          <w:type w:val="continuous"/>
        </w:sect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common stock, without par value, of The Goodyear Tire &amp; Rubber Company is the only class of our securities registered under Section 12 of the Securities Exchange Act of 1934. The following summary of our common stock is based on and qualified by our Amended Articles of Incorporation, as amended (the “Amended Articles of Incorporation”), our Code of Regulations, as amended (the “Code of Regulations”), and applicable provisions of Ohio law. This summary is not complete. For a complete description of the terms and provisions of our common stock, refer to the Amended Articles of Incorporation and Code of Regulations, both of which are filed as exhibits to our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Each share of our common stock is entitled to one vote per share on each matter voted upon by shareholders, subject to the rights of the holders of shares of preferred stock, if any, that may be outstanding. No shares of preferred stock are currently outstanding.</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Except as may otherwise be required by the Amended Articles of Incorporation, Code of Regulations or Ohio law in respect of certain matters, the affirmative vote of at least a majority of the shares of common stock outstanding on the record date is required for any proposal to be adopted.</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voting for the election of directors, each share is entitled to one vote for each director to be elected. In an uncontested election, all candidates for directorships to be filled must receive more votes “for” their election than “against” their election in order to be elected. If the election is contested, the candidates for directorships to be filled receiving the most votes shall be elected, up to the number of directors to be elected. An election shall be considered contested if there are more nominees for election than director positions to be filled in that election.</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Under Ohio law, an incumbent director who is not re-elected will continue in office as a “holdover” director until his or her successor is elected by a subsequent shareholder vote, or his or her earlier resignation, removal from office or death. In order to address “holdover” terms for any incumbent directors who fail to be re-elected under our majority vote standard, our corporate governance guidelines provide that if a director nominee does not receive a majority affirmative vote, he or she will promptly offer his or her resignation as a director to the board of directors.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holders of shares of our common stock are entitled to receive dividends and other distributions if, as and when declared by our board of directors out of funds legally available for that purpose. These rights are subject to any preferential rights and any sinking fund, redemption or repurchase rights of any outstanding shares of preferred stock. We are not permitted to pay dividends to holders of our common stock if we have not paid or provided for the dividends, if any, fixed with respect to any outstanding shares of preferred stock.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for Calls and Assessments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shares of our common stock are fully paid and non-assessable.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Rights</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Holders of shares of our common stock do not have preemptive rights as to additional issuances of shares of our common stock or of securities convertible into, or entitling the holder to purchase, shares of our common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we were voluntarily or involuntarily liquidated, dissolved or wound up, the holders of our outstanding shares of common stock would be entitled to share in the distribution of all assets remaining after payment of all of our liabilities and after satisfaction of prior distribution rights and payment of any distributions owing to holders of any outstanding shares of preferred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Holders of shares of our common stock have no conversion, redemption or call rights related to their shares. We may, pursuant to action authorized by our board of directors, offer to repurchase or otherwise reacquire shares of our common stock, but we may not redeem issued and outstanding shares.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Certain Provisions of Ohio Law and the Amended Articles of Incorporation and Code of Regulations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There are statutory provisions of Ohio law and provisions in the Amended Articles of Incorporation and Code of Regulations that may have the effect of deterring hostile takeovers or delaying or preventing changes in control or changes in management with respect to us, including transactions in which our shareholders might otherwise receive a premium over the then current market prices for their shares.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Amended Articles of Incorporation and Code of Regulations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Amended Articles of Incorporation and Code of Regulations contain various provisions that may have the effect, either alone or in combination with each other, of making more difficult or discouraging a business combination or an attempt to obtain control of us that is not approved by the board of directors. These provisions include:</w:t>
      </w:r>
    </w:p>
    <w:p>
      <w:pPr>
        <w:spacing w:after="0" w:line="69" w:lineRule="exact"/>
        <w:rPr>
          <w:sz w:val="20"/>
          <w:szCs w:val="20"/>
          <w:color w:val="auto"/>
        </w:rPr>
      </w:pPr>
    </w:p>
    <w:p>
      <w:pPr>
        <w:ind w:left="1020" w:hanging="504"/>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issue authorized and unissued shares of common stock without shareholder approval; and</w:t>
      </w:r>
    </w:p>
    <w:p>
      <w:pPr>
        <w:spacing w:after="0" w:line="116"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issue shares of preferred stock in one or more series and to designate the number of shares of those series and certain terms, rights and preferences of those series, including redemption terms and prices and conversion rights, without shareholder approval.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Ohio Law Provisions</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Various laws may affect the legal or practical ability of shareholders to dispose of our shares. Such laws include the Ohio statutory provisions described below.</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Chapter 1704 of the Ohio Revised Code prohibits an interested shareholder (defined in Section 1704.01 of the Ohio Revised Code) or any affiliate or associate of an interested shareholder (as defined in Section 1704.01 of the Ohio Revised Code) from engaging in certain transactions with the corporation during the three-year period after the interested shareholder’s share acquisition date.</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prohibited transactions include, among other things: mergers, consolidations, majority share acquisitions, certain purchases, leases and sales of assets, certain issuances or transfers of shares (or rights to acquire shares), dissolutions, certain reclassifications, recapitalizations or other transactions that would increase the proportion of shares held by the interested shareholder or its affiliates or associates, and the provision of certain benefits (including loans, advances and other financial assistance) by the corporation to the interested shareholder or its affiliates or associates.</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After the expiration of the three-year period, the corporation may participate in such a transaction with an interested shareholder only if, among other things:</w:t>
      </w:r>
    </w:p>
    <w:p>
      <w:pPr>
        <w:spacing w:after="0" w:line="55" w:lineRule="exact"/>
        <w:rPr>
          <w:sz w:val="20"/>
          <w:szCs w:val="20"/>
          <w:color w:val="auto"/>
        </w:rPr>
      </w:pPr>
    </w:p>
    <w:p>
      <w:pPr>
        <w:jc w:val="both"/>
        <w:ind w:left="1020" w:hanging="504"/>
        <w:spacing w:after="0" w:line="265"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receives the approval of the holders of at least two-thirds of all the voting shares of the corporation and is also approved by the holders of at least a majority of the disinterested voting shares (defined as those shares not held by the interested shareholder or its affiliates or associates); or</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meets certain criteria designed to ensure that the remaining shareholders receive fair consideration for their shares.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prohibitions do not apply if, before the interested shareholder becomes an interested shareholder, the board of directors of the corporation approves either the interested shareholder’s acquisition of shares or the otherwise prohibited transaction. The restrictions also do not apply if a person was an interested shareholder prior to the adoption of the statute on April 11, 1990, unless, subject to certain exceptions, the interested shareholder increases his, her or its proportionate voting power on or after April 11, 1990 or if a person inadvertently becomes an interested shareholder, provided that, as soon as practicable, they divest the voting shares that resulted in them becoming an interested shareholder.</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Pursuant to Ohio Revised Code Section 1707.043, an Ohio publicly traded corporation may recover profits made from any disposition of the corporation’s equity securities by a person who, within eighteen months before such disposition made a proposal, or publicly disclosed the intention or possibility of making a proposal, to acquire control of the corporation. The corporation may not, however, recover from a person who proves in a court of competent jurisdiction either of the following:</w:t>
      </w:r>
    </w:p>
    <w:p>
      <w:pPr>
        <w:spacing w:after="0" w:line="74" w:lineRule="exact"/>
        <w:rPr>
          <w:sz w:val="20"/>
          <w:szCs w:val="20"/>
          <w:color w:val="auto"/>
        </w:rPr>
      </w:pPr>
    </w:p>
    <w:p>
      <w:pPr>
        <w:ind w:left="1020" w:hanging="504"/>
        <w:spacing w:after="0" w:line="281"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person’s sole purpose in making the proposal or public disclosure was to succeed in acquiring control of the corporation and that there were reasonable grounds to believe that such person would acquire control of the corporation; or</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person’s public disclosure concerning the intention or possibility of making a proposal to acquire control of the corporation were not effected with a purpose of affecting market trading and thereby increasing any profit or decreasing any loss from the disposition of the equity securities, and the public disclosure did not have a material effect on the market price or trading volume of the corporation’s equity securities.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30" w:name="page131"/>
    <w:bookmarkEnd w:id="130"/>
    <w:p>
      <w:pPr>
        <w:jc w:val="both"/>
        <w:spacing w:after="0" w:line="258" w:lineRule="auto"/>
        <w:rPr>
          <w:sz w:val="20"/>
          <w:szCs w:val="20"/>
          <w:color w:val="auto"/>
        </w:rPr>
      </w:pPr>
      <w:r>
        <w:rPr>
          <w:rFonts w:ascii="Times New Roman" w:cs="Times New Roman" w:eastAsia="Times New Roman" w:hAnsi="Times New Roman"/>
          <w:sz w:val="18"/>
          <w:szCs w:val="18"/>
          <w:color w:val="auto"/>
        </w:rPr>
        <w:t>Also, before the corporation may obtain any recovery, the aggregate amount of the profit realized by such person, directly or indirectly, must exceed $250,000. Section 1707.043 does not apply to equity securities acquired more than eighteen months before the date on which the proposal or public disclosure was made. Any shareholder may bring an action on behalf of the corporation if a corporation fails or refuses to bring an action to recover these profits within sixty days of a written request by a holder of any equity security. The party bringing such an action may recover attorneys’ fees if the court having jurisdiction over such action orders the recovery of any profits.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31" w:name="page132"/>
    <w:bookmarkEnd w:id="131"/>
    <w:p>
      <w:pPr>
        <w:ind w:left="10120"/>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SUBSIDIARIES OF THE REGISTRANT (1) (2) (3)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subsidiary companies of The Goodyear Tire &amp; Rubber Company at December 31, 2023, and the places of incorporation or organization thereof, are:</w:t>
      </w:r>
    </w:p>
    <w:p>
      <w:pPr>
        <w:spacing w:after="0" w:line="200" w:lineRule="exact"/>
        <w:rPr>
          <w:sz w:val="20"/>
          <w:szCs w:val="20"/>
          <w:color w:val="auto"/>
        </w:rPr>
      </w:pP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8160" w:type="dxa"/>
            <w:vAlign w:val="bottom"/>
          </w:tcPr>
          <w:p>
            <w:pPr>
              <w:spacing w:after="0"/>
              <w:rPr>
                <w:sz w:val="17"/>
                <w:szCs w:val="17"/>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PLACE OF</w:t>
            </w:r>
          </w:p>
        </w:tc>
      </w:tr>
      <w:tr>
        <w:trPr>
          <w:trHeight w:val="202"/>
        </w:trPr>
        <w:tc>
          <w:tcPr>
            <w:tcW w:w="8160" w:type="dxa"/>
            <w:vAlign w:val="bottom"/>
          </w:tcPr>
          <w:p>
            <w:pPr>
              <w:spacing w:after="0"/>
              <w:rPr>
                <w:sz w:val="17"/>
                <w:szCs w:val="17"/>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INCORPORATION</w:t>
            </w:r>
          </w:p>
        </w:tc>
      </w:tr>
      <w:tr>
        <w:trPr>
          <w:trHeight w:val="202"/>
        </w:trPr>
        <w:tc>
          <w:tcPr>
            <w:tcW w:w="8160" w:type="dxa"/>
            <w:vAlign w:val="bottom"/>
          </w:tcPr>
          <w:p>
            <w:pPr>
              <w:ind w:left="1220"/>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30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OR ORGANIZATION</w:t>
            </w:r>
          </w:p>
        </w:tc>
      </w:tr>
      <w:tr>
        <w:trPr>
          <w:trHeight w:val="212"/>
        </w:trPr>
        <w:tc>
          <w:tcPr>
            <w:tcW w:w="8160" w:type="dxa"/>
            <w:vAlign w:val="bottom"/>
          </w:tcPr>
          <w:p>
            <w:pPr>
              <w:ind w:left="1220"/>
              <w:spacing w:after="0"/>
              <w:rPr>
                <w:sz w:val="20"/>
                <w:szCs w:val="20"/>
                <w:color w:val="auto"/>
              </w:rPr>
            </w:pPr>
            <w:r>
              <w:rPr>
                <w:rFonts w:ascii="Times New Roman" w:cs="Times New Roman" w:eastAsia="Times New Roman" w:hAnsi="Times New Roman"/>
                <w:sz w:val="16"/>
                <w:szCs w:val="16"/>
                <w:b w:val="1"/>
                <w:bCs w:val="1"/>
                <w:color w:val="auto"/>
              </w:rPr>
              <w:t>---------------------------------</w:t>
            </w:r>
          </w:p>
        </w:tc>
        <w:tc>
          <w:tcPr>
            <w:tcW w:w="30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30"/>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3080" w:type="dxa"/>
            <w:vAlign w:val="bottom"/>
          </w:tcPr>
          <w:p>
            <w:pPr>
              <w:spacing w:after="0"/>
              <w:rPr>
                <w:sz w:val="24"/>
                <w:szCs w:val="24"/>
                <w:color w:val="auto"/>
              </w:rPr>
            </w:pPr>
          </w:p>
        </w:tc>
      </w:tr>
      <w:tr>
        <w:trPr>
          <w:trHeight w:val="94"/>
        </w:trPr>
        <w:tc>
          <w:tcPr>
            <w:tcW w:w="816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r>
      <w:tr>
        <w:trPr>
          <w:trHeight w:val="232"/>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Celeron Corporation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International Holding Corporation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Holding Company</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Ohio</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LLC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Vietnam Holding, LLC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Divested Atomic Corporation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Arizona</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Export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Farms,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Arizona</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Laurelwood Properties,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Max-Trac Tire Co.,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Ohio</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Raben Tire Co., LLC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Indiana</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Retreading L,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Retreading L, Inc. of Oregon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Oregon</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Ridge Property NC, LLC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T&amp;WA,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Kentucky</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Wingfoot Brands LLC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Wingfoot Corporation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32" w:name="page133"/>
    <w:bookmarkEnd w:id="132"/>
    <w:tbl>
      <w:tblPr>
        <w:tblLayout w:type="fixed"/>
        <w:tblInd w:w="10" w:type="dxa"/>
        <w:tblCellMar>
          <w:top w:w="0" w:type="dxa"/>
          <w:left w:w="0" w:type="dxa"/>
          <w:bottom w:w="0" w:type="dxa"/>
          <w:right w:w="0" w:type="dxa"/>
        </w:tblCellMar>
      </w:tblPr>
      <w:tr>
        <w:trPr>
          <w:trHeight w:val="202"/>
        </w:trPr>
        <w:tc>
          <w:tcPr>
            <w:tcW w:w="7920" w:type="dxa"/>
            <w:vAlign w:val="bottom"/>
          </w:tcPr>
          <w:p>
            <w:pPr>
              <w:spacing w:after="0"/>
              <w:rPr>
                <w:sz w:val="17"/>
                <w:szCs w:val="17"/>
                <w:color w:val="auto"/>
              </w:rPr>
            </w:pPr>
          </w:p>
        </w:tc>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PLACE OF</w:t>
            </w:r>
          </w:p>
        </w:tc>
      </w:tr>
      <w:tr>
        <w:trPr>
          <w:trHeight w:val="202"/>
        </w:trPr>
        <w:tc>
          <w:tcPr>
            <w:tcW w:w="7920" w:type="dxa"/>
            <w:vAlign w:val="bottom"/>
          </w:tcPr>
          <w:p>
            <w:pPr>
              <w:spacing w:after="0"/>
              <w:rPr>
                <w:sz w:val="17"/>
                <w:szCs w:val="17"/>
                <w:color w:val="auto"/>
              </w:rPr>
            </w:pPr>
          </w:p>
        </w:tc>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INCORPORATION</w:t>
            </w:r>
          </w:p>
        </w:tc>
      </w:tr>
      <w:tr>
        <w:trPr>
          <w:trHeight w:val="202"/>
        </w:trPr>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OR ORGANIZATION</w:t>
            </w:r>
          </w:p>
        </w:tc>
      </w:tr>
      <w:tr>
        <w:trPr>
          <w:trHeight w:val="212"/>
        </w:trPr>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9"/>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980" w:type="dxa"/>
            <w:vAlign w:val="bottom"/>
          </w:tcPr>
          <w:p>
            <w:pPr>
              <w:spacing w:after="0"/>
              <w:rPr>
                <w:sz w:val="21"/>
                <w:szCs w:val="21"/>
                <w:color w:val="auto"/>
              </w:rPr>
            </w:pPr>
          </w:p>
        </w:tc>
      </w:tr>
      <w:tr>
        <w:trPr>
          <w:trHeight w:val="175"/>
        </w:trPr>
        <w:tc>
          <w:tcPr>
            <w:tcW w:w="79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r>
      <w:tr>
        <w:trPr>
          <w:trHeight w:val="232"/>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 Goodyear de Venezuela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Venezuela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+Compania Goodyear del Peru, S.A.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Peru</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Global Holding Co.,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Barbados</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International Rubber,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Jamaica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(Kunshan) Tire Co.,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Asia-Pacific (Shanghai) Trading Co.</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(China) Investment Co.,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International Trading Company</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(Barbados)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Barbados</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Brazil Ltda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de Mexico S.A. de C.V.</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Mexico</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Europe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International Trading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Tyre &amp; Rubber Company UK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Corporacion de Occidente S.A. de C.V.</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Mexico</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+DNA (Housemarks)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Dunglaide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Dunlop Tyres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Easy Autocentres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Fonds de Pension Goodyear ASBL</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Luxembourg</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G.I.E. Goodyear Mireval</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France</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Amiens SAS</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France</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Australia Pty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Australia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Austria GmbH</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Baltic OU</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Estonia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Belgium N.V.</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Belgium</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Canada Inc.</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Canada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Czech s.r.o.</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Dalian Tire Company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Danmark A/S</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Denmark</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de Chile S.A.I.C.</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Chile</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de Colombia S.A.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Colombia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do Brasil Produtos de Borracha Ltda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&amp; Dunlop Tyres (Australia) Pty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Australia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&amp; Dunlop Tyres (NZ)</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Zealand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Dunlop Tires Ireland (Pension Trustees)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Ireland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Dunlop Tyres UK (Pension Trustees)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Earthmover Pty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Australia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Egypt L.L.C.</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Egypt</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Europe B.V.</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Netherlands</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Finland OY</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Finland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France SAS</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France</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Germany GmbH</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Germany Manufacturing GmbH &amp; Co. KG</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Grund und Service Verwaltungs GmbH</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Hanau Manufacturing GmbH &amp; Co. KG</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Hellas Single Member Industrial and Commercial Societe Anonyme</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Greece</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Holdings Sarl</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Luxembourg</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Hrvatska d.o.o.</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Croatia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Hungary Kft.</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Hungary</w:t>
            </w:r>
          </w:p>
        </w:tc>
      </w:tr>
    </w:tbl>
    <w:p>
      <w:pPr>
        <w:spacing w:after="0" w:line="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324" w:right="679" w:bottom="577"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2"/>
        </w:trPr>
        <w:tc>
          <w:tcPr>
            <w:tcW w:w="6040" w:type="dxa"/>
            <w:vAlign w:val="bottom"/>
          </w:tcPr>
          <w:p>
            <w:pPr>
              <w:spacing w:after="0"/>
              <w:rPr>
                <w:sz w:val="17"/>
                <w:szCs w:val="17"/>
                <w:color w:val="auto"/>
              </w:rPr>
            </w:pPr>
          </w:p>
        </w:tc>
        <w:tc>
          <w:tcPr>
            <w:tcW w:w="4860" w:type="dxa"/>
            <w:vAlign w:val="bottom"/>
          </w:tcPr>
          <w:p>
            <w:pPr>
              <w:ind w:left="1980"/>
              <w:spacing w:after="0"/>
              <w:rPr>
                <w:sz w:val="20"/>
                <w:szCs w:val="20"/>
                <w:color w:val="auto"/>
              </w:rPr>
            </w:pPr>
            <w:r>
              <w:rPr>
                <w:rFonts w:ascii="Times New Roman" w:cs="Times New Roman" w:eastAsia="Times New Roman" w:hAnsi="Times New Roman"/>
                <w:sz w:val="16"/>
                <w:szCs w:val="16"/>
                <w:b w:val="1"/>
                <w:bCs w:val="1"/>
                <w:color w:val="auto"/>
              </w:rPr>
              <w:t>PLACE OF</w:t>
            </w:r>
          </w:p>
        </w:tc>
      </w:tr>
      <w:tr>
        <w:trPr>
          <w:trHeight w:val="202"/>
        </w:trPr>
        <w:tc>
          <w:tcPr>
            <w:tcW w:w="6040" w:type="dxa"/>
            <w:vAlign w:val="bottom"/>
          </w:tcPr>
          <w:p>
            <w:pPr>
              <w:spacing w:after="0"/>
              <w:rPr>
                <w:sz w:val="17"/>
                <w:szCs w:val="17"/>
                <w:color w:val="auto"/>
              </w:rPr>
            </w:pPr>
          </w:p>
        </w:tc>
        <w:tc>
          <w:tcPr>
            <w:tcW w:w="4860" w:type="dxa"/>
            <w:vAlign w:val="bottom"/>
          </w:tcPr>
          <w:p>
            <w:pPr>
              <w:ind w:left="1980"/>
              <w:spacing w:after="0"/>
              <w:rPr>
                <w:sz w:val="20"/>
                <w:szCs w:val="20"/>
                <w:color w:val="auto"/>
              </w:rPr>
            </w:pPr>
            <w:r>
              <w:rPr>
                <w:rFonts w:ascii="Times New Roman" w:cs="Times New Roman" w:eastAsia="Times New Roman" w:hAnsi="Times New Roman"/>
                <w:sz w:val="16"/>
                <w:szCs w:val="16"/>
                <w:b w:val="1"/>
                <w:bCs w:val="1"/>
                <w:color w:val="auto"/>
              </w:rPr>
              <w:t>INCORPORATION</w:t>
            </w:r>
          </w:p>
        </w:tc>
      </w:tr>
      <w:tr>
        <w:trPr>
          <w:trHeight w:val="202"/>
        </w:trPr>
        <w:tc>
          <w:tcPr>
            <w:tcW w:w="60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4860" w:type="dxa"/>
            <w:vAlign w:val="bottom"/>
          </w:tcPr>
          <w:p>
            <w:pPr>
              <w:ind w:left="1980"/>
              <w:spacing w:after="0"/>
              <w:rPr>
                <w:sz w:val="20"/>
                <w:szCs w:val="20"/>
                <w:color w:val="auto"/>
              </w:rPr>
            </w:pPr>
            <w:r>
              <w:rPr>
                <w:rFonts w:ascii="Times New Roman" w:cs="Times New Roman" w:eastAsia="Times New Roman" w:hAnsi="Times New Roman"/>
                <w:sz w:val="16"/>
                <w:szCs w:val="16"/>
                <w:b w:val="1"/>
                <w:bCs w:val="1"/>
                <w:color w:val="auto"/>
              </w:rPr>
              <w:t>OR ORGANIZATION</w:t>
            </w:r>
          </w:p>
        </w:tc>
      </w:tr>
      <w:tr>
        <w:trPr>
          <w:trHeight w:val="212"/>
        </w:trPr>
        <w:tc>
          <w:tcPr>
            <w:tcW w:w="60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4860" w:type="dxa"/>
            <w:vAlign w:val="bottom"/>
          </w:tcPr>
          <w:p>
            <w:pPr>
              <w:ind w:left="19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9"/>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4860" w:type="dxa"/>
            <w:vAlign w:val="bottom"/>
          </w:tcPr>
          <w:p>
            <w:pPr>
              <w:spacing w:after="0"/>
              <w:rPr>
                <w:sz w:val="21"/>
                <w:szCs w:val="21"/>
                <w:color w:val="auto"/>
              </w:rPr>
            </w:pPr>
          </w:p>
        </w:tc>
      </w:tr>
      <w:tr>
        <w:trPr>
          <w:trHeight w:val="175"/>
        </w:trPr>
        <w:tc>
          <w:tcPr>
            <w:tcW w:w="6040" w:type="dxa"/>
            <w:vAlign w:val="bottom"/>
            <w:tcBorders>
              <w:bottom w:val="single" w:sz="8" w:color="auto"/>
            </w:tcBorders>
          </w:tcPr>
          <w:p>
            <w:pPr>
              <w:spacing w:after="0"/>
              <w:rPr>
                <w:sz w:val="15"/>
                <w:szCs w:val="15"/>
                <w:color w:val="auto"/>
              </w:rPr>
            </w:pPr>
          </w:p>
        </w:tc>
        <w:tc>
          <w:tcPr>
            <w:tcW w:w="4860" w:type="dxa"/>
            <w:vAlign w:val="bottom"/>
            <w:tcBorders>
              <w:bottom w:val="single" w:sz="8" w:color="auto"/>
            </w:tcBorders>
          </w:tcPr>
          <w:p>
            <w:pPr>
              <w:spacing w:after="0"/>
              <w:rPr>
                <w:sz w:val="15"/>
                <w:szCs w:val="15"/>
                <w:color w:val="auto"/>
              </w:rPr>
            </w:pPr>
          </w:p>
        </w:tc>
      </w:tr>
      <w:tr>
        <w:trPr>
          <w:trHeight w:val="232"/>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India Ltd.</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India</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Industrial Rubber Products Ltd.</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Italiana S.p.A.</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Italy</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Jamaica Limited</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Jamaica</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Korea Company</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South Korea</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Lastikleri TAS</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Turkey</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Malaysia Berhad</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Malaysia</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Middle East FZE</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Dubai</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Mounting Solutions S.A.</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Luxembourg</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Nederland B.V.</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Netherlands</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Norge A/S</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Norway</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Operations S.A.</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Luxembourg</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Operations Romania SrL</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Romania</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Orient Company Private Limited</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Singapore</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Philippines, Inc.</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Philippines</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Polska Sp. z.o.o.</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Poland</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Portugal Unipessoal, Ltda</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Portugal</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Regional Business Services Inc.</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Philippines</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Retail Systems GmbH</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Romania S.r.L.</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Romania</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Russia LLC</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Russia</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S.A.</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Luxembourg</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Serbia LLC</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Serbia</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Servicios Comerciales S. de R.L. de C.V.</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Mexico</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(Shanghai) Trading Company Limited</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China</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Slovakia s.r.o.</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Slovakia</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Slovenija d.o.o.</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Slovenia</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Goodyear-SLP, S. de R.L. de C.V.</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Mexico</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South Africa (Pty) Ltd.</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South Asia Tyres Private Limited</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India</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Suisse S.A.</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Switzerland</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Sverige A.B.</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Sweden</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Taiwan Limited</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Taiwan</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(Thailand) Public Company Limited</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Thailand</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Tire Management Company (Shanghai) Ltd.</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China</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Tires Espana S.A.</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Spain</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Tires Italia SpA</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Italy</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Tyre and Rubber Holdings (Pty) Ltd.</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Tyres Ireland Ltd.</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Ireland</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Tyres Pty Ltd.</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Australia</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Tyres UK Limited</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Tyres Vietnam LLC</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Vietnam</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Ukraine LLC</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Ukraine</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Ventech GmbH</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Versicherungsservice GmbH</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GRIP Reifen und Rader GmbH</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GY Tire Kitakanto Kabushiki Kaisha</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Japan</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Hi-Q Automotive (Pty) Ltd.</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6"/>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HiQ Holdings Limited</w:t>
            </w:r>
          </w:p>
        </w:tc>
        <w:tc>
          <w:tcPr>
            <w:tcW w:w="48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England</w:t>
            </w:r>
          </w:p>
        </w:tc>
      </w:tr>
      <w:tr>
        <w:trPr>
          <w:trHeight w:val="232"/>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Kabushiki Kaisha Goodyear Aviation Japan</w:t>
            </w:r>
          </w:p>
        </w:tc>
        <w:tc>
          <w:tcPr>
            <w:tcW w:w="48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Japan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-8128000</wp:posOffset>
            </wp:positionV>
            <wp:extent cx="6918325" cy="814260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20">
                      <a:extLst>
                        <a:ext uri="{28A0092B-C50C-407E-A947-70E740481C1C}"/>
                      </a:extLst>
                    </a:blip>
                    <a:srcRect/>
                    <a:stretch>
                      <a:fillRect/>
                    </a:stretch>
                  </pic:blipFill>
                  <pic:spPr bwMode="auto">
                    <a:xfrm>
                      <a:off x="0" y="0"/>
                      <a:ext cx="6918325" cy="8142605"/>
                    </a:xfrm>
                    <a:prstGeom prst="rect">
                      <a:avLst/>
                    </a:prstGeom>
                    <a:noFill/>
                  </pic:spPr>
                </pic:pic>
              </a:graphicData>
            </a:graphic>
          </wp:anchor>
        </w:drawing>
      </w:r>
    </w:p>
    <w:p>
      <w:pPr>
        <w:jc w:val="center"/>
        <w:ind w:right="26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628650</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08" w:right="679" w:bottom="868" w:gutter="0" w:footer="0" w:header="0"/>
        </w:sectPr>
      </w:pPr>
    </w:p>
    <w:bookmarkStart w:id="134" w:name="page135"/>
    <w:bookmarkEnd w:id="134"/>
    <w:tbl>
      <w:tblPr>
        <w:tblLayout w:type="fixed"/>
        <w:tblInd w:w="10" w:type="dxa"/>
        <w:tblCellMar>
          <w:top w:w="0" w:type="dxa"/>
          <w:left w:w="0" w:type="dxa"/>
          <w:bottom w:w="0" w:type="dxa"/>
          <w:right w:w="0" w:type="dxa"/>
        </w:tblCellMar>
      </w:tblPr>
      <w:tr>
        <w:trPr>
          <w:trHeight w:val="202"/>
        </w:trPr>
        <w:tc>
          <w:tcPr>
            <w:tcW w:w="7920" w:type="dxa"/>
            <w:vAlign w:val="bottom"/>
          </w:tcPr>
          <w:p>
            <w:pPr>
              <w:spacing w:after="0"/>
              <w:rPr>
                <w:sz w:val="17"/>
                <w:szCs w:val="17"/>
                <w:color w:val="auto"/>
              </w:rPr>
            </w:pPr>
          </w:p>
        </w:tc>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PLACE OF</w:t>
            </w:r>
          </w:p>
        </w:tc>
      </w:tr>
      <w:tr>
        <w:trPr>
          <w:trHeight w:val="202"/>
        </w:trPr>
        <w:tc>
          <w:tcPr>
            <w:tcW w:w="7920" w:type="dxa"/>
            <w:vAlign w:val="bottom"/>
          </w:tcPr>
          <w:p>
            <w:pPr>
              <w:spacing w:after="0"/>
              <w:rPr>
                <w:sz w:val="17"/>
                <w:szCs w:val="17"/>
                <w:color w:val="auto"/>
              </w:rPr>
            </w:pPr>
          </w:p>
        </w:tc>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INCORPORATION</w:t>
            </w:r>
          </w:p>
        </w:tc>
      </w:tr>
      <w:tr>
        <w:trPr>
          <w:trHeight w:val="202"/>
        </w:trPr>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OR ORGANIZATION</w:t>
            </w:r>
          </w:p>
        </w:tc>
      </w:tr>
      <w:tr>
        <w:trPr>
          <w:trHeight w:val="212"/>
        </w:trPr>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9"/>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980" w:type="dxa"/>
            <w:vAlign w:val="bottom"/>
          </w:tcPr>
          <w:p>
            <w:pPr>
              <w:spacing w:after="0"/>
              <w:rPr>
                <w:sz w:val="21"/>
                <w:szCs w:val="21"/>
                <w:color w:val="auto"/>
              </w:rPr>
            </w:pPr>
          </w:p>
        </w:tc>
      </w:tr>
      <w:tr>
        <w:trPr>
          <w:trHeight w:val="175"/>
        </w:trPr>
        <w:tc>
          <w:tcPr>
            <w:tcW w:w="79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r>
      <w:tr>
        <w:trPr>
          <w:trHeight w:val="232"/>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Kabushiki Kaisha Tohoku GY</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Kelly-Springfield Tyre Company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Kettering Tyres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Motorway Tyres &amp; Accessories (UK)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Neumaticos Goodyear S.r.L.</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Argentina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Nippon Giant Tire Kabushiki Kaisha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Nippon Goodyear Kabushiki Kaisha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+P.T. Goodyear Indonesia Tbk</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+Qingdao Ge Rui Da Rubber Co.,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Reifen Baierlacher GmbH</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Reifen Burkhardt GmbH</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Saudi Goodyear Management Consulting Co.</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Saudi Arabia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Snella Auto SAS</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France</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 Brand Holding EEIG</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Belgium</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+Tire Company Debica S.A.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Tyres Australia Pty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Australia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Tren Tyre Holdings (Pty)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Trentyre (Lesotho) (Pty)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Lesotho</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Trentyre (Pty) Ltd.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Tyre Services Great Britain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UK Tyres Lubricants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Vulco Developpement S.A.</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France</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Vulco Truck Services SAS</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France</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Weeting Tyres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Wingfoot Insurance Company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WTL Suffolk Limited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England</w:t>
            </w:r>
          </w:p>
        </w:tc>
      </w:tr>
      <w:tr>
        <w:trPr>
          <w:trHeight w:val="236"/>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 Fleet Group GmbH</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bl>
    <w:p>
      <w:pPr>
        <w:spacing w:after="0" w:line="224" w:lineRule="exact"/>
        <w:rPr>
          <w:sz w:val="20"/>
          <w:szCs w:val="20"/>
          <w:color w:val="auto"/>
        </w:rPr>
      </w:pPr>
    </w:p>
    <w:p>
      <w:pPr>
        <w:ind w:right="20" w:firstLine="8"/>
        <w:spacing w:after="0" w:line="312" w:lineRule="auto"/>
        <w:tabs>
          <w:tab w:leader="none" w:pos="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subsidiaries named in the foregoing list conducts its business under its corporate name and, in a few instances, under a shortened form of its corporate name or in combination with a trade name.</w:t>
      </w:r>
    </w:p>
    <w:p>
      <w:pPr>
        <w:spacing w:after="0" w:line="163" w:lineRule="exact"/>
        <w:rPr>
          <w:rFonts w:ascii="Times New Roman" w:cs="Times New Roman" w:eastAsia="Times New Roman" w:hAnsi="Times New Roman"/>
          <w:sz w:val="18"/>
          <w:szCs w:val="18"/>
          <w:color w:val="auto"/>
        </w:rPr>
      </w:pPr>
    </w:p>
    <w:p>
      <w:pPr>
        <w:jc w:val="both"/>
        <w:ind w:firstLine="8"/>
        <w:spacing w:after="0" w:line="262" w:lineRule="auto"/>
        <w:tabs>
          <w:tab w:leader="none" w:pos="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subsidiaries named in the foregoing list is directly or indirectly wholly-owned by the Registrant, except that in respect of each of the following subsidiaries (marked by a plus preceding its name) the Registrant directly or indirectly owns the indicated percentage of such subsidiary’s equity capital: Compania Goodyear del Peru, S.A., 99.54%; DNA (Housemarks) Limited, 98%; Goodyear India Ltd., 74%; Goodyear Jamaica Limited, 60%; Goodyear Lastikleri TAS, 74.6%; Goodyear Malaysia Berhad, 51%; Goodyear Philippines, Inc., 88.54%; Goodyear Taiwan Limited, 94.22%; Goodyear (Thailand) Public Company Limited, 66.87%; P.T. Goodyear Indonesia Tbk, 85%; Qingdao Ge Rui Da Rubber Co., Ltd., 65%; and Tire Company Debica S.A., 87.25%.</w:t>
      </w:r>
    </w:p>
    <w:p>
      <w:pPr>
        <w:spacing w:after="0" w:line="208" w:lineRule="exact"/>
        <w:rPr>
          <w:rFonts w:ascii="Times New Roman" w:cs="Times New Roman" w:eastAsia="Times New Roman" w:hAnsi="Times New Roman"/>
          <w:sz w:val="18"/>
          <w:szCs w:val="18"/>
          <w:color w:val="auto"/>
        </w:rPr>
      </w:pPr>
    </w:p>
    <w:p>
      <w:pPr>
        <w:ind w:right="40" w:firstLine="8"/>
        <w:spacing w:after="0" w:line="258" w:lineRule="auto"/>
        <w:tabs>
          <w:tab w:leader="none" w:pos="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C.A. Goodyear de Venezuela and Wingfoot Corporation, at December 31, 2023, the Registrant did not have any majority owned subsidiaries that were not consolidated.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subsidiaries of The Goodyear Tire &amp; Rubber Company (the "Parent Company") were, as of December 31, 2023, guarantors of the Company's 9.5% senior notes due 2025, 5% senior notes due 2026, 4.875% senior notes due 2027, 5% senior notes due 2029, 5.25% senior notes due April 2031, 5.25% senior notes due July 2031 and 5.625% senior notes due 2033: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198"/>
        </w:trPr>
        <w:tc>
          <w:tcPr>
            <w:tcW w:w="20" w:type="dxa"/>
            <w:vAlign w:val="bottom"/>
          </w:tcPr>
          <w:p>
            <w:pPr>
              <w:spacing w:after="0"/>
              <w:rPr>
                <w:sz w:val="17"/>
                <w:szCs w:val="17"/>
                <w:color w:val="auto"/>
              </w:rPr>
            </w:pPr>
          </w:p>
        </w:tc>
        <w:tc>
          <w:tcPr>
            <w:tcW w:w="200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NAME OF SUBSIDIARY</w:t>
            </w:r>
          </w:p>
        </w:tc>
        <w:tc>
          <w:tcPr>
            <w:tcW w:w="6420" w:type="dxa"/>
            <w:vAlign w:val="bottom"/>
          </w:tcPr>
          <w:p>
            <w:pPr>
              <w:spacing w:after="0"/>
              <w:rPr>
                <w:sz w:val="17"/>
                <w:szCs w:val="17"/>
                <w:color w:val="auto"/>
              </w:rPr>
            </w:pPr>
          </w:p>
        </w:tc>
        <w:tc>
          <w:tcPr>
            <w:tcW w:w="176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OR ORGANIZATION</w:t>
            </w:r>
          </w:p>
        </w:tc>
        <w:tc>
          <w:tcPr>
            <w:tcW w:w="1040" w:type="dxa"/>
            <w:vAlign w:val="bottom"/>
          </w:tcPr>
          <w:p>
            <w:pPr>
              <w:spacing w:after="0"/>
              <w:rPr>
                <w:sz w:val="17"/>
                <w:szCs w:val="17"/>
                <w:color w:val="auto"/>
              </w:rPr>
            </w:pPr>
          </w:p>
        </w:tc>
      </w:tr>
      <w:tr>
        <w:trPr>
          <w:trHeight w:val="245"/>
        </w:trPr>
        <w:tc>
          <w:tcPr>
            <w:tcW w:w="20" w:type="dxa"/>
            <w:vAlign w:val="bottom"/>
          </w:tcPr>
          <w:p>
            <w:pPr>
              <w:spacing w:after="0"/>
              <w:rPr>
                <w:sz w:val="21"/>
                <w:szCs w:val="21"/>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Celeron Corporation</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International Holding Corporation</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&amp; Rubber Company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&amp; Rubber Company Vietnam Holding,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Holding Company</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Canada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Export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Farms,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Max-Trac Tire Co.,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Raben Tire Co.,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Indiana</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T&amp;WA,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Kentucky</w:t>
            </w:r>
          </w:p>
        </w:tc>
      </w:tr>
      <w:tr>
        <w:trPr>
          <w:trHeight w:val="234"/>
        </w:trPr>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Wingfoot Brands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991"/>
        </w:trPr>
        <w:tc>
          <w:tcPr>
            <w:tcW w:w="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333-269857, 333-266570, 333-219603, 333-190252, 333-141468, 333-126566, and 333-126565) of The Goodyear Tire &amp; Rubber Company of our report dated February 13, 2024 relating to the financial statements, financial statement schedule and the effectiveness of internal control over financial reporting, which appears in this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677545</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37" w:name="page138"/>
    <w:bookmarkEnd w:id="137"/>
    <w:p>
      <w:pPr>
        <w:ind w:left="10060"/>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GOODYEAR TIRE &amp; RUBBER COMPANY</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111" w:lineRule="exact"/>
        <w:rPr>
          <w:sz w:val="20"/>
          <w:szCs w:val="20"/>
          <w:color w:val="auto"/>
        </w:rPr>
      </w:pPr>
    </w:p>
    <w:p>
      <w:pPr>
        <w:jc w:val="both"/>
        <w:ind w:firstLine="850"/>
        <w:spacing w:after="0" w:line="234" w:lineRule="auto"/>
        <w:rPr>
          <w:sz w:val="20"/>
          <w:szCs w:val="20"/>
          <w:color w:val="auto"/>
        </w:rPr>
      </w:pPr>
      <w:r>
        <w:rPr>
          <w:rFonts w:ascii="Times New Roman" w:cs="Times New Roman" w:eastAsia="Times New Roman" w:hAnsi="Times New Roman"/>
          <w:sz w:val="22"/>
          <w:szCs w:val="22"/>
          <w:b w:val="1"/>
          <w:bCs w:val="1"/>
          <w:color w:val="auto"/>
        </w:rPr>
        <w:t>KNOW ALL PERSONS BY THESE PRESENTS</w:t>
      </w:r>
      <w:r>
        <w:rPr>
          <w:rFonts w:ascii="Times New Roman" w:cs="Times New Roman" w:eastAsia="Times New Roman" w:hAnsi="Times New Roman"/>
          <w:sz w:val="22"/>
          <w:szCs w:val="22"/>
          <w:color w:val="auto"/>
        </w:rPr>
        <w:t>, that the undersigned directors of THE GOODYEAR TIRE &amp;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RUBBER COMPANY, a corporation organized and existing under the laws of the State of Ohio (the “Company”), hereby constitute and appoint CHRISTINA L. ZAMARRO, MARGARET V. SNYDER and DANIEL T. YOUNG, and each of them, their true and lawful attorneys-in-fact and agents, each one of them with full power and authority to sign the names of the undersigned directors to the Company’s Annual Report to the Securities and Exchange Commission on Form 10-K for its fiscal year ended December 31, 2023, and to any and all amendments, supplements and exhibits thereto and any other instruments filed in connection therewith; provided, however, that said attorneys-in-fact shall not sign the name of any director unless and until the Annual Report shall have been duly executed by the officers of the Company then serving as the chief executive officer of the Company, the principal financial officer of the Company and the principal accounting officer of the Company; and each of the undersigned hereby ratifies and confirms all that the said attorneys-in-fact and agents, or any one or more of them, shall do or cause to be done by virtue hereof.</w:t>
      </w:r>
    </w:p>
    <w:p>
      <w:pPr>
        <w:spacing w:after="0" w:line="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IN WITNESS WHEREOF, the undersigned have subscribed these presents this 19th day of December, 2023.</w:t>
      </w:r>
    </w:p>
    <w:p>
      <w:pPr>
        <w:sectPr>
          <w:pgSz w:w="11900" w:h="16838" w:orient="portrait"/>
          <w:cols w:equalWidth="0" w:num="1">
            <w:col w:w="11240"/>
          </w:cols>
          <w:pgMar w:left="320" w:top="1088"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 Norma B. Clayton</w:t>
      </w:r>
    </w:p>
    <w:p>
      <w:pPr>
        <w:spacing w:after="0" w:line="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Norma B. Clayton,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329628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26">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 Werner Geissler</w:t>
      </w:r>
    </w:p>
    <w:p>
      <w:pPr>
        <w:spacing w:after="0" w:line="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Werner Geissler,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329628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27">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 Laurette T. Koellner</w:t>
      </w:r>
    </w:p>
    <w:p>
      <w:pPr>
        <w:spacing w:after="0" w:line="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Laurette T. Koellner,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329628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28">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 Karla R. Lewis</w:t>
      </w:r>
    </w:p>
    <w:p>
      <w:pPr>
        <w:spacing w:after="0" w:line="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Karla R. Lewis,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329628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29">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 John E. McGlade</w:t>
      </w:r>
    </w:p>
    <w:p>
      <w:pPr>
        <w:spacing w:after="0" w:line="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John E. McGlade,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329628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30">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 Roderick A. Palmore</w:t>
      </w:r>
    </w:p>
    <w:p>
      <w:pPr>
        <w:spacing w:after="0" w:line="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Roderick A. Palmore,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329628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31">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 Michael R. Wessel</w:t>
      </w:r>
    </w:p>
    <w:p>
      <w:pPr>
        <w:spacing w:after="0" w:line="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Michael R. Wessel,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329628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32">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 Roger J. Wood</w:t>
      </w:r>
    </w:p>
    <w:p>
      <w:pPr>
        <w:spacing w:after="0" w:line="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Roger J. Wood,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329628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33">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/s/ James A. Firestone</w:t>
      </w:r>
    </w:p>
    <w:p>
      <w:pPr>
        <w:spacing w:after="0" w:line="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James A. Firestone,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-159385</wp:posOffset>
            </wp:positionV>
            <wp:extent cx="328803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34">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20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/s/ Joseph R. Hinrichs</w:t>
      </w:r>
    </w:p>
    <w:p>
      <w:pPr>
        <w:spacing w:after="0" w:line="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Joseph R. Hinrichs,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-159385</wp:posOffset>
            </wp:positionV>
            <wp:extent cx="328803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35">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20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/s/ Richard J. Kramer</w:t>
      </w:r>
    </w:p>
    <w:p>
      <w:pPr>
        <w:spacing w:after="0" w:line="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Richard J. Kramer,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-159385</wp:posOffset>
            </wp:positionV>
            <wp:extent cx="328803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36">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20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/s/ Prashanth Mahendra-Rajah</w:t>
      </w:r>
    </w:p>
    <w:p>
      <w:pPr>
        <w:spacing w:after="0" w:line="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0"/>
          <w:szCs w:val="20"/>
          <w:color w:val="auto"/>
        </w:rPr>
        <w:t>Prashanth Mahendra-Rajah,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-144780</wp:posOffset>
            </wp:positionV>
            <wp:extent cx="328803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37">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22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/s/ Max H. Mitchell</w:t>
      </w:r>
    </w:p>
    <w:p>
      <w:pPr>
        <w:spacing w:after="0" w:line="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Max H. Mitchell,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-159385</wp:posOffset>
            </wp:positionV>
            <wp:extent cx="328803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38">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20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/s/ Hera Siu</w:t>
      </w:r>
    </w:p>
    <w:p>
      <w:pPr>
        <w:spacing w:after="0" w:line="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Hera Siu,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-159385</wp:posOffset>
            </wp:positionV>
            <wp:extent cx="328803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39">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2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/s/ Thomas L. Williams</w:t>
      </w:r>
    </w:p>
    <w:p>
      <w:pPr>
        <w:spacing w:after="0" w:line="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Thomas L. Williams,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-159385</wp:posOffset>
            </wp:positionV>
            <wp:extent cx="328803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40">
                      <a:extLst>
                        <a:ext uri="{28A0092B-C50C-407E-A947-70E740481C1C}"/>
                      </a:extLst>
                    </a:blip>
                    <a:srcRect/>
                    <a:stretch>
                      <a:fillRect/>
                    </a:stretch>
                  </pic:blipFill>
                  <pic:spPr bwMode="auto">
                    <a:xfrm>
                      <a:off x="0" y="0"/>
                      <a:ext cx="3288030" cy="825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1317625</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340" w:space="720"/>
            <w:col w:w="4180"/>
          </w:cols>
          <w:pgMar w:left="320" w:top="1088" w:right="339" w:bottom="1440" w:gutter="0" w:footer="0" w:header="0"/>
          <w:type w:val="continuous"/>
        </w:sectPr>
      </w:pPr>
    </w:p>
    <w:bookmarkStart w:id="138" w:name="page139"/>
    <w:bookmarkEnd w:id="138"/>
    <w:p>
      <w:pPr>
        <w:ind w:left="100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Stewart, certify that:</w:t>
      </w:r>
    </w:p>
    <w:p>
      <w:pPr>
        <w:spacing w:after="0" w:line="139" w:lineRule="exact"/>
        <w:rPr>
          <w:sz w:val="20"/>
          <w:szCs w:val="20"/>
          <w:color w:val="auto"/>
        </w:rPr>
      </w:pPr>
    </w:p>
    <w:p>
      <w:pPr>
        <w:ind w:left="560" w:hanging="559"/>
        <w:spacing w:after="0"/>
        <w:tabs>
          <w:tab w:leader="none" w:pos="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Goodyear Tire &amp; Rubber Company;</w:t>
      </w:r>
    </w:p>
    <w:p>
      <w:pPr>
        <w:spacing w:after="0" w:line="157" w:lineRule="exact"/>
        <w:rPr>
          <w:rFonts w:ascii="Times New Roman" w:cs="Times New Roman" w:eastAsia="Times New Roman" w:hAnsi="Times New Roman"/>
          <w:sz w:val="18"/>
          <w:szCs w:val="18"/>
          <w:color w:val="auto"/>
        </w:rPr>
      </w:pPr>
    </w:p>
    <w:p>
      <w:pPr>
        <w:jc w:val="both"/>
        <w:ind w:left="560" w:hanging="559"/>
        <w:spacing w:after="0" w:line="265" w:lineRule="auto"/>
        <w:tabs>
          <w:tab w:leader="none" w:pos="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560" w:hanging="559"/>
        <w:spacing w:after="0" w:line="281" w:lineRule="auto"/>
        <w:tabs>
          <w:tab w:leader="none" w:pos="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8"/>
          <w:szCs w:val="18"/>
          <w:color w:val="auto"/>
        </w:rPr>
      </w:pPr>
    </w:p>
    <w:p>
      <w:pPr>
        <w:jc w:val="both"/>
        <w:ind w:left="560" w:hanging="559"/>
        <w:spacing w:after="0" w:line="265" w:lineRule="auto"/>
        <w:tabs>
          <w:tab w:leader="none" w:pos="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8"/>
          <w:szCs w:val="18"/>
          <w:color w:val="auto"/>
        </w:rPr>
      </w:pPr>
    </w:p>
    <w:p>
      <w:pPr>
        <w:jc w:val="both"/>
        <w:ind w:left="1140" w:hanging="572"/>
        <w:spacing w:after="0" w:line="265"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8"/>
          <w:szCs w:val="18"/>
          <w:color w:val="auto"/>
        </w:rPr>
      </w:pPr>
    </w:p>
    <w:p>
      <w:pPr>
        <w:jc w:val="both"/>
        <w:ind w:left="1140" w:hanging="572"/>
        <w:spacing w:after="0" w:line="265"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ind w:left="1140" w:hanging="572"/>
        <w:spacing w:after="0" w:line="281"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Times New Roman" w:cs="Times New Roman" w:eastAsia="Times New Roman" w:hAnsi="Times New Roman"/>
          <w:sz w:val="18"/>
          <w:szCs w:val="18"/>
          <w:color w:val="auto"/>
        </w:rPr>
      </w:pPr>
    </w:p>
    <w:p>
      <w:pPr>
        <w:jc w:val="both"/>
        <w:ind w:left="1140" w:hanging="572"/>
        <w:spacing w:after="0" w:line="265"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8"/>
          <w:szCs w:val="18"/>
          <w:color w:val="auto"/>
        </w:rPr>
      </w:pPr>
    </w:p>
    <w:p>
      <w:pPr>
        <w:ind w:left="560" w:hanging="559"/>
        <w:spacing w:after="0" w:line="281" w:lineRule="auto"/>
        <w:tabs>
          <w:tab w:leader="none" w:pos="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8"/>
          <w:szCs w:val="18"/>
          <w:color w:val="auto"/>
        </w:rPr>
      </w:pPr>
    </w:p>
    <w:p>
      <w:pPr>
        <w:ind w:left="1140" w:hanging="572"/>
        <w:spacing w:after="0" w:line="281"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8"/>
          <w:szCs w:val="18"/>
          <w:color w:val="auto"/>
        </w:rPr>
      </w:pPr>
    </w:p>
    <w:p>
      <w:pPr>
        <w:ind w:left="1140" w:hanging="572"/>
        <w:spacing w:after="0" w:line="281"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2024</w:t>
      </w:r>
    </w:p>
    <w:p>
      <w:pPr>
        <w:spacing w:after="0" w:line="305"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34290</wp:posOffset>
            </wp:positionV>
            <wp:extent cx="427291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42">
                      <a:extLst>
                        <a:ext uri="{28A0092B-C50C-407E-A947-70E740481C1C}"/>
                      </a:extLst>
                    </a:blip>
                    <a:srcRect/>
                    <a:stretch>
                      <a:fillRect/>
                    </a:stretch>
                  </pic:blipFill>
                  <pic:spPr bwMode="auto">
                    <a:xfrm>
                      <a:off x="0" y="0"/>
                      <a:ext cx="4272915" cy="8255"/>
                    </a:xfrm>
                    <a:prstGeom prst="rect">
                      <a:avLst/>
                    </a:prstGeom>
                    <a:noFill/>
                  </pic:spPr>
                </pic:pic>
              </a:graphicData>
            </a:graphic>
          </wp:anchor>
        </w:drawing>
      </w:r>
    </w:p>
    <w:p>
      <w:pPr>
        <w:spacing w:after="0" w:line="5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Mark W. Stewart</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831850</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8" w:right="35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Christina L. Zamarro, certify that:</w:t>
      </w:r>
    </w:p>
    <w:p>
      <w:pPr>
        <w:spacing w:after="0" w:line="139" w:lineRule="exact"/>
        <w:rPr>
          <w:sz w:val="20"/>
          <w:szCs w:val="20"/>
          <w:color w:val="auto"/>
        </w:rPr>
      </w:pPr>
    </w:p>
    <w:p>
      <w:pPr>
        <w:ind w:left="560" w:hanging="559"/>
        <w:spacing w:after="0"/>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Goodyear Tire &amp; Rubber Company;</w:t>
      </w:r>
    </w:p>
    <w:p>
      <w:pPr>
        <w:spacing w:after="0" w:line="157" w:lineRule="exact"/>
        <w:rPr>
          <w:rFonts w:ascii="Times New Roman" w:cs="Times New Roman" w:eastAsia="Times New Roman" w:hAnsi="Times New Roman"/>
          <w:sz w:val="18"/>
          <w:szCs w:val="18"/>
          <w:color w:val="auto"/>
        </w:rPr>
      </w:pPr>
    </w:p>
    <w:p>
      <w:pPr>
        <w:jc w:val="both"/>
        <w:ind w:left="560" w:right="20" w:hanging="559"/>
        <w:spacing w:after="0" w:line="265" w:lineRule="auto"/>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560" w:right="20" w:hanging="559"/>
        <w:spacing w:after="0" w:line="281" w:lineRule="auto"/>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8"/>
          <w:szCs w:val="18"/>
          <w:color w:val="auto"/>
        </w:rPr>
      </w:pPr>
    </w:p>
    <w:p>
      <w:pPr>
        <w:jc w:val="both"/>
        <w:ind w:left="560" w:right="20" w:hanging="559"/>
        <w:spacing w:after="0" w:line="265" w:lineRule="auto"/>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8"/>
          <w:szCs w:val="18"/>
          <w:color w:val="auto"/>
        </w:rPr>
      </w:pPr>
    </w:p>
    <w:p>
      <w:pPr>
        <w:jc w:val="both"/>
        <w:ind w:left="1140" w:right="20" w:hanging="572"/>
        <w:spacing w:after="0" w:line="265" w:lineRule="auto"/>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8"/>
          <w:szCs w:val="18"/>
          <w:color w:val="auto"/>
        </w:rPr>
      </w:pPr>
    </w:p>
    <w:p>
      <w:pPr>
        <w:jc w:val="both"/>
        <w:ind w:left="1140" w:right="20" w:hanging="572"/>
        <w:spacing w:after="0" w:line="265" w:lineRule="auto"/>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ind w:left="1140" w:right="20" w:hanging="572"/>
        <w:spacing w:after="0" w:line="281" w:lineRule="auto"/>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Times New Roman" w:cs="Times New Roman" w:eastAsia="Times New Roman" w:hAnsi="Times New Roman"/>
          <w:sz w:val="18"/>
          <w:szCs w:val="18"/>
          <w:color w:val="auto"/>
        </w:rPr>
      </w:pPr>
    </w:p>
    <w:p>
      <w:pPr>
        <w:jc w:val="both"/>
        <w:ind w:left="1140" w:right="20" w:hanging="572"/>
        <w:spacing w:after="0" w:line="265" w:lineRule="auto"/>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8"/>
          <w:szCs w:val="18"/>
          <w:color w:val="auto"/>
        </w:rPr>
      </w:pPr>
    </w:p>
    <w:p>
      <w:pPr>
        <w:ind w:left="560" w:right="20" w:hanging="559"/>
        <w:spacing w:after="0" w:line="281" w:lineRule="auto"/>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8"/>
          <w:szCs w:val="18"/>
          <w:color w:val="auto"/>
        </w:rPr>
      </w:pPr>
    </w:p>
    <w:p>
      <w:pPr>
        <w:ind w:left="1140" w:right="20" w:hanging="572"/>
        <w:spacing w:after="0" w:line="281" w:lineRule="auto"/>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8"/>
          <w:szCs w:val="18"/>
          <w:color w:val="auto"/>
        </w:rPr>
      </w:pPr>
    </w:p>
    <w:p>
      <w:pPr>
        <w:ind w:left="1140" w:right="20" w:hanging="572"/>
        <w:spacing w:after="0" w:line="281" w:lineRule="auto"/>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2024</w:t>
      </w:r>
    </w:p>
    <w:p>
      <w:pPr>
        <w:spacing w:after="0" w:line="30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34290</wp:posOffset>
            </wp:positionV>
            <wp:extent cx="427291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44">
                      <a:extLst>
                        <a:ext uri="{28A0092B-C50C-407E-A947-70E740481C1C}"/>
                      </a:extLst>
                    </a:blip>
                    <a:srcRect/>
                    <a:stretch>
                      <a:fillRect/>
                    </a:stretch>
                  </pic:blipFill>
                  <pic:spPr bwMode="auto">
                    <a:xfrm>
                      <a:off x="0" y="0"/>
                      <a:ext cx="4272915" cy="8255"/>
                    </a:xfrm>
                    <a:prstGeom prst="rect">
                      <a:avLst/>
                    </a:prstGeom>
                    <a:noFill/>
                  </pic:spPr>
                </pic:pic>
              </a:graphicData>
            </a:graphic>
          </wp:anchor>
        </w:drawing>
      </w:r>
    </w:p>
    <w:p>
      <w:pPr>
        <w:spacing w:after="0" w:line="5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Christina L. Zamarro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831850</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8" w:right="339" w:bottom="1440" w:gutter="0" w:footer="0" w:header="0"/>
        </w:sectPr>
      </w:pPr>
    </w:p>
    <w:bookmarkStart w:id="140" w:name="page141"/>
    <w:bookmarkEnd w:id="140"/>
    <w:p>
      <w:pPr>
        <w:ind w:left="100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(Subsections (a) and (b) of Section 1350, Chapter 63 of Title 18, United States Code)</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each of the undersigned officers of The Goodyear Tire &amp; Rubber Company, an Ohio corporation (the “Company”), hereby certifies with respect to the Annual Report on Form 10-K of the Company for the year ended December 31, 2023 as filed with the Securities and Exchange Commission (the “10-K Report”) that to their knowledge:</w:t>
      </w:r>
    </w:p>
    <w:p>
      <w:pPr>
        <w:spacing w:after="0" w:line="177" w:lineRule="exact"/>
        <w:rPr>
          <w:sz w:val="20"/>
          <w:szCs w:val="20"/>
          <w:color w:val="auto"/>
        </w:rPr>
      </w:pPr>
    </w:p>
    <w:p>
      <w:pPr>
        <w:ind w:left="580" w:hanging="559"/>
        <w:spacing w:after="0"/>
        <w:tabs>
          <w:tab w:leader="none" w:pos="5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10-K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580" w:right="20" w:hanging="559"/>
        <w:spacing w:after="0" w:line="281" w:lineRule="auto"/>
        <w:tabs>
          <w:tab w:leader="none" w:pos="5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10-K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ind w:left="240"/>
        <w:spacing w:after="0"/>
        <w:tabs>
          <w:tab w:leader="none" w:pos="5780" w:val="left"/>
        </w:tabs>
        <w:rPr>
          <w:sz w:val="20"/>
          <w:szCs w:val="20"/>
          <w:color w:val="auto"/>
        </w:rPr>
      </w:pPr>
      <w:r>
        <w:rPr>
          <w:rFonts w:ascii="Times New Roman" w:cs="Times New Roman" w:eastAsia="Times New Roman" w:hAnsi="Times New Roman"/>
          <w:sz w:val="18"/>
          <w:szCs w:val="18"/>
          <w:color w:val="auto"/>
        </w:rPr>
        <w:t>Dated: February 13, 2024</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26035</wp:posOffset>
            </wp:positionV>
            <wp:extent cx="428117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46">
                      <a:extLst>
                        <a:ext uri="{28A0092B-C50C-407E-A947-70E740481C1C}"/>
                      </a:extLst>
                    </a:blip>
                    <a:srcRect/>
                    <a:stretch>
                      <a:fillRect/>
                    </a:stretch>
                  </pic:blipFill>
                  <pic:spPr bwMode="auto">
                    <a:xfrm>
                      <a:off x="0" y="0"/>
                      <a:ext cx="4281170" cy="8255"/>
                    </a:xfrm>
                    <a:prstGeom prst="rect">
                      <a:avLst/>
                    </a:prstGeom>
                    <a:noFill/>
                  </pic:spPr>
                </pic:pic>
              </a:graphicData>
            </a:graphic>
          </wp:anchor>
        </w:drawing>
      </w:r>
    </w:p>
    <w:p>
      <w:pPr>
        <w:spacing w:after="0" w:line="2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Mark W. Stewart</w:t>
      </w:r>
    </w:p>
    <w:p>
      <w:pPr>
        <w:spacing w:after="0" w:line="3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3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40"/>
        <w:spacing w:after="0"/>
        <w:tabs>
          <w:tab w:leader="none" w:pos="5600" w:val="left"/>
        </w:tabs>
        <w:rPr>
          <w:sz w:val="20"/>
          <w:szCs w:val="20"/>
          <w:color w:val="auto"/>
        </w:rPr>
      </w:pPr>
      <w:r>
        <w:rPr>
          <w:rFonts w:ascii="Times New Roman" w:cs="Times New Roman" w:eastAsia="Times New Roman" w:hAnsi="Times New Roman"/>
          <w:sz w:val="18"/>
          <w:szCs w:val="18"/>
          <w:color w:val="auto"/>
        </w:rPr>
        <w:t>Dated: February 13, 2024</w:t>
      </w:r>
      <w:r>
        <w:rPr>
          <w:sz w:val="20"/>
          <w:szCs w:val="20"/>
          <w:color w:val="auto"/>
        </w:rPr>
        <w:tab/>
      </w: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26035</wp:posOffset>
            </wp:positionV>
            <wp:extent cx="428117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47">
                      <a:extLst>
                        <a:ext uri="{28A0092B-C50C-407E-A947-70E740481C1C}"/>
                      </a:extLst>
                    </a:blip>
                    <a:srcRect/>
                    <a:stretch>
                      <a:fillRect/>
                    </a:stretch>
                  </pic:blipFill>
                  <pic:spPr bwMode="auto">
                    <a:xfrm>
                      <a:off x="0" y="0"/>
                      <a:ext cx="4281170" cy="8255"/>
                    </a:xfrm>
                    <a:prstGeom prst="rect">
                      <a:avLst/>
                    </a:prstGeom>
                    <a:noFill/>
                  </pic:spPr>
                </pic:pic>
              </a:graphicData>
            </a:graphic>
          </wp:anchor>
        </w:drawing>
      </w:r>
    </w:p>
    <w:p>
      <w:pPr>
        <w:spacing w:after="0" w:line="2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Christina L. Zamarro</w:t>
      </w:r>
    </w:p>
    <w:p>
      <w:pPr>
        <w:spacing w:after="0" w:line="3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835025</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Policy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Human Capital and Compensation Committee of the Board of Directors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will require reimbursement or forfeiture, reasonably promptly, of any excess Incentive Compensation received by any Covered Officer during the three completed fiscal years immediately preceding the date on which the Company is required to prepare an accounting restatement. This Policy is designed to comply with Section 10D-1 of the Securities Exchange Act of 1934 and Rule 5608 of the Nasdaq listing standards.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Incentive Compensation: Amount Subject to Recovery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to be recovered will be the excess of the Incentive Compensation paid to the Covered Officer based on the erroneous data over the Incentive Compensation that would have been paid to the Covered Officer had it been determined based on the restated amounts, computed without regard to any taxes paid by the Covered Officer, as determined by the Committee. If the Committee cannot determine the amount of excess Incentive Compensation received by the Covered Officer directly from the information in the accounting restatement, then it will make its own determination based on a reasonable estimate of the effect of the accounting restatement.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 of Recoupment</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Committee will determine, in its sole discretion, the method for recouping Incentive Compensation hereunder which may include, without limitation, requiring reimbursement of compensation paid; seeking recovery of any gain realized on the vesting, exercise, sale, settlement, transfer or other disposition of equity-based awards; offsetting amounts from compensation otherwise owed; and/or cancelling outstanding vested or unvested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shall be applicable to all Incentive Compensation received on or after October 2,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Officers</w:t>
      </w:r>
      <w:r>
        <w:rPr>
          <w:rFonts w:ascii="Times New Roman" w:cs="Times New Roman" w:eastAsia="Times New Roman" w:hAnsi="Times New Roman"/>
          <w:sz w:val="18"/>
          <w:szCs w:val="18"/>
          <w:color w:val="auto"/>
        </w:rPr>
        <w:t>” means the Company’s current and former president, principal financial officer, principal accounting officer, any vice-president in charge of a principal business unit, division or function, any other officer who performs a policy-making function, and any other person (including executive officers of a parent or subsidiary) who performs similar policy-making functions.</w:t>
      </w:r>
    </w:p>
    <w:p>
      <w:pPr>
        <w:spacing w:after="0" w:line="1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For purposes of this Policy, “</w:t>
      </w:r>
      <w:r>
        <w:rPr>
          <w:rFonts w:ascii="Times New Roman" w:cs="Times New Roman" w:eastAsia="Times New Roman" w:hAnsi="Times New Roman"/>
          <w:sz w:val="18"/>
          <w:szCs w:val="18"/>
          <w:b w:val="1"/>
          <w:bCs w:val="1"/>
          <w:color w:val="auto"/>
        </w:rPr>
        <w:t>Incentive Compensation</w:t>
      </w:r>
      <w:r>
        <w:rPr>
          <w:rFonts w:ascii="Times New Roman" w:cs="Times New Roman" w:eastAsia="Times New Roman" w:hAnsi="Times New Roman"/>
          <w:sz w:val="18"/>
          <w:szCs w:val="18"/>
          <w:color w:val="auto"/>
        </w:rPr>
        <w:t>” means any compensation granted, earned or vested based wholly or in part on the attainment of a financial reporting measure. This includes, without limitation:</w:t>
      </w:r>
    </w:p>
    <w:p>
      <w:pPr>
        <w:spacing w:after="0" w:line="266" w:lineRule="exact"/>
        <w:rPr>
          <w:sz w:val="20"/>
          <w:szCs w:val="20"/>
          <w:color w:val="auto"/>
        </w:rPr>
      </w:pPr>
    </w:p>
    <w:p>
      <w:pPr>
        <w:ind w:left="1020" w:hanging="504"/>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bonuses (including grants under the Executive Annual Incentive Plan) and other short- and long-term cash incentives;</w:t>
      </w:r>
    </w:p>
    <w:p>
      <w:pPr>
        <w:spacing w:after="0" w:line="33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 units, executive performance units, or similar stock- or cash-based awards;</w:t>
      </w:r>
    </w:p>
    <w:p>
      <w:pPr>
        <w:spacing w:after="0" w:line="33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deferred compensation plans, the value of which is dependent on other Incentive Compensation; and</w:t>
      </w:r>
    </w:p>
    <w:p>
      <w:pPr>
        <w:spacing w:after="0" w:line="332"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sale of shares acquired through an incentive plan that were granted or vested solely or in part on satisfying a financial reporting measure.</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42" w:name="page143"/>
    <w:bookmarkEnd w:id="142"/>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measures</w:t>
      </w:r>
      <w:r>
        <w:rPr>
          <w:rFonts w:ascii="Times New Roman" w:cs="Times New Roman" w:eastAsia="Times New Roman" w:hAnsi="Times New Roman"/>
          <w:sz w:val="18"/>
          <w:szCs w:val="18"/>
          <w:color w:val="auto"/>
        </w:rPr>
        <w:t>” are any measure that is determined and presented in accordance with accounting principles used in preparing financial statements, or any measure derived wholly or in part from such measures, such as EBIT, net income, stock price or total shareholder return (TSR).</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Incentive Compensation is deemed “</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in the fiscal period during which the financial reporting measure specified in the Incentive Compensation award is attained, even if the grant or payout occurs after the end of the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Exclusions</w:t>
      </w:r>
    </w:p>
    <w:p>
      <w:pPr>
        <w:spacing w:after="0" w:line="229"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This Policy does not apply to Incentive Compensation received by an individual before beginning service as a Covered Officer or to individuals who did not serve as a Covered Officer at any time during the three-year recovery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Indemnification or Reimbursement</w:t>
      </w:r>
    </w:p>
    <w:p>
      <w:pPr>
        <w:spacing w:after="0" w:line="22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shall not indemnify any Covered Officer against the loss of any excess Incentive Compensation, or pay or reimburse any Covered Officer for premiums incurred or paid for any insurance policy to fund such Covered Officer’s potential recoupment obligations.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Recoupment Rights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Committee may, in its discretion, require reimbursement from a Covered Officer for any costs and expenses incurred in connection with enforcing the Company’s rights to recoupment under this Policy. The Committee may require that any employment agreement, equity award agreement or similar agreement entered into on or after the Effective Date shall, as a condition to the grant of any benefit thereunder, require a Covered Officer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Without limiting the foregoing, in the event of misconduct by an elected officer resulting in a violation of law or Company policy that causes significant financial or reputational harm to the Company, including an accounting restatement due to the material noncompliance of the Company, as a result of misconduct, with any financial reporting requirement under the securities laws, the Committee may, in its discretion, require reimbursement of amounts in addition to any excess Incentive Compensation received, including:</w:t>
      </w:r>
    </w:p>
    <w:p>
      <w:pPr>
        <w:spacing w:after="0" w:line="74" w:lineRule="exact"/>
        <w:rPr>
          <w:sz w:val="20"/>
          <w:szCs w:val="20"/>
          <w:color w:val="auto"/>
        </w:rPr>
      </w:pPr>
    </w:p>
    <w:p>
      <w:pPr>
        <w:jc w:val="both"/>
        <w:ind w:left="1020" w:hanging="504"/>
        <w:spacing w:after="0" w:line="258" w:lineRule="auto"/>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bonus or other incentive-based or equity-based compensation received by that officer from the Company, regardless of whether based wholly or in part on the attainment of a financial reporting measure, during the period following the date of the misconduct and, in the case of an accounting restatement due to the material noncompliance of the Company, as a result of misconduct, with any financial reporting requirement under the securities laws, during the 1-year period following the date of the publication of such materially noncompliant financial statements; and</w:t>
      </w:r>
    </w:p>
    <w:p>
      <w:pPr>
        <w:spacing w:after="0" w:line="7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profits realized from the sale of securities of the Company during such periods.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Impracticability</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Committee shall recover any excess Incentive Compensation in accordance with this Policy unless such recovery would be impracticable, as determined by the Committee in accordance with Rule 10D-1 of the Securities Exchange Act of 1934 and the listing standards of the national securities exchange on which the Company's securities are then listed.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Successors</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Officers and their beneficiaries, heirs, executors, administrators or other legal representatives.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Committee shall administer the Policy. Subject to the provisions of the Policy and applicable law, the Committee shall have the sole and plenary authority to make any determination and take any other action that it in good faith deems necessary or advisable for the administration of the Policy, including, without limitation, determining the amount subject to recovery and</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43" w:name="page144"/>
    <w:bookmarkEnd w:id="143"/>
    <w:p>
      <w:pPr>
        <w:spacing w:after="0" w:line="281" w:lineRule="auto"/>
        <w:rPr>
          <w:sz w:val="20"/>
          <w:szCs w:val="20"/>
          <w:color w:val="auto"/>
        </w:rPr>
      </w:pPr>
      <w:r>
        <w:rPr>
          <w:rFonts w:ascii="Times New Roman" w:cs="Times New Roman" w:eastAsia="Times New Roman" w:hAnsi="Times New Roman"/>
          <w:sz w:val="18"/>
          <w:szCs w:val="18"/>
          <w:color w:val="auto"/>
        </w:rPr>
        <w:t>the method of recoupment. All determinations, interpretations and other decisions under or with respect to the Policy shall be within the sole discretion of the Committee, may be made at any time, and shall be final, conclusive and binding upon all interested individuals or entities.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44" w:name="page145"/>
    <w:bookmarkEnd w:id="1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1)"/>
      <w:numFmt w:val="decimal"/>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1)"/>
      <w:numFmt w:val="decimal"/>
      <w:start w:val="1"/>
    </w:lvl>
  </w:abstractNum>
  <w:abstractNum w:abstractNumId="17">
    <w:nsid w:val="684A481A"/>
    <w:multiLevelType w:val="hybridMultilevel"/>
    <w:lvl w:ilvl="0">
      <w:lvlJc w:val="left"/>
      <w:lvlText w:val="(%1)"/>
      <w:numFmt w:val="decimal"/>
      <w:start w:val="2"/>
    </w:lvl>
  </w:abstractNum>
  <w:abstractNum w:abstractNumId="18">
    <w:nsid w:val="579478FE"/>
    <w:multiLevelType w:val="hybridMultilevel"/>
    <w:lvl w:ilvl="0">
      <w:lvlJc w:val="left"/>
      <w:lvlText w:val="(%1)"/>
      <w:numFmt w:val="decimal"/>
      <w:start w:val="1"/>
    </w:lvl>
    <w:lvl w:ilvl="1">
      <w:lvlJc w:val="left"/>
      <w:lvlText w:val="•"/>
      <w:numFmt w:val="bullet"/>
      <w:start w:val="1"/>
    </w:lvl>
  </w:abstractNum>
  <w:abstractNum w:abstractNumId="19">
    <w:nsid w:val="749ABB43"/>
    <w:multiLevelType w:val="hybridMultilevel"/>
    <w:lvl w:ilvl="0">
      <w:lvlJc w:val="left"/>
      <w:lvlText w:val="(%1)"/>
      <w:numFmt w:val="decimal"/>
      <w:start w:val="9"/>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1)"/>
      <w:numFmt w:val="lowerRoman"/>
      <w:start w:val="2"/>
    </w:lvl>
  </w:abstractNum>
  <w:abstractNum w:abstractNumId="27">
    <w:nsid w:val="374A3FE6"/>
    <w:multiLevelType w:val="hybridMultilevel"/>
    <w:lvl w:ilvl="0">
      <w:lvlJc w:val="left"/>
      <w:lvlText w:val="(%1)"/>
      <w:numFmt w:val="lowerRoman"/>
      <w:start w:val="2"/>
    </w:lvl>
  </w:abstractNum>
  <w:abstractNum w:abstractNumId="28">
    <w:nsid w:val="4F4EF005"/>
    <w:multiLevelType w:val="hybridMultilevel"/>
    <w:lvl w:ilvl="0">
      <w:lvlJc w:val="left"/>
      <w:lvlText w:val="(%1)"/>
      <w:numFmt w:val="lowerRoman"/>
      <w:start w:val="3"/>
    </w:lvl>
  </w:abstractNum>
  <w:abstractNum w:abstractNumId="29">
    <w:nsid w:val="23F9C13C"/>
    <w:multiLevelType w:val="hybridMultilevel"/>
    <w:lvl w:ilvl="0">
      <w:lvlJc w:val="left"/>
      <w:lvlText w:val="(%1)"/>
      <w:numFmt w:val="lowerRoman"/>
      <w:start w:val="3"/>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1)"/>
      <w:numFmt w:val="lowerRoman"/>
      <w:start w:val="1"/>
    </w:lvl>
  </w:abstractNum>
  <w:abstractNum w:abstractNumId="34">
    <w:nsid w:val="180115BE"/>
    <w:multiLevelType w:val="hybridMultilevel"/>
    <w:lvl w:ilvl="0">
      <w:lvlJc w:val="left"/>
      <w:lvlText w:val="(%1)"/>
      <w:numFmt w:val="decimal"/>
      <w:start w:val="1"/>
    </w:lvl>
  </w:abstractNum>
  <w:abstractNum w:abstractNumId="35">
    <w:nsid w:val="235BA861"/>
    <w:multiLevelType w:val="hybridMultilevel"/>
    <w:lvl w:ilvl="0">
      <w:lvlJc w:val="left"/>
      <w:lvlText w:val="(%1)"/>
      <w:numFmt w:val="decimal"/>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1)"/>
      <w:numFmt w:val="decimal"/>
      <w:start w:val="1"/>
    </w:lvl>
  </w:abstractNum>
  <w:abstractNum w:abstractNumId="38">
    <w:nsid w:val="15B5AF5C"/>
    <w:multiLevelType w:val="hybridMultilevel"/>
    <w:lvl w:ilvl="0">
      <w:lvlJc w:val="left"/>
      <w:lvlText w:val="(%1)"/>
      <w:numFmt w:val="decimal"/>
      <w:start w:val="1"/>
    </w:lvl>
  </w:abstractNum>
  <w:abstractNum w:abstractNumId="39">
    <w:nsid w:val="741226BB"/>
    <w:multiLevelType w:val="hybridMultilevel"/>
    <w:lvl w:ilvl="0">
      <w:lvlJc w:val="left"/>
      <w:lvlText w:val="(%1)"/>
      <w:numFmt w:val="decimal"/>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1)"/>
      <w:numFmt w:val="lowerRoman"/>
      <w:start w:val="5"/>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1)"/>
      <w:numFmt w:val="decimal"/>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1)"/>
      <w:numFmt w:val="decimal"/>
      <w:start w:val="1"/>
    </w:lvl>
  </w:abstractNum>
  <w:abstractNum w:abstractNumId="46">
    <w:nsid w:val="579BE4F1"/>
    <w:multiLevelType w:val="hybridMultilevel"/>
    <w:lvl w:ilvl="0">
      <w:lvlJc w:val="left"/>
      <w:lvlText w:val="(%1)"/>
      <w:numFmt w:val="decimal"/>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1)"/>
      <w:numFmt w:val="decimal"/>
      <w:start w:val="1"/>
    </w:lvl>
  </w:abstractNum>
  <w:abstractNum w:abstractNumId="49">
    <w:nsid w:val="2F305DEF"/>
    <w:multiLevelType w:val="hybridMultilevel"/>
    <w:lvl w:ilvl="0">
      <w:lvlJc w:val="left"/>
      <w:lvlText w:val="(%1)"/>
      <w:numFmt w:val="lowerLetter"/>
      <w:start w:val="1"/>
    </w:lvl>
  </w:abstractNum>
  <w:abstractNum w:abstractNumId="50">
    <w:nsid w:val="25A70BF7"/>
    <w:multiLevelType w:val="hybridMultilevel"/>
    <w:lvl w:ilvl="0">
      <w:lvlJc w:val="left"/>
      <w:lvlText w:val="2"/>
      <w:numFmt w:val="bullet"/>
      <w:start w:val="1"/>
    </w:lvl>
  </w:abstractNum>
  <w:abstractNum w:abstractNumId="51">
    <w:nsid w:val="1DBABF00"/>
    <w:multiLevelType w:val="hybridMultilevel"/>
    <w:lvl w:ilvl="0">
      <w:lvlJc w:val="left"/>
      <w:lvlText w:val="(%1)"/>
      <w:numFmt w:val="lowerLetter"/>
      <w:start w:val="1"/>
    </w:lvl>
  </w:abstractNum>
  <w:abstractNum w:abstractNumId="52">
    <w:nsid w:val="4AD084E9"/>
    <w:multiLevelType w:val="hybridMultilevel"/>
    <w:lvl w:ilvl="0">
      <w:lvlJc w:val="left"/>
      <w:lvlText w:val="3"/>
      <w:numFmt w:val="bullet"/>
      <w:start w:val="1"/>
    </w:lvl>
  </w:abstractNum>
  <w:abstractNum w:abstractNumId="53">
    <w:nsid w:val="1F48EAA1"/>
    <w:multiLevelType w:val="hybridMultilevel"/>
    <w:lvl w:ilvl="0">
      <w:lvlJc w:val="left"/>
      <w:lvlText w:val="(%1)"/>
      <w:numFmt w:val="lowerLetter"/>
      <w:start w:val="1"/>
    </w:lvl>
  </w:abstractNum>
  <w:abstractNum w:abstractNumId="54">
    <w:nsid w:val="1381823A"/>
    <w:multiLevelType w:val="hybridMultilevel"/>
    <w:lvl w:ilvl="0">
      <w:lvlJc w:val="left"/>
      <w:lvlText w:val="4"/>
      <w:numFmt w:val="bullet"/>
      <w:start w:val="1"/>
    </w:lvl>
  </w:abstractNum>
  <w:abstractNum w:abstractNumId="55">
    <w:nsid w:val="5DB70AE5"/>
    <w:multiLevelType w:val="hybridMultilevel"/>
    <w:lvl w:ilvl="0">
      <w:lvlJc w:val="left"/>
      <w:lvlText w:val="(%1)"/>
      <w:numFmt w:val="lowerLetter"/>
      <w:start w:val="1"/>
    </w:lvl>
  </w:abstractNum>
  <w:abstractNum w:abstractNumId="56">
    <w:nsid w:val="100F8FCA"/>
    <w:multiLevelType w:val="hybridMultilevel"/>
    <w:lvl w:ilvl="0">
      <w:lvlJc w:val="left"/>
      <w:lvlText w:val="(%1)"/>
      <w:numFmt w:val="lowerLetter"/>
      <w:start w:val="6"/>
    </w:lvl>
  </w:abstractNum>
  <w:abstractNum w:abstractNumId="57">
    <w:nsid w:val="6590700B"/>
    <w:multiLevelType w:val="hybridMultilevel"/>
    <w:lvl w:ilvl="0">
      <w:lvlJc w:val="left"/>
      <w:lvlText w:val="%1"/>
      <w:numFmt w:val="decimal"/>
      <w:start w:val="10"/>
    </w:lvl>
  </w:abstractNum>
  <w:abstractNum w:abstractNumId="58">
    <w:nsid w:val="15014ACB"/>
    <w:multiLevelType w:val="hybridMultilevel"/>
    <w:lvl w:ilvl="0">
      <w:lvlJc w:val="left"/>
      <w:lvlText w:val="(%1)"/>
      <w:numFmt w:val="lowerLetter"/>
      <w:start w:val="1"/>
    </w:lvl>
  </w:abstractNum>
  <w:abstractNum w:abstractNumId="59">
    <w:nsid w:val="5F5E7FD0"/>
    <w:multiLevelType w:val="hybridMultilevel"/>
    <w:lvl w:ilvl="0">
      <w:lvlJc w:val="left"/>
      <w:lvlText w:val="(%1)"/>
      <w:numFmt w:val="lowerLetter"/>
      <w:start w:val="2"/>
    </w:lvl>
  </w:abstractNum>
  <w:abstractNum w:abstractNumId="60">
    <w:nsid w:val="98A3148"/>
    <w:multiLevelType w:val="hybridMultilevel"/>
    <w:lvl w:ilvl="0">
      <w:lvlJc w:val="left"/>
      <w:lvlText w:val="(%1)"/>
      <w:numFmt w:val="lowerLetter"/>
      <w:start w:val="6"/>
    </w:lvl>
  </w:abstractNum>
  <w:abstractNum w:abstractNumId="61">
    <w:nsid w:val="799D0247"/>
    <w:multiLevelType w:val="hybridMultilevel"/>
    <w:lvl w:ilvl="0">
      <w:lvlJc w:val="left"/>
      <w:lvlText w:val="(%1)"/>
      <w:numFmt w:val="lowerLetter"/>
      <w:start w:val="29"/>
    </w:lvl>
  </w:abstractNum>
  <w:abstractNum w:abstractNumId="62">
    <w:nsid w:val="6B94764"/>
    <w:multiLevelType w:val="hybridMultilevel"/>
    <w:lvl w:ilvl="0">
      <w:lvlJc w:val="left"/>
      <w:lvlText w:val="%1"/>
      <w:numFmt w:val="decimal"/>
      <w:start w:val="21"/>
    </w:lvl>
  </w:abstractNum>
  <w:abstractNum w:abstractNumId="63">
    <w:nsid w:val="42C296BD"/>
    <w:multiLevelType w:val="hybridMultilevel"/>
    <w:lvl w:ilvl="0">
      <w:lvlJc w:val="left"/>
      <w:lvlText w:val="%1"/>
      <w:numFmt w:val="decimal"/>
      <w:start w:val="22"/>
    </w:lvl>
  </w:abstractNum>
  <w:abstractNum w:abstractNumId="64">
    <w:nsid w:val="168E121F"/>
    <w:multiLevelType w:val="hybridMultilevel"/>
    <w:lvl w:ilvl="0">
      <w:lvlJc w:val="left"/>
      <w:lvlText w:val="%1"/>
      <w:numFmt w:val="decimal"/>
      <w:start w:val="23"/>
    </w:lvl>
  </w:abstractNum>
  <w:abstractNum w:abstractNumId="65">
    <w:nsid w:val="1EBA5D23"/>
    <w:multiLevelType w:val="hybridMultilevel"/>
    <w:lvl w:ilvl="0">
      <w:lvlJc w:val="left"/>
      <w:lvlText w:val="%1"/>
      <w:numFmt w:val="decimal"/>
      <w:start w:val="24"/>
    </w:lvl>
  </w:abstractNum>
  <w:abstractNum w:abstractNumId="66">
    <w:nsid w:val="661E3F1E"/>
    <w:multiLevelType w:val="hybridMultilevel"/>
    <w:lvl w:ilvl="0">
      <w:lvlJc w:val="left"/>
      <w:lvlText w:val="%1"/>
      <w:numFmt w:val="decimal"/>
      <w:start w:val="31"/>
    </w:lvl>
  </w:abstractNum>
  <w:abstractNum w:abstractNumId="67">
    <w:nsid w:val="5DC79EA8"/>
    <w:multiLevelType w:val="hybridMultilevel"/>
    <w:lvl w:ilvl="0">
      <w:lvlJc w:val="left"/>
      <w:lvlText w:val="%1"/>
      <w:numFmt w:val="decimal"/>
      <w:start w:val="32"/>
    </w:lvl>
  </w:abstractNum>
  <w:abstractNum w:abstractNumId="68">
    <w:nsid w:val="540A471C"/>
    <w:multiLevelType w:val="hybridMultilevel"/>
    <w:lvl w:ilvl="0">
      <w:lvlJc w:val="left"/>
      <w:lvlText w:val="%1"/>
      <w:numFmt w:val="decimal"/>
      <w:start w:val="97"/>
    </w:lvl>
  </w:abstractNum>
  <w:abstractNum w:abstractNumId="69">
    <w:nsid w:val="7BD3EE7B"/>
    <w:multiLevelType w:val="hybridMultilevel"/>
    <w:lvl w:ilvl="0">
      <w:lvlJc w:val="left"/>
      <w:lvlText w:val="*"/>
      <w:numFmt w:val="bullet"/>
      <w:start w:val="1"/>
    </w:lvl>
    <w:lvl w:ilvl="1">
      <w:lvlJc w:val="left"/>
      <w:lvlText w:val="%2"/>
      <w:numFmt w:val="decimal"/>
      <w:start w:val="104"/>
    </w:lvl>
  </w:abstractNum>
  <w:abstractNum w:abstractNumId="70">
    <w:nsid w:val="51D9C564"/>
    <w:multiLevelType w:val="hybridMultilevel"/>
    <w:lvl w:ilvl="0">
      <w:lvlJc w:val="left"/>
      <w:lvlText w:val="**"/>
      <w:numFmt w:val="bullet"/>
      <w:start w:val="1"/>
    </w:lvl>
    <w:lvl w:ilvl="1">
      <w:lvlJc w:val="left"/>
      <w:lvlText w:val="%2"/>
      <w:numFmt w:val="decimal"/>
      <w:start w:val="1"/>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
      <w:numFmt w:val="bullet"/>
      <w:start w:val="1"/>
    </w:lvl>
  </w:abstractNum>
  <w:abstractNum w:abstractNumId="73">
    <w:nsid w:val="11447B73"/>
    <w:multiLevelType w:val="hybridMultilevel"/>
    <w:lvl w:ilvl="0">
      <w:lvlJc w:val="left"/>
      <w:lvlText w:val="•"/>
      <w:numFmt w:val="bullet"/>
      <w:start w:val="1"/>
    </w:lvl>
  </w:abstractNum>
  <w:abstractNum w:abstractNumId="74">
    <w:nsid w:val="42963E5A"/>
    <w:multiLevelType w:val="hybridMultilevel"/>
    <w:lvl w:ilvl="0">
      <w:lvlJc w:val="left"/>
      <w:lvlText w:val="(%1)"/>
      <w:numFmt w:val="decimal"/>
      <w:start w:val="1"/>
    </w:lvl>
  </w:abstractNum>
  <w:abstractNum w:abstractNumId="75">
    <w:nsid w:val="A0382C5"/>
    <w:multiLevelType w:val="hybridMultilevel"/>
    <w:lvl w:ilvl="0">
      <w:lvlJc w:val="left"/>
      <w:lvlText w:val="%1."/>
      <w:numFmt w:val="decimal"/>
      <w:start w:val="1"/>
    </w:lvl>
    <w:lvl w:ilvl="1">
      <w:lvlJc w:val="left"/>
      <w:lvlText w:val="%2)"/>
      <w:numFmt w:val="lowerLetter"/>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8" Type="http://schemas.openxmlformats.org/officeDocument/2006/relationships/image" Target="media/image640.png"/><Relationship Id="rId649" Type="http://schemas.openxmlformats.org/officeDocument/2006/relationships/image" Target="media/image641.png"/><Relationship Id="rId650" Type="http://schemas.openxmlformats.org/officeDocument/2006/relationships/image" Target="media/image642.png"/><Relationship Id="rId653" Type="http://schemas.openxmlformats.org/officeDocument/2006/relationships/image" Target="media/image643.png"/><Relationship Id="rId654" Type="http://schemas.openxmlformats.org/officeDocument/2006/relationships/image" Target="media/image644.png"/><Relationship Id="rId655" Type="http://schemas.openxmlformats.org/officeDocument/2006/relationships/image" Target="media/image645.png"/><Relationship Id="rId656" Type="http://schemas.openxmlformats.org/officeDocument/2006/relationships/image" Target="media/image646.png"/><Relationship Id="rId657" Type="http://schemas.openxmlformats.org/officeDocument/2006/relationships/image" Target="media/image647.png"/><Relationship Id="rId658" Type="http://schemas.openxmlformats.org/officeDocument/2006/relationships/image" Target="media/image648.png"/><Relationship Id="rId659" Type="http://schemas.openxmlformats.org/officeDocument/2006/relationships/image" Target="media/image649.png"/><Relationship Id="rId660" Type="http://schemas.openxmlformats.org/officeDocument/2006/relationships/image" Target="media/image650.png"/><Relationship Id="rId661" Type="http://schemas.openxmlformats.org/officeDocument/2006/relationships/image" Target="media/image651.png"/><Relationship Id="rId662" Type="http://schemas.openxmlformats.org/officeDocument/2006/relationships/image" Target="media/image652.png"/><Relationship Id="rId663" Type="http://schemas.openxmlformats.org/officeDocument/2006/relationships/image" Target="media/image653.png"/><Relationship Id="rId664" Type="http://schemas.openxmlformats.org/officeDocument/2006/relationships/image" Target="media/image654.png"/><Relationship Id="rId672" Type="http://schemas.openxmlformats.org/officeDocument/2006/relationships/image" Target="media/image655.png"/><Relationship Id="rId673" Type="http://schemas.openxmlformats.org/officeDocument/2006/relationships/image" Target="media/image656.png"/><Relationship Id="rId674" Type="http://schemas.openxmlformats.org/officeDocument/2006/relationships/image" Target="media/image657.png"/><Relationship Id="rId675" Type="http://schemas.openxmlformats.org/officeDocument/2006/relationships/image" Target="media/image658.png"/><Relationship Id="rId676" Type="http://schemas.openxmlformats.org/officeDocument/2006/relationships/image" Target="media/image659.png"/><Relationship Id="rId677" Type="http://schemas.openxmlformats.org/officeDocument/2006/relationships/image" Target="media/image660.png"/><Relationship Id="rId678" Type="http://schemas.openxmlformats.org/officeDocument/2006/relationships/image" Target="media/image661.png"/><Relationship Id="rId679" Type="http://schemas.openxmlformats.org/officeDocument/2006/relationships/image" Target="media/image662.png"/><Relationship Id="rId680" Type="http://schemas.openxmlformats.org/officeDocument/2006/relationships/image" Target="media/image663.png"/><Relationship Id="rId681" Type="http://schemas.openxmlformats.org/officeDocument/2006/relationships/image" Target="media/image664.png"/><Relationship Id="rId682" Type="http://schemas.openxmlformats.org/officeDocument/2006/relationships/image" Target="media/image665.png"/><Relationship Id="rId683" Type="http://schemas.openxmlformats.org/officeDocument/2006/relationships/image" Target="media/image666.png"/><Relationship Id="rId684" Type="http://schemas.openxmlformats.org/officeDocument/2006/relationships/image" Target="media/image667.png"/><Relationship Id="rId685" Type="http://schemas.openxmlformats.org/officeDocument/2006/relationships/image" Target="media/image668.png"/><Relationship Id="rId686" Type="http://schemas.openxmlformats.org/officeDocument/2006/relationships/image" Target="media/image669.png"/><Relationship Id="rId687" Type="http://schemas.openxmlformats.org/officeDocument/2006/relationships/image" Target="media/image670.png"/><Relationship Id="rId688" Type="http://schemas.openxmlformats.org/officeDocument/2006/relationships/image" Target="media/image671.png"/><Relationship Id="rId689" Type="http://schemas.openxmlformats.org/officeDocument/2006/relationships/image" Target="media/image672.png"/><Relationship Id="rId690" Type="http://schemas.openxmlformats.org/officeDocument/2006/relationships/image" Target="media/image673.png"/><Relationship Id="rId691" Type="http://schemas.openxmlformats.org/officeDocument/2006/relationships/image" Target="media/image674.png"/><Relationship Id="rId692" Type="http://schemas.openxmlformats.org/officeDocument/2006/relationships/image" Target="media/image675.png"/><Relationship Id="rId698" Type="http://schemas.openxmlformats.org/officeDocument/2006/relationships/image" Target="media/image676.png"/><Relationship Id="rId699" Type="http://schemas.openxmlformats.org/officeDocument/2006/relationships/image" Target="media/image677.png"/><Relationship Id="rId700" Type="http://schemas.openxmlformats.org/officeDocument/2006/relationships/image" Target="media/image678.png"/><Relationship Id="rId701" Type="http://schemas.openxmlformats.org/officeDocument/2006/relationships/image" Target="media/image679.png"/><Relationship Id="rId702" Type="http://schemas.openxmlformats.org/officeDocument/2006/relationships/image" Target="media/image680.png"/><Relationship Id="rId703" Type="http://schemas.openxmlformats.org/officeDocument/2006/relationships/image" Target="media/image681.png"/><Relationship Id="rId704" Type="http://schemas.openxmlformats.org/officeDocument/2006/relationships/image" Target="media/image682.png"/><Relationship Id="rId705" Type="http://schemas.openxmlformats.org/officeDocument/2006/relationships/image" Target="media/image683.png"/><Relationship Id="rId706" Type="http://schemas.openxmlformats.org/officeDocument/2006/relationships/image" Target="media/image684.png"/><Relationship Id="rId707" Type="http://schemas.openxmlformats.org/officeDocument/2006/relationships/image" Target="media/image685.png"/><Relationship Id="rId708" Type="http://schemas.openxmlformats.org/officeDocument/2006/relationships/image" Target="media/image686.png"/><Relationship Id="rId709" Type="http://schemas.openxmlformats.org/officeDocument/2006/relationships/image" Target="media/image687.png"/><Relationship Id="rId711" Type="http://schemas.openxmlformats.org/officeDocument/2006/relationships/image" Target="media/image688.png"/><Relationship Id="rId712" Type="http://schemas.openxmlformats.org/officeDocument/2006/relationships/image" Target="media/image689.png"/><Relationship Id="rId713" Type="http://schemas.openxmlformats.org/officeDocument/2006/relationships/image" Target="media/image690.png"/><Relationship Id="rId714" Type="http://schemas.openxmlformats.org/officeDocument/2006/relationships/image" Target="media/image691.png"/><Relationship Id="rId715" Type="http://schemas.openxmlformats.org/officeDocument/2006/relationships/image" Target="media/image692.png"/><Relationship Id="rId716" Type="http://schemas.openxmlformats.org/officeDocument/2006/relationships/image" Target="media/image693.png"/><Relationship Id="rId718" Type="http://schemas.openxmlformats.org/officeDocument/2006/relationships/image" Target="media/image694.png"/><Relationship Id="rId719" Type="http://schemas.openxmlformats.org/officeDocument/2006/relationships/image" Target="media/image695.png"/><Relationship Id="rId720" Type="http://schemas.openxmlformats.org/officeDocument/2006/relationships/image" Target="media/image696.png"/><Relationship Id="rId721" Type="http://schemas.openxmlformats.org/officeDocument/2006/relationships/image" Target="media/image697.png"/><Relationship Id="rId722" Type="http://schemas.openxmlformats.org/officeDocument/2006/relationships/image" Target="media/image698.png"/><Relationship Id="rId723" Type="http://schemas.openxmlformats.org/officeDocument/2006/relationships/image" Target="media/image699.png"/><Relationship Id="rId733" Type="http://schemas.openxmlformats.org/officeDocument/2006/relationships/image" Target="media/image700.png"/><Relationship Id="rId734" Type="http://schemas.openxmlformats.org/officeDocument/2006/relationships/image" Target="media/image701.png"/><Relationship Id="rId735" Type="http://schemas.openxmlformats.org/officeDocument/2006/relationships/image" Target="media/image702.png"/><Relationship Id="rId736" Type="http://schemas.openxmlformats.org/officeDocument/2006/relationships/image" Target="media/image703.png"/><Relationship Id="rId737" Type="http://schemas.openxmlformats.org/officeDocument/2006/relationships/image" Target="media/image704.png"/><Relationship Id="rId738" Type="http://schemas.openxmlformats.org/officeDocument/2006/relationships/image" Target="media/image705.png"/><Relationship Id="rId739" Type="http://schemas.openxmlformats.org/officeDocument/2006/relationships/image" Target="media/image706.png"/><Relationship Id="rId740" Type="http://schemas.openxmlformats.org/officeDocument/2006/relationships/image" Target="media/image707.png"/><Relationship Id="rId741" Type="http://schemas.openxmlformats.org/officeDocument/2006/relationships/image" Target="media/image708.png"/><Relationship Id="rId742" Type="http://schemas.openxmlformats.org/officeDocument/2006/relationships/image" Target="media/image709.png"/><Relationship Id="rId743" Type="http://schemas.openxmlformats.org/officeDocument/2006/relationships/image" Target="media/image710.png"/><Relationship Id="rId744" Type="http://schemas.openxmlformats.org/officeDocument/2006/relationships/image" Target="media/image711.png"/><Relationship Id="rId745" Type="http://schemas.openxmlformats.org/officeDocument/2006/relationships/image" Target="media/image712.png"/><Relationship Id="rId746" Type="http://schemas.openxmlformats.org/officeDocument/2006/relationships/image" Target="media/image713.png"/><Relationship Id="rId747" Type="http://schemas.openxmlformats.org/officeDocument/2006/relationships/image" Target="media/image714.png"/><Relationship Id="rId748" Type="http://schemas.openxmlformats.org/officeDocument/2006/relationships/image" Target="media/image715.png"/><Relationship Id="rId749" Type="http://schemas.openxmlformats.org/officeDocument/2006/relationships/image" Target="media/image716.png"/><Relationship Id="rId750" Type="http://schemas.openxmlformats.org/officeDocument/2006/relationships/image" Target="media/image717.png"/><Relationship Id="rId751" Type="http://schemas.openxmlformats.org/officeDocument/2006/relationships/image" Target="media/image718.png"/><Relationship Id="rId752" Type="http://schemas.openxmlformats.org/officeDocument/2006/relationships/image" Target="media/image719.png"/><Relationship Id="rId753" Type="http://schemas.openxmlformats.org/officeDocument/2006/relationships/image" Target="media/image720.png"/><Relationship Id="rId754" Type="http://schemas.openxmlformats.org/officeDocument/2006/relationships/image" Target="media/image721.png"/><Relationship Id="rId755" Type="http://schemas.openxmlformats.org/officeDocument/2006/relationships/image" Target="media/image722.png"/><Relationship Id="rId756" Type="http://schemas.openxmlformats.org/officeDocument/2006/relationships/image" Target="media/image723.png"/><Relationship Id="rId757" Type="http://schemas.openxmlformats.org/officeDocument/2006/relationships/image" Target="media/image724.png"/><Relationship Id="rId758" Type="http://schemas.openxmlformats.org/officeDocument/2006/relationships/image" Target="media/image725.png"/><Relationship Id="rId759" Type="http://schemas.openxmlformats.org/officeDocument/2006/relationships/image" Target="media/image726.png"/><Relationship Id="rId760" Type="http://schemas.openxmlformats.org/officeDocument/2006/relationships/image" Target="media/image727.png"/><Relationship Id="rId761" Type="http://schemas.openxmlformats.org/officeDocument/2006/relationships/image" Target="media/image728.png"/><Relationship Id="rId762" Type="http://schemas.openxmlformats.org/officeDocument/2006/relationships/image" Target="media/image729.png"/><Relationship Id="rId764" Type="http://schemas.openxmlformats.org/officeDocument/2006/relationships/image" Target="media/image730.png"/><Relationship Id="rId765" Type="http://schemas.openxmlformats.org/officeDocument/2006/relationships/image" Target="media/image731.png"/><Relationship Id="rId766" Type="http://schemas.openxmlformats.org/officeDocument/2006/relationships/image" Target="media/image732.png"/><Relationship Id="rId767" Type="http://schemas.openxmlformats.org/officeDocument/2006/relationships/image" Target="media/image733.png"/><Relationship Id="rId768" Type="http://schemas.openxmlformats.org/officeDocument/2006/relationships/image" Target="media/image734.png"/><Relationship Id="rId773" Type="http://schemas.openxmlformats.org/officeDocument/2006/relationships/image" Target="media/image735.png"/><Relationship Id="rId774" Type="http://schemas.openxmlformats.org/officeDocument/2006/relationships/image" Target="media/image736.png"/><Relationship Id="rId790" Type="http://schemas.openxmlformats.org/officeDocument/2006/relationships/image" Target="media/image737.png"/><Relationship Id="rId791" Type="http://schemas.openxmlformats.org/officeDocument/2006/relationships/image" Target="media/image738.png"/><Relationship Id="rId792" Type="http://schemas.openxmlformats.org/officeDocument/2006/relationships/image" Target="media/image739.png"/><Relationship Id="rId797" Type="http://schemas.openxmlformats.org/officeDocument/2006/relationships/image" Target="media/image740.png"/><Relationship Id="rId798" Type="http://schemas.openxmlformats.org/officeDocument/2006/relationships/image" Target="media/image741.png"/><Relationship Id="rId799" Type="http://schemas.openxmlformats.org/officeDocument/2006/relationships/image" Target="media/image742.png"/><Relationship Id="rId800" Type="http://schemas.openxmlformats.org/officeDocument/2006/relationships/image" Target="media/image743.png"/><Relationship Id="rId801" Type="http://schemas.openxmlformats.org/officeDocument/2006/relationships/image" Target="media/image744.png"/><Relationship Id="rId802" Type="http://schemas.openxmlformats.org/officeDocument/2006/relationships/image" Target="media/image745.png"/><Relationship Id="rId803" Type="http://schemas.openxmlformats.org/officeDocument/2006/relationships/image" Target="media/image746.png"/><Relationship Id="rId804" Type="http://schemas.openxmlformats.org/officeDocument/2006/relationships/image" Target="media/image747.png"/><Relationship Id="rId805" Type="http://schemas.openxmlformats.org/officeDocument/2006/relationships/image" Target="media/image748.png"/><Relationship Id="rId806" Type="http://schemas.openxmlformats.org/officeDocument/2006/relationships/image" Target="media/image749.png"/><Relationship Id="rId807" Type="http://schemas.openxmlformats.org/officeDocument/2006/relationships/image" Target="media/image750.png"/><Relationship Id="rId808" Type="http://schemas.openxmlformats.org/officeDocument/2006/relationships/image" Target="media/image751.png"/><Relationship Id="rId809" Type="http://schemas.openxmlformats.org/officeDocument/2006/relationships/image" Target="media/image752.png"/><Relationship Id="rId810" Type="http://schemas.openxmlformats.org/officeDocument/2006/relationships/image" Target="media/image753.png"/><Relationship Id="rId811" Type="http://schemas.openxmlformats.org/officeDocument/2006/relationships/image" Target="media/image754.png"/><Relationship Id="rId812" Type="http://schemas.openxmlformats.org/officeDocument/2006/relationships/image" Target="media/image755.png"/><Relationship Id="rId813" Type="http://schemas.openxmlformats.org/officeDocument/2006/relationships/image" Target="media/image756.png"/><Relationship Id="rId814" Type="http://schemas.openxmlformats.org/officeDocument/2006/relationships/image" Target="media/image757.png"/><Relationship Id="rId815" Type="http://schemas.openxmlformats.org/officeDocument/2006/relationships/image" Target="media/image758.png"/><Relationship Id="rId816" Type="http://schemas.openxmlformats.org/officeDocument/2006/relationships/image" Target="media/image759.png"/><Relationship Id="rId817" Type="http://schemas.openxmlformats.org/officeDocument/2006/relationships/image" Target="media/image760.png"/><Relationship Id="rId818" Type="http://schemas.openxmlformats.org/officeDocument/2006/relationships/image" Target="media/image761.png"/><Relationship Id="rId819" Type="http://schemas.openxmlformats.org/officeDocument/2006/relationships/image" Target="media/image762.png"/><Relationship Id="rId820" Type="http://schemas.openxmlformats.org/officeDocument/2006/relationships/image" Target="media/image763.png"/><Relationship Id="rId821" Type="http://schemas.openxmlformats.org/officeDocument/2006/relationships/image" Target="media/image764.png"/><Relationship Id="rId822" Type="http://schemas.openxmlformats.org/officeDocument/2006/relationships/image" Target="media/image765.png"/><Relationship Id="rId823" Type="http://schemas.openxmlformats.org/officeDocument/2006/relationships/image" Target="media/image766.png"/><Relationship Id="rId824" Type="http://schemas.openxmlformats.org/officeDocument/2006/relationships/image" Target="media/image767.png"/><Relationship Id="rId825" Type="http://schemas.openxmlformats.org/officeDocument/2006/relationships/image" Target="media/image768.png"/><Relationship Id="rId826" Type="http://schemas.openxmlformats.org/officeDocument/2006/relationships/image" Target="media/image769.png"/><Relationship Id="rId827" Type="http://schemas.openxmlformats.org/officeDocument/2006/relationships/image" Target="media/image770.png"/><Relationship Id="rId828" Type="http://schemas.openxmlformats.org/officeDocument/2006/relationships/image" Target="media/image771.png"/><Relationship Id="rId829" Type="http://schemas.openxmlformats.org/officeDocument/2006/relationships/image" Target="media/image772.png"/><Relationship Id="rId830" Type="http://schemas.openxmlformats.org/officeDocument/2006/relationships/image" Target="media/image773.png"/><Relationship Id="rId831" Type="http://schemas.openxmlformats.org/officeDocument/2006/relationships/image" Target="media/image774.png"/><Relationship Id="rId832" Type="http://schemas.openxmlformats.org/officeDocument/2006/relationships/image" Target="media/image775.png"/><Relationship Id="rId833" Type="http://schemas.openxmlformats.org/officeDocument/2006/relationships/image" Target="media/image776.png"/><Relationship Id="rId834" Type="http://schemas.openxmlformats.org/officeDocument/2006/relationships/image" Target="media/image777.png"/><Relationship Id="rId835" Type="http://schemas.openxmlformats.org/officeDocument/2006/relationships/image" Target="media/image778.png"/><Relationship Id="rId836" Type="http://schemas.openxmlformats.org/officeDocument/2006/relationships/image" Target="media/image779.png"/><Relationship Id="rId837" Type="http://schemas.openxmlformats.org/officeDocument/2006/relationships/image" Target="media/image780.png"/><Relationship Id="rId838" Type="http://schemas.openxmlformats.org/officeDocument/2006/relationships/image" Target="media/image781.png"/><Relationship Id="rId839" Type="http://schemas.openxmlformats.org/officeDocument/2006/relationships/image" Target="media/image782.png"/><Relationship Id="rId840" Type="http://schemas.openxmlformats.org/officeDocument/2006/relationships/image" Target="media/image783.png"/><Relationship Id="rId841" Type="http://schemas.openxmlformats.org/officeDocument/2006/relationships/image" Target="media/image784.png"/><Relationship Id="rId842" Type="http://schemas.openxmlformats.org/officeDocument/2006/relationships/image" Target="media/image785.png"/><Relationship Id="rId843" Type="http://schemas.openxmlformats.org/officeDocument/2006/relationships/image" Target="media/image786.png"/><Relationship Id="rId844" Type="http://schemas.openxmlformats.org/officeDocument/2006/relationships/image" Target="media/image787.png"/><Relationship Id="rId845" Type="http://schemas.openxmlformats.org/officeDocument/2006/relationships/image" Target="media/image788.png"/><Relationship Id="rId846" Type="http://schemas.openxmlformats.org/officeDocument/2006/relationships/image" Target="media/image789.png"/><Relationship Id="rId847" Type="http://schemas.openxmlformats.org/officeDocument/2006/relationships/image" Target="media/image790.png"/><Relationship Id="rId848" Type="http://schemas.openxmlformats.org/officeDocument/2006/relationships/image" Target="media/image791.png"/><Relationship Id="rId849" Type="http://schemas.openxmlformats.org/officeDocument/2006/relationships/image" Target="media/image792.png"/><Relationship Id="rId850" Type="http://schemas.openxmlformats.org/officeDocument/2006/relationships/image" Target="media/image793.png"/><Relationship Id="rId851" Type="http://schemas.openxmlformats.org/officeDocument/2006/relationships/image" Target="media/image794.png"/><Relationship Id="rId647" Type="http://schemas.openxmlformats.org/officeDocument/2006/relationships/hyperlink" Target="https://www.sec.gov/Archives/edgar/data/42582/000119312521055015/d131290dex21.htm" TargetMode="External"/><Relationship Id="rId651" Type="http://schemas.openxmlformats.org/officeDocument/2006/relationships/hyperlink" Target="https://www.sec.gov/Archives/edgar/data/42582/000095017023018114/gt-ex3_1.htm" TargetMode="External"/><Relationship Id="rId652" Type="http://schemas.openxmlformats.org/officeDocument/2006/relationships/hyperlink" Target="https://www.sec.gov/Archives/edgar/data/42582/000119312522260678/d329651dex31.htm" TargetMode="External"/><Relationship Id="rId665" Type="http://schemas.openxmlformats.org/officeDocument/2006/relationships/hyperlink" Target="https://www.sec.gov/Archives/edgar/data/42582/000095015207004201/l26105aexv4w1.txt" TargetMode="External"/><Relationship Id="rId666" Type="http://schemas.openxmlformats.org/officeDocument/2006/relationships/hyperlink" Target="https://www.sec.gov/Archives/edgar/data/42582/0000950152-98-003336.txt" TargetMode="External"/><Relationship Id="rId667" Type="http://schemas.openxmlformats.org/officeDocument/2006/relationships/hyperlink" Target="https://www.sec.gov/Archives/edgar/data/24491/000002449199000042/0000024491-99-000042.txt" TargetMode="External"/><Relationship Id="rId668" Type="http://schemas.openxmlformats.org/officeDocument/2006/relationships/hyperlink" Target="https://www.sec.gov/Archives/edgar/data/42582/000095017023002558/gt-ex4_1.htm" TargetMode="External"/><Relationship Id="rId669" Type="http://schemas.openxmlformats.org/officeDocument/2006/relationships/hyperlink" Target="https://www.sec.gov/Archives/edgar/data/42582/000095012310077159/l40510exv4w1.htm" TargetMode="External"/><Relationship Id="rId670" Type="http://schemas.openxmlformats.org/officeDocument/2006/relationships/hyperlink" Target="https://www.sec.gov/Archives/edgar/data/42582/000119312516589623/d178446dex42.htm" TargetMode="External"/><Relationship Id="rId671" Type="http://schemas.openxmlformats.org/officeDocument/2006/relationships/hyperlink" Target="https://www.sec.gov/Archives/edgar/data/42582/000119312517072576/d356399dex42.htm" TargetMode="External"/><Relationship Id="rId693" Type="http://schemas.openxmlformats.org/officeDocument/2006/relationships/hyperlink" Target="https://www.sec.gov/Archives/edgar/data/42582/000119312520144577/d892098dex42.htm" TargetMode="External"/><Relationship Id="rId694" Type="http://schemas.openxmlformats.org/officeDocument/2006/relationships/hyperlink" Target="https://www.sec.gov/Archives/edgar/data/42582/000119312521107057/d148655dex42.htm" TargetMode="External"/><Relationship Id="rId695" Type="http://schemas.openxmlformats.org/officeDocument/2006/relationships/hyperlink" Target="https://www.sec.gov/Archives/edgar/data/42582/000119312521107057/d148655dex43.htm" TargetMode="External"/><Relationship Id="rId696" Type="http://schemas.openxmlformats.org/officeDocument/2006/relationships/hyperlink" Target="https://www.sec.gov/Archives/edgar/data/42582/000119312521165448/d401788dex42.htm" TargetMode="External"/><Relationship Id="rId697" Type="http://schemas.openxmlformats.org/officeDocument/2006/relationships/hyperlink" Target="https://www.sec.gov/Archives/edgar/data/42582/000119312521165448/d401788dex43.htm" TargetMode="External"/><Relationship Id="rId710" Type="http://schemas.openxmlformats.org/officeDocument/2006/relationships/hyperlink" Target="https://www.sec.gov/Archives/edgar/data/42582/000119312521285565/d235300dex41.htm" TargetMode="External"/><Relationship Id="rId717" Type="http://schemas.openxmlformats.org/officeDocument/2006/relationships/hyperlink" Target="https://www.sec.gov/Archives/edgar/data/42582/000095017022020726/gt-ex10_1.htm" TargetMode="External"/><Relationship Id="rId724" Type="http://schemas.openxmlformats.org/officeDocument/2006/relationships/hyperlink" Target="https://www.sec.gov/Archives/edgar/data/42582/000095017021000990/gt-20210630ex10_2.htm" TargetMode="External"/><Relationship Id="rId725" Type="http://schemas.openxmlformats.org/officeDocument/2006/relationships/hyperlink" Target="https://www.sec.gov/Archives/edgar/data/42582/000095017022020726/gt-ex10_2.htm" TargetMode="External"/><Relationship Id="rId726" Type="http://schemas.openxmlformats.org/officeDocument/2006/relationships/hyperlink" Target="https://www.sec.gov/Archives/edgar/data/42582/000095017022020726/gt-ex10_3.htm" TargetMode="External"/><Relationship Id="rId727" Type="http://schemas.openxmlformats.org/officeDocument/2006/relationships/hyperlink" Target="https://www.sec.gov/Archives/edgar/data/42582/000095015205003940/l13312aexv4w7.htm" TargetMode="External"/><Relationship Id="rId728" Type="http://schemas.openxmlformats.org/officeDocument/2006/relationships/hyperlink" Target="https://www.sec.gov/Archives/edgar/data/42582/000095015207003599/l25539aexv4w6.txt" TargetMode="External"/><Relationship Id="rId729" Type="http://schemas.openxmlformats.org/officeDocument/2006/relationships/hyperlink" Target="https://www.sec.gov/Archives/edgar/data/42582/000095012312002512/d265449dex10_1.htm" TargetMode="External"/><Relationship Id="rId730" Type="http://schemas.openxmlformats.org/officeDocument/2006/relationships/hyperlink" Target="https://www.sec.gov/Archives/edgar/data/42582/000095012315007799/d58668dex102.htm" TargetMode="External"/><Relationship Id="rId731" Type="http://schemas.openxmlformats.org/officeDocument/2006/relationships/hyperlink" Target="https://www.sec.gov/Archives/edgar/data/42582/000095012319003618/d738090dex102.htm" TargetMode="External"/><Relationship Id="rId732" Type="http://schemas.openxmlformats.org/officeDocument/2006/relationships/hyperlink" Target="https://www.sec.gov/Archives/edgar/data/42582/000095017022020726/gt-ex10_4.htm" TargetMode="External"/><Relationship Id="rId763" Type="http://schemas.openxmlformats.org/officeDocument/2006/relationships/hyperlink" Target="https://www.sec.gov/Archives/edgar/data/42582/000095017022001201/gt-ex10_2.htm" TargetMode="External"/><Relationship Id="rId769" Type="http://schemas.openxmlformats.org/officeDocument/2006/relationships/hyperlink" Target="https://www.sec.gov/Archives/edgar/data/42582/000119312522106881/d284901dex101.htm" TargetMode="External"/><Relationship Id="rId770" Type="http://schemas.openxmlformats.org/officeDocument/2006/relationships/hyperlink" Target="https://www.sec.gov/Archives/edgar/data/42582/000119312522171605/d373071dex101.htm" TargetMode="External"/><Relationship Id="rId771" Type="http://schemas.openxmlformats.org/officeDocument/2006/relationships/hyperlink" Target="https://www.sec.gov/Archives/edgar/data/42582/000119312522171605/d373071dex102.htm" TargetMode="External"/><Relationship Id="rId772" Type="http://schemas.openxmlformats.org/officeDocument/2006/relationships/hyperlink" Target="https://www.sec.gov/Archives/edgar/data/42582/000119312522171605/d373071dex103.htm" TargetMode="External"/><Relationship Id="rId775" Type="http://schemas.openxmlformats.org/officeDocument/2006/relationships/hyperlink" Target="https://www.sec.gov/Archives/edgar/data/42582/000119312522171605/d373071dex104.htm" TargetMode="External"/><Relationship Id="rId776" Type="http://schemas.openxmlformats.org/officeDocument/2006/relationships/hyperlink" Target="https://www.sec.gov/Archives/edgar/data/42582/000119312522171605/d373071dex105.htm" TargetMode="External"/><Relationship Id="rId777" Type="http://schemas.openxmlformats.org/officeDocument/2006/relationships/hyperlink" Target="https://www.sec.gov/Archives/edgar/data/42582/000119312522171605/d373071dex106.htm" TargetMode="External"/><Relationship Id="rId778" Type="http://schemas.openxmlformats.org/officeDocument/2006/relationships/hyperlink" Target="https://www.sec.gov/Archives/edgar/data/42582/000119312522171605/d373071dex107.htm" TargetMode="External"/><Relationship Id="rId779" Type="http://schemas.openxmlformats.org/officeDocument/2006/relationships/hyperlink" Target="https://www.sec.gov/Archives/edgar/data/42582/000119312522171605/d373071dex108.htm" TargetMode="External"/><Relationship Id="rId780" Type="http://schemas.openxmlformats.org/officeDocument/2006/relationships/hyperlink" Target="https://www.sec.gov/Archives/edgar/data/42582/000119312522171605/d373071dex109.htm" TargetMode="External"/><Relationship Id="rId781" Type="http://schemas.openxmlformats.org/officeDocument/2006/relationships/hyperlink" Target="https://www.sec.gov/Archives/edgar/data/42582/000119312517123372/d375510dex101.htm" TargetMode="External"/><Relationship Id="rId782" Type="http://schemas.openxmlformats.org/officeDocument/2006/relationships/hyperlink" Target="https://www.sec.gov/Archives/edgar/data/42582/000119312513162989/d525588dex101.htm" TargetMode="External"/><Relationship Id="rId783" Type="http://schemas.openxmlformats.org/officeDocument/2006/relationships/hyperlink" Target="https://www.sec.gov/Archives/edgar/data/42582/000119312518346155/d659319dex101.htm" TargetMode="External"/><Relationship Id="rId784" Type="http://schemas.openxmlformats.org/officeDocument/2006/relationships/hyperlink" Target="https://www.sec.gov/Archives/edgar/data/42582/000119312521353895/d253133dex101.htm" TargetMode="External"/><Relationship Id="rId785" Type="http://schemas.openxmlformats.org/officeDocument/2006/relationships/hyperlink" Target="https://www.sec.gov/Archives/edgar/data/42582/000095015209001538/l35232aexv10w11.htm" TargetMode="External"/><Relationship Id="rId786" Type="http://schemas.openxmlformats.org/officeDocument/2006/relationships/hyperlink" Target="https://www.sec.gov/Archives/edgar/data/42582/000119312521353895/d253133dex102.htm" TargetMode="External"/><Relationship Id="rId787" Type="http://schemas.openxmlformats.org/officeDocument/2006/relationships/hyperlink" Target="https://www.sec.gov/Archives/edgar/data/42582/000156459021004857/gt-ex101_919.htm" TargetMode="External"/><Relationship Id="rId788" Type="http://schemas.openxmlformats.org/officeDocument/2006/relationships/hyperlink" Target="https://www.sec.gov/Archives/edgar/data/42582/000095017023018114/gt-ex10_1.htm" TargetMode="External"/><Relationship Id="rId789" Type="http://schemas.openxmlformats.org/officeDocument/2006/relationships/hyperlink" Target="https://www.sec.gov/Archives/edgar/data/42582/000119312513093976/d497423dex101.htm" TargetMode="External"/><Relationship Id="rId793" Type="http://schemas.openxmlformats.org/officeDocument/2006/relationships/hyperlink" Target="https://www.sec.gov/Archives/edgar/data/42582/000119312521175410/d176243dex101.htm" TargetMode="External"/><Relationship Id="rId794" Type="http://schemas.openxmlformats.org/officeDocument/2006/relationships/hyperlink" Target="https://www.sec.gov/Archives/edgar/data/42582/000119312521175410/d176243dex102.htm" TargetMode="External"/><Relationship Id="rId795" Type="http://schemas.openxmlformats.org/officeDocument/2006/relationships/hyperlink" Target="https://www.sec.gov/Archives/edgar/data/42582/000119312521175410/d176243dex103.htm" TargetMode="External"/><Relationship Id="rId796" Type="http://schemas.openxmlformats.org/officeDocument/2006/relationships/hyperlink" Target="https://www.sec.gov/Archives/edgar/data/42582/000119312523192850/d53446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2024-02-13T10:02:28Z</dcterms:created>
  <dcterms:modified xsi:type="dcterms:W3CDTF">2024-02-13T10:02:28Z</dcterms:modified>
</cp:coreProperties>
</file>