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1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1-1927</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GOODYEAR TIRE &amp; RUBBER COMPANY</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jc w:val="center"/>
              <w:ind w:left="790"/>
              <w:spacing w:after="0"/>
              <w:rPr>
                <w:sz w:val="20"/>
                <w:szCs w:val="20"/>
                <w:color w:val="auto"/>
              </w:rPr>
            </w:pPr>
            <w:r>
              <w:rPr>
                <w:rFonts w:ascii="Arial" w:cs="Arial" w:eastAsia="Arial" w:hAnsi="Arial"/>
                <w:sz w:val="18"/>
                <w:szCs w:val="18"/>
                <w:b w:val="1"/>
                <w:bCs w:val="1"/>
                <w:color w:val="auto"/>
                <w:w w:val="92"/>
              </w:rPr>
              <w:t>Ohio</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34-0253240</w:t>
            </w:r>
          </w:p>
        </w:tc>
      </w:tr>
      <w:tr>
        <w:trPr>
          <w:trHeight w:val="229"/>
        </w:trPr>
        <w:tc>
          <w:tcPr>
            <w:tcW w:w="4700" w:type="dxa"/>
            <w:vAlign w:val="bottom"/>
          </w:tcPr>
          <w:p>
            <w:pPr>
              <w:jc w:val="center"/>
              <w:ind w:left="770"/>
              <w:spacing w:after="0"/>
              <w:rPr>
                <w:sz w:val="20"/>
                <w:szCs w:val="20"/>
                <w:color w:val="auto"/>
              </w:rPr>
            </w:pPr>
            <w:r>
              <w:rPr>
                <w:rFonts w:ascii="Arial" w:cs="Arial" w:eastAsia="Arial" w:hAnsi="Arial"/>
                <w:sz w:val="18"/>
                <w:szCs w:val="18"/>
                <w:color w:val="auto"/>
                <w:w w:val="92"/>
              </w:rPr>
              <w:t>(State or Other Jurisdiction of</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color w:val="auto"/>
                <w:w w:val="92"/>
              </w:rPr>
              <w:t>(I.R.S. Employer</w:t>
            </w:r>
          </w:p>
        </w:tc>
      </w:tr>
      <w:tr>
        <w:trPr>
          <w:trHeight w:val="230"/>
        </w:trPr>
        <w:tc>
          <w:tcPr>
            <w:tcW w:w="4700" w:type="dxa"/>
            <w:vAlign w:val="bottom"/>
          </w:tcPr>
          <w:p>
            <w:pPr>
              <w:jc w:val="center"/>
              <w:ind w:left="770"/>
              <w:spacing w:after="0"/>
              <w:rPr>
                <w:sz w:val="20"/>
                <w:szCs w:val="20"/>
                <w:color w:val="auto"/>
              </w:rPr>
            </w:pPr>
            <w:r>
              <w:rPr>
                <w:rFonts w:ascii="Arial" w:cs="Arial" w:eastAsia="Arial" w:hAnsi="Arial"/>
                <w:sz w:val="18"/>
                <w:szCs w:val="18"/>
                <w:color w:val="auto"/>
                <w:w w:val="91"/>
              </w:rPr>
              <w:t>Incorporation or Organization)</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color w:val="auto"/>
                <w:w w:val="95"/>
              </w:rPr>
              <w:t>Identification No.)</w:t>
            </w:r>
          </w:p>
        </w:tc>
      </w:tr>
      <w:tr>
        <w:trPr>
          <w:trHeight w:val="364"/>
        </w:trPr>
        <w:tc>
          <w:tcPr>
            <w:tcW w:w="4700" w:type="dxa"/>
            <w:vAlign w:val="bottom"/>
          </w:tcPr>
          <w:p>
            <w:pPr>
              <w:jc w:val="center"/>
              <w:ind w:left="770"/>
              <w:spacing w:after="0"/>
              <w:rPr>
                <w:sz w:val="20"/>
                <w:szCs w:val="20"/>
                <w:color w:val="auto"/>
              </w:rPr>
            </w:pPr>
            <w:r>
              <w:rPr>
                <w:rFonts w:ascii="Arial" w:cs="Arial" w:eastAsia="Arial" w:hAnsi="Arial"/>
                <w:sz w:val="18"/>
                <w:szCs w:val="18"/>
                <w:b w:val="1"/>
                <w:bCs w:val="1"/>
                <w:color w:val="auto"/>
                <w:w w:val="92"/>
              </w:rPr>
              <w:t>200 Innovation Way, Akron, Ohio</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44316-0001</w:t>
            </w:r>
          </w:p>
        </w:tc>
      </w:tr>
      <w:tr>
        <w:trPr>
          <w:trHeight w:val="243"/>
        </w:trPr>
        <w:tc>
          <w:tcPr>
            <w:tcW w:w="4700" w:type="dxa"/>
            <w:vAlign w:val="bottom"/>
          </w:tcPr>
          <w:p>
            <w:pPr>
              <w:jc w:val="center"/>
              <w:ind w:left="770"/>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40" w:type="dxa"/>
            <w:vAlign w:val="bottom"/>
          </w:tcPr>
          <w:p>
            <w:pPr>
              <w:jc w:val="center"/>
              <w:ind w:right="1930"/>
              <w:spacing w:after="0"/>
              <w:rPr>
                <w:sz w:val="20"/>
                <w:szCs w:val="20"/>
                <w:color w:val="auto"/>
              </w:rPr>
            </w:pPr>
            <w:r>
              <w:rPr>
                <w:rFonts w:ascii="Arial" w:cs="Arial" w:eastAsia="Arial" w:hAnsi="Arial"/>
                <w:sz w:val="18"/>
                <w:szCs w:val="18"/>
                <w:color w:val="auto"/>
                <w:w w:val="94"/>
              </w:rPr>
              <w:t>(Zip Code)</w:t>
            </w:r>
          </w:p>
        </w:tc>
      </w:tr>
      <w:tr>
        <w:trPr>
          <w:trHeight w:val="310"/>
        </w:trPr>
        <w:tc>
          <w:tcPr>
            <w:tcW w:w="4700" w:type="dxa"/>
            <w:vAlign w:val="bottom"/>
          </w:tcPr>
          <w:p>
            <w:pPr>
              <w:spacing w:after="0"/>
              <w:rPr>
                <w:sz w:val="24"/>
                <w:szCs w:val="24"/>
                <w:color w:val="auto"/>
              </w:rPr>
            </w:pPr>
          </w:p>
        </w:tc>
        <w:tc>
          <w:tcPr>
            <w:tcW w:w="17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0"/>
              </w:rPr>
              <w:t>(330) 796-2121</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0"/>
        </w:trPr>
        <w:tc>
          <w:tcPr>
            <w:tcW w:w="7700" w:type="dxa"/>
            <w:vAlign w:val="bottom"/>
            <w:gridSpan w:val="5"/>
          </w:tcPr>
          <w:p>
            <w:pPr>
              <w:jc w:val="center"/>
              <w:ind w:left="3470"/>
              <w:spacing w:after="0"/>
              <w:rPr>
                <w:sz w:val="20"/>
                <w:szCs w:val="20"/>
                <w:color w:val="auto"/>
              </w:rPr>
            </w:pPr>
            <w:r>
              <w:rPr>
                <w:rFonts w:ascii="Arial" w:cs="Arial" w:eastAsia="Arial" w:hAnsi="Arial"/>
                <w:sz w:val="18"/>
                <w:szCs w:val="18"/>
                <w:color w:val="auto"/>
                <w:w w:val="90"/>
              </w:rPr>
              <w:t>(Registrant’s Telephone Number, Including Area Code)</w:t>
            </w:r>
          </w:p>
        </w:tc>
        <w:tc>
          <w:tcPr>
            <w:tcW w:w="3540" w:type="dxa"/>
            <w:vAlign w:val="bottom"/>
          </w:tcPr>
          <w:p>
            <w:pPr>
              <w:spacing w:after="0"/>
              <w:rPr>
                <w:sz w:val="20"/>
                <w:szCs w:val="20"/>
                <w:color w:val="auto"/>
              </w:rPr>
            </w:pPr>
          </w:p>
        </w:tc>
      </w:tr>
      <w:tr>
        <w:trPr>
          <w:trHeight w:val="283"/>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333"/>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93"/>
              </w:rPr>
              <w:t>Trading</w:t>
            </w:r>
          </w:p>
        </w:tc>
        <w:tc>
          <w:tcPr>
            <w:tcW w:w="3540" w:type="dxa"/>
            <w:vAlign w:val="bottom"/>
          </w:tcPr>
          <w:p>
            <w:pPr>
              <w:jc w:val="center"/>
              <w:ind w:right="1030"/>
              <w:spacing w:after="0"/>
              <w:rPr>
                <w:sz w:val="20"/>
                <w:szCs w:val="20"/>
                <w:color w:val="auto"/>
              </w:rPr>
            </w:pPr>
            <w:r>
              <w:rPr>
                <w:rFonts w:ascii="Arial" w:cs="Arial" w:eastAsia="Arial" w:hAnsi="Arial"/>
                <w:sz w:val="18"/>
                <w:szCs w:val="18"/>
                <w:b w:val="1"/>
                <w:bCs w:val="1"/>
                <w:color w:val="auto"/>
                <w:w w:val="86"/>
              </w:rPr>
              <w:t>Name of each exchange</w:t>
            </w:r>
          </w:p>
        </w:tc>
      </w:tr>
      <w:tr>
        <w:trPr>
          <w:trHeight w:val="241"/>
        </w:trPr>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288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87"/>
              </w:rPr>
              <w:t>Symbol(s)</w:t>
            </w:r>
          </w:p>
        </w:tc>
        <w:tc>
          <w:tcPr>
            <w:tcW w:w="3540" w:type="dxa"/>
            <w:vAlign w:val="bottom"/>
          </w:tcPr>
          <w:p>
            <w:pPr>
              <w:jc w:val="center"/>
              <w:ind w:right="1030"/>
              <w:spacing w:after="0"/>
              <w:rPr>
                <w:sz w:val="20"/>
                <w:szCs w:val="20"/>
                <w:color w:val="auto"/>
              </w:rPr>
            </w:pPr>
            <w:r>
              <w:rPr>
                <w:rFonts w:ascii="Arial" w:cs="Arial" w:eastAsia="Arial" w:hAnsi="Arial"/>
                <w:sz w:val="18"/>
                <w:szCs w:val="18"/>
                <w:b w:val="1"/>
                <w:bCs w:val="1"/>
                <w:color w:val="auto"/>
                <w:w w:val="88"/>
              </w:rPr>
              <w:t>on which registered</w:t>
            </w:r>
          </w:p>
        </w:tc>
      </w:tr>
      <w:tr>
        <w:trPr>
          <w:trHeight w:val="230"/>
        </w:trPr>
        <w:tc>
          <w:tcPr>
            <w:tcW w:w="4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Common Stock, Without Par Value</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GT</w:t>
            </w:r>
          </w:p>
        </w:tc>
        <w:tc>
          <w:tcPr>
            <w:tcW w:w="14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tcPr>
          <w:p>
            <w:pPr>
              <w:jc w:val="center"/>
              <w:ind w:right="1030"/>
              <w:spacing w:after="0"/>
              <w:rPr>
                <w:sz w:val="20"/>
                <w:szCs w:val="20"/>
                <w:color w:val="auto"/>
              </w:rPr>
            </w:pPr>
            <w:r>
              <w:rPr>
                <w:rFonts w:ascii="Arial" w:cs="Arial" w:eastAsia="Arial" w:hAnsi="Arial"/>
                <w:sz w:val="18"/>
                <w:szCs w:val="18"/>
                <w:color w:val="auto"/>
                <w:w w:val="91"/>
              </w:rPr>
              <w:t>The Nasdaq Stock Market LLC</w:t>
            </w:r>
          </w:p>
        </w:tc>
      </w:tr>
    </w:tbl>
    <w:p>
      <w:pPr>
        <w:spacing w:after="0" w:line="93"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40"/>
        <w:spacing w:after="0" w:line="207" w:lineRule="exact"/>
        <w:rPr>
          <w:sz w:val="20"/>
          <w:szCs w:val="20"/>
          <w:color w:val="auto"/>
        </w:rPr>
      </w:pPr>
      <w:r>
        <w:rPr>
          <w:rFonts w:ascii="Arial" w:cs="Arial" w:eastAsia="Arial" w:hAnsi="Arial"/>
          <w:sz w:val="18"/>
          <w:szCs w:val="18"/>
          <w:u w:val="single" w:color="auto"/>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08"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u w:val="single" w:color="auto"/>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0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24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5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spacing w:after="0"/>
              <w:rPr>
                <w:sz w:val="18"/>
                <w:szCs w:val="18"/>
                <w:color w:val="auto"/>
              </w:rPr>
            </w:pPr>
          </w:p>
        </w:tc>
        <w:tc>
          <w:tcPr>
            <w:tcW w:w="2320" w:type="dxa"/>
            <w:vAlign w:val="bottom"/>
            <w:vMerge w:val="restart"/>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w:t>
            </w:r>
          </w:p>
        </w:tc>
        <w:tc>
          <w:tcPr>
            <w:tcW w:w="52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5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Emerging growth</w:t>
            </w:r>
          </w:p>
        </w:tc>
        <w:tc>
          <w:tcPr>
            <w:tcW w:w="3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8"/>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520" w:type="dxa"/>
            <w:vAlign w:val="bottom"/>
            <w:vMerge w:val="continue"/>
          </w:tcPr>
          <w:p>
            <w:pPr>
              <w:spacing w:after="0"/>
              <w:rPr>
                <w:sz w:val="22"/>
                <w:szCs w:val="22"/>
                <w:color w:val="auto"/>
              </w:rPr>
            </w:pPr>
          </w:p>
        </w:tc>
        <w:tc>
          <w:tcPr>
            <w:tcW w:w="160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2320" w:type="dxa"/>
            <w:vAlign w:val="bottom"/>
            <w:vMerge w:val="continue"/>
          </w:tcPr>
          <w:p>
            <w:pPr>
              <w:spacing w:after="0"/>
              <w:rPr>
                <w:sz w:val="22"/>
                <w:szCs w:val="22"/>
                <w:color w:val="auto"/>
              </w:rPr>
            </w:pPr>
          </w:p>
        </w:tc>
        <w:tc>
          <w:tcPr>
            <w:tcW w:w="520" w:type="dxa"/>
            <w:vAlign w:val="bottom"/>
            <w:vMerge w:val="continue"/>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540" w:type="dxa"/>
            <w:vAlign w:val="bottom"/>
            <w:vMerge w:val="continue"/>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74"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5160"/>
        <w:spacing w:after="0" w:line="207" w:lineRule="exact"/>
        <w:rPr>
          <w:sz w:val="20"/>
          <w:szCs w:val="20"/>
          <w:color w:val="auto"/>
        </w:rPr>
      </w:pPr>
      <w:r>
        <w:rPr>
          <w:rFonts w:ascii="Arial" w:cs="Arial" w:eastAsia="Arial" w:hAnsi="Arial"/>
          <w:sz w:val="18"/>
          <w:szCs w:val="18"/>
          <w:u w:val="single" w:color="auto"/>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52"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Number of Shares of Common Stock,</w:t>
            </w:r>
          </w:p>
        </w:tc>
        <w:tc>
          <w:tcPr>
            <w:tcW w:w="3120" w:type="dxa"/>
            <w:vAlign w:val="bottom"/>
          </w:tcPr>
          <w:p>
            <w:pPr>
              <w:spacing w:after="0"/>
              <w:rPr>
                <w:sz w:val="18"/>
                <w:szCs w:val="18"/>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Without Par Value, Outstanding at July 31, 2023:</w:t>
            </w:r>
          </w:p>
        </w:tc>
        <w:tc>
          <w:tcPr>
            <w:tcW w:w="3120" w:type="dxa"/>
            <w:vAlign w:val="bottom"/>
          </w:tcPr>
          <w:p>
            <w:pPr>
              <w:jc w:val="right"/>
              <w:spacing w:after="0"/>
              <w:rPr>
                <w:sz w:val="20"/>
                <w:szCs w:val="20"/>
                <w:color w:val="auto"/>
              </w:rPr>
            </w:pPr>
            <w:r>
              <w:rPr>
                <w:rFonts w:ascii="Arial" w:cs="Arial" w:eastAsia="Arial" w:hAnsi="Arial"/>
                <w:sz w:val="18"/>
                <w:szCs w:val="18"/>
                <w:color w:val="auto"/>
              </w:rPr>
              <w:t>283,477,317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left="44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60"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-10160</wp:posOffset>
            </wp:positionV>
            <wp:extent cx="18237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0000FF"/>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-10160</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-10160</wp:posOffset>
            </wp:positionV>
            <wp:extent cx="28327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7"/>
          <w:szCs w:val="17"/>
          <w:u w:val="single" w:color="auto"/>
          <w:color w:val="0000FF"/>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-3175</wp:posOffset>
            </wp:positionV>
            <wp:extent cx="6040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40755" cy="8890"/>
                    </a:xfrm>
                    <a:prstGeom prst="rect">
                      <a:avLst/>
                    </a:prstGeom>
                    <a:noFill/>
                  </pic:spPr>
                </pic:pic>
              </a:graphicData>
            </a:graphic>
          </wp:anchor>
        </w:drawing>
      </w:r>
    </w:p>
    <w:p>
      <w:pPr>
        <w:spacing w:after="0" w:line="28"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0000FF"/>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-10160</wp:posOffset>
            </wp:positionV>
            <wp:extent cx="4303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0000FF"/>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-10160</wp:posOffset>
            </wp:positionV>
            <wp:extent cx="20662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66290" cy="8890"/>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-10160</wp:posOffset>
            </wp:positionV>
            <wp:extent cx="16313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31315"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0000FF"/>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-10160</wp:posOffset>
            </wp:positionV>
            <wp:extent cx="16078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07820"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-10160</wp:posOffset>
            </wp:positionV>
            <wp:extent cx="12973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0000FF"/>
        </w:rPr>
        <w:t>ITEM 5.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-10160</wp:posOffset>
            </wp:positionV>
            <wp:extent cx="16186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1861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EX-22.1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-10160</wp:posOffset>
            </wp:positionV>
            <wp:extent cx="390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0525" cy="8890"/>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EX-31.1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-10160</wp:posOffset>
            </wp:positionV>
            <wp:extent cx="390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EX-31.2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-10160</wp:posOffset>
            </wp:positionV>
            <wp:extent cx="390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EX-32.1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-10160</wp:posOffset>
            </wp:positionV>
            <wp:extent cx="390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EX-101.INS INSTANCE DOCUMENT</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EX-101.SCH SCHEMA DOCUMENT</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EX-101.CAL CALCULATION LINKBASE DOCUMENT</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EX-101.DEF DEFINITION LINKBASE DOCUMENT</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EX-101.LAB LABELS LINKBASE DOCUMENT</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EX-101.PRE PRESENTATION LINKBASE DOCUMENT</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left="340" w:right="2780"/>
        <w:spacing w:after="0" w:line="266"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OPERATIONS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5"/>
                <w:szCs w:val="15"/>
                <w:color w:val="auto"/>
              </w:rPr>
            </w:pPr>
          </w:p>
        </w:tc>
      </w:tr>
      <w:tr>
        <w:trPr>
          <w:trHeight w:val="185"/>
        </w:trPr>
        <w:tc>
          <w:tcPr>
            <w:tcW w:w="600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237"/>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 (Note 2)</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4,867</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5,212</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9,808</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10,120</w:t>
            </w: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4,123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4,172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8,316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8,138</w:t>
            </w:r>
          </w:p>
        </w:tc>
      </w:tr>
      <w:tr>
        <w:trPr>
          <w:trHeight w:val="249"/>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Administrative and General Expense</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708</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717</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1,372</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1,405</w:t>
            </w: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Rationalizations (Note 3)</w:t>
            </w:r>
          </w:p>
        </w:tc>
        <w:tc>
          <w:tcPr>
            <w:tcW w:w="24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37</w:t>
            </w:r>
          </w:p>
        </w:tc>
      </w:tr>
      <w:tr>
        <w:trPr>
          <w:trHeight w:val="249"/>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214</w:t>
            </w: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Other (Income) Expense (Note 4)</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(65 )</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(60 )</w:t>
            </w:r>
          </w:p>
        </w:tc>
      </w:tr>
      <w:tr>
        <w:trPr>
          <w:trHeight w:val="243"/>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386</w:t>
            </w: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United States and Foreign Tax (Benefit) Expense (Note 5)</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120</w:t>
            </w:r>
          </w:p>
        </w:tc>
      </w:tr>
      <w:tr>
        <w:trPr>
          <w:trHeight w:val="243"/>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266</w:t>
            </w:r>
          </w:p>
        </w:tc>
      </w:tr>
      <w:tr>
        <w:trPr>
          <w:trHeight w:val="237"/>
        </w:trPr>
        <w:tc>
          <w:tcPr>
            <w:tcW w:w="6000" w:type="dxa"/>
            <w:vAlign w:val="bottom"/>
          </w:tcPr>
          <w:p>
            <w:pPr>
              <w:ind w:left="200"/>
              <w:spacing w:after="0"/>
              <w:rPr>
                <w:sz w:val="20"/>
                <w:szCs w:val="20"/>
                <w:color w:val="auto"/>
              </w:rPr>
            </w:pPr>
            <w:r>
              <w:rPr>
                <w:rFonts w:ascii="Arial" w:cs="Arial" w:eastAsia="Arial" w:hAnsi="Arial"/>
                <w:sz w:val="18"/>
                <w:szCs w:val="18"/>
                <w:color w:val="auto"/>
              </w:rPr>
              <w:t>Less: Minority Shareholders’ Net Income</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w:t>
            </w:r>
          </w:p>
        </w:tc>
      </w:tr>
      <w:tr>
        <w:trPr>
          <w:trHeight w:val="278"/>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Goodyear Net Income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(208 )</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b w:val="1"/>
                <w:bCs w:val="1"/>
                <w:color w:val="auto"/>
              </w:rPr>
              <w:t>166</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(309 )</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262</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Goodyear Net Income (Loss) — Per Share of Common Stock</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83"/>
        </w:trPr>
        <w:tc>
          <w:tcPr>
            <w:tcW w:w="600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Basic</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(0.73 )</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ind w:right="71"/>
              <w:spacing w:after="0"/>
              <w:rPr>
                <w:sz w:val="20"/>
                <w:szCs w:val="20"/>
                <w:color w:val="auto"/>
              </w:rPr>
            </w:pPr>
            <w:r>
              <w:rPr>
                <w:rFonts w:ascii="Arial" w:cs="Arial" w:eastAsia="Arial" w:hAnsi="Arial"/>
                <w:sz w:val="18"/>
                <w:szCs w:val="18"/>
                <w:b w:val="1"/>
                <w:bCs w:val="1"/>
                <w:color w:val="auto"/>
              </w:rPr>
              <w:t>0.58</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(1.08 )</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0.92</w:t>
            </w:r>
          </w:p>
        </w:tc>
      </w:tr>
      <w:tr>
        <w:trPr>
          <w:trHeight w:val="221"/>
        </w:trPr>
        <w:tc>
          <w:tcPr>
            <w:tcW w:w="600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Weighted Average Shares Outstanding (Note 6)</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285</w:t>
            </w:r>
          </w:p>
        </w:tc>
        <w:tc>
          <w:tcPr>
            <w:tcW w:w="18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284</w:t>
            </w:r>
          </w:p>
        </w:tc>
        <w:tc>
          <w:tcPr>
            <w:tcW w:w="1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285</w:t>
            </w:r>
          </w:p>
        </w:tc>
        <w:tc>
          <w:tcPr>
            <w:tcW w:w="18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284</w:t>
            </w:r>
          </w:p>
        </w:tc>
      </w:tr>
      <w:tr>
        <w:trPr>
          <w:trHeight w:val="285"/>
        </w:trPr>
        <w:tc>
          <w:tcPr>
            <w:tcW w:w="600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Diluted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(0.73 )</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ind w:right="71"/>
              <w:spacing w:after="0"/>
              <w:rPr>
                <w:sz w:val="20"/>
                <w:szCs w:val="20"/>
                <w:color w:val="auto"/>
              </w:rPr>
            </w:pPr>
            <w:r>
              <w:rPr>
                <w:rFonts w:ascii="Arial" w:cs="Arial" w:eastAsia="Arial" w:hAnsi="Arial"/>
                <w:sz w:val="18"/>
                <w:szCs w:val="18"/>
                <w:b w:val="1"/>
                <w:bCs w:val="1"/>
                <w:color w:val="auto"/>
              </w:rPr>
              <w:t>0.58</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(1.08 )</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0.91</w:t>
            </w:r>
          </w:p>
        </w:tc>
      </w:tr>
      <w:tr>
        <w:trPr>
          <w:trHeight w:val="215"/>
        </w:trPr>
        <w:tc>
          <w:tcPr>
            <w:tcW w:w="600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Weighted Average Shares Outstanding (Note 6)</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285</w:t>
            </w:r>
          </w:p>
        </w:tc>
        <w:tc>
          <w:tcPr>
            <w:tcW w:w="1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286</w:t>
            </w:r>
          </w:p>
        </w:tc>
        <w:tc>
          <w:tcPr>
            <w:tcW w:w="1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285</w:t>
            </w:r>
          </w:p>
        </w:tc>
        <w:tc>
          <w:tcPr>
            <w:tcW w:w="1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-840105</wp:posOffset>
            </wp:positionV>
            <wp:extent cx="181737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17370" cy="17970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-505460</wp:posOffset>
            </wp:positionV>
            <wp:extent cx="181737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17370" cy="17970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-171450</wp:posOffset>
            </wp:positionV>
            <wp:extent cx="181737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17370" cy="17970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ind w:left="340" w:right="2780"/>
        <w:spacing w:after="0" w:line="266"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COMPREHENSIVE INCOME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6"/>
        </w:trPr>
        <w:tc>
          <w:tcPr>
            <w:tcW w:w="6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0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(208 )</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(307 )</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7"/>
        </w:trPr>
        <w:tc>
          <w:tcPr>
            <w:tcW w:w="60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0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6"/>
              </w:rPr>
              <w:t>Foreign currency translation, net of tax of $1 and $2 in 2023 (($6) and ($6) in</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(187 )</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37"/>
        </w:trPr>
        <w:tc>
          <w:tcPr>
            <w:tcW w:w="6080" w:type="dxa"/>
            <w:vAlign w:val="bottom"/>
          </w:tcPr>
          <w:p>
            <w:pPr>
              <w:ind w:left="200"/>
              <w:spacing w:after="0"/>
              <w:rPr>
                <w:sz w:val="20"/>
                <w:szCs w:val="20"/>
                <w:color w:val="auto"/>
              </w:rPr>
            </w:pPr>
            <w:r>
              <w:rPr>
                <w:rFonts w:ascii="Arial" w:cs="Arial" w:eastAsia="Arial" w:hAnsi="Arial"/>
                <w:sz w:val="18"/>
                <w:szCs w:val="18"/>
                <w:color w:val="auto"/>
              </w:rPr>
              <w:t>Defined benefit plans: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prior service cost and unrecognized gains and losses</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included in total benefit cost, net of tax of $6 and $13 in 2023 ($7 and</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$15 in 2022)</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5"/>
        </w:trPr>
        <w:tc>
          <w:tcPr>
            <w:tcW w:w="6080" w:type="dxa"/>
            <w:vAlign w:val="bottom"/>
          </w:tcPr>
          <w:p>
            <w:pPr>
              <w:ind w:left="380"/>
              <w:spacing w:after="0"/>
              <w:rPr>
                <w:sz w:val="20"/>
                <w:szCs w:val="20"/>
                <w:color w:val="auto"/>
              </w:rPr>
            </w:pPr>
            <w:r>
              <w:rPr>
                <w:rFonts w:ascii="Arial" w:cs="Arial" w:eastAsia="Arial" w:hAnsi="Arial"/>
                <w:sz w:val="18"/>
                <w:szCs w:val="18"/>
                <w:color w:val="auto"/>
                <w:w w:val="99"/>
              </w:rPr>
              <w:t>Change in net actuarial losses, net of tax of $5 and $3 in 2023 (($2) and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380"/>
              <w:spacing w:after="0"/>
              <w:rPr>
                <w:sz w:val="20"/>
                <w:szCs w:val="20"/>
                <w:color w:val="auto"/>
              </w:rPr>
            </w:pPr>
            <w:r>
              <w:rPr>
                <w:rFonts w:ascii="Arial" w:cs="Arial" w:eastAsia="Arial" w:hAnsi="Arial"/>
                <w:sz w:val="18"/>
                <w:szCs w:val="18"/>
                <w:color w:val="auto"/>
              </w:rPr>
              <w:t>$3 in 2022)</w:t>
            </w:r>
          </w:p>
        </w:tc>
        <w:tc>
          <w:tcPr>
            <w:tcW w:w="240" w:type="dxa"/>
            <w:vAlign w:val="bottom"/>
          </w:tcPr>
          <w:p>
            <w:pPr>
              <w:spacing w:after="0"/>
              <w:rPr>
                <w:sz w:val="20"/>
                <w:szCs w:val="20"/>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60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9"/>
              </w:rPr>
              <w:t>Immediate recognition of prior service cost and unrecognized gains and</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3"/>
              </w:rPr>
              <w:t>losses due to curtailments, settlements and divestitures, net of tax of $8 and</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$8 in 2023 ($5 and $5 in 2022)</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5"/>
        </w:trPr>
        <w:tc>
          <w:tcPr>
            <w:tcW w:w="6080" w:type="dxa"/>
            <w:vAlign w:val="bottom"/>
          </w:tcPr>
          <w:p>
            <w:pPr>
              <w:ind w:left="200"/>
              <w:spacing w:after="0"/>
              <w:rPr>
                <w:sz w:val="20"/>
                <w:szCs w:val="20"/>
                <w:color w:val="auto"/>
              </w:rPr>
            </w:pPr>
            <w:r>
              <w:rPr>
                <w:rFonts w:ascii="Arial" w:cs="Arial" w:eastAsia="Arial" w:hAnsi="Arial"/>
                <w:sz w:val="18"/>
                <w:szCs w:val="18"/>
                <w:color w:val="auto"/>
                <w:w w:val="97"/>
              </w:rPr>
              <w:t>Deferred derivative gains (losses), net of tax of $0 and ($1) in 2023 ($0 and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200"/>
              <w:spacing w:after="0"/>
              <w:rPr>
                <w:sz w:val="20"/>
                <w:szCs w:val="20"/>
                <w:color w:val="auto"/>
              </w:rPr>
            </w:pPr>
            <w:r>
              <w:rPr>
                <w:rFonts w:ascii="Arial" w:cs="Arial" w:eastAsia="Arial" w:hAnsi="Arial"/>
                <w:sz w:val="18"/>
                <w:szCs w:val="18"/>
                <w:color w:val="auto"/>
              </w:rPr>
              <w:t>$0 in 2022)</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60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5"/>
              </w:rPr>
              <w:t>Reclassification adjustment for amounts recognized in income, net of tax of</w:t>
            </w:r>
          </w:p>
        </w:tc>
        <w:tc>
          <w:tcPr>
            <w:tcW w:w="240" w:type="dxa"/>
            <w:vAlign w:val="bottom"/>
            <w:shd w:val="clear" w:color="auto" w:fill="CFF0FC"/>
          </w:tcPr>
          <w:p>
            <w:pPr>
              <w:spacing w:after="0"/>
              <w:rPr>
                <w:sz w:val="19"/>
                <w:szCs w:val="19"/>
                <w:color w:val="auto"/>
              </w:rPr>
            </w:pPr>
          </w:p>
        </w:tc>
        <w:tc>
          <w:tcPr>
            <w:tcW w:w="940" w:type="dxa"/>
            <w:vAlign w:val="bottom"/>
            <w:vMerge w:val="restart"/>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vMerge w:val="restart"/>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vMerge w:val="restart"/>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$0 and $0 in 2023 ($0 and $0 in 2022)</w:t>
            </w: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55</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(149 )</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109</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(109 )</w:t>
            </w:r>
          </w:p>
        </w:tc>
        <w:tc>
          <w:tcPr>
            <w:tcW w:w="0" w:type="dxa"/>
            <w:vAlign w:val="bottom"/>
          </w:tcPr>
          <w:p>
            <w:pPr>
              <w:spacing w:after="0"/>
              <w:rPr>
                <w:sz w:val="1"/>
                <w:szCs w:val="1"/>
                <w:color w:val="auto"/>
              </w:rPr>
            </w:pPr>
          </w:p>
        </w:tc>
      </w:tr>
      <w:tr>
        <w:trPr>
          <w:trHeight w:val="241"/>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(153 )</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21</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(198 )</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157</w:t>
            </w:r>
          </w:p>
        </w:tc>
        <w:tc>
          <w:tcPr>
            <w:tcW w:w="0" w:type="dxa"/>
            <w:vAlign w:val="bottom"/>
          </w:tcPr>
          <w:p>
            <w:pPr>
              <w:spacing w:after="0"/>
              <w:rPr>
                <w:sz w:val="1"/>
                <w:szCs w:val="1"/>
                <w:color w:val="auto"/>
              </w:rPr>
            </w:pPr>
          </w:p>
        </w:tc>
      </w:tr>
      <w:tr>
        <w:trPr>
          <w:trHeight w:val="237"/>
        </w:trPr>
        <w:tc>
          <w:tcPr>
            <w:tcW w:w="6080" w:type="dxa"/>
            <w:vAlign w:val="bottom"/>
          </w:tcPr>
          <w:p>
            <w:pPr>
              <w:ind w:left="120"/>
              <w:spacing w:after="0"/>
              <w:rPr>
                <w:sz w:val="20"/>
                <w:szCs w:val="20"/>
                <w:color w:val="auto"/>
              </w:rPr>
            </w:pPr>
            <w:r>
              <w:rPr>
                <w:rFonts w:ascii="Arial" w:cs="Arial" w:eastAsia="Arial" w:hAnsi="Arial"/>
                <w:sz w:val="18"/>
                <w:szCs w:val="18"/>
                <w:color w:val="auto"/>
              </w:rPr>
              <w:t>Less: Comprehensive Income (Loss) Attributable to Minority Shareholders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9"/>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Goodyear Comprehensive Income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(152 )</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24</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(202 )</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-668020</wp:posOffset>
            </wp:positionV>
            <wp:extent cx="9461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-668020</wp:posOffset>
            </wp:positionV>
            <wp:extent cx="10287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-668020</wp:posOffset>
            </wp:positionV>
            <wp:extent cx="939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-24765</wp:posOffset>
            </wp:positionV>
            <wp:extent cx="946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946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1028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1028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939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939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ind w:left="340" w:right="2780"/>
        <w:spacing w:after="0" w:line="275" w:lineRule="auto"/>
        <w:rPr>
          <w:sz w:val="20"/>
          <w:szCs w:val="20"/>
          <w:color w:val="auto"/>
        </w:rPr>
      </w:pPr>
      <w:r>
        <w:rPr>
          <w:rFonts w:ascii="Arial" w:cs="Arial" w:eastAsia="Arial" w:hAnsi="Arial"/>
          <w:sz w:val="18"/>
          <w:szCs w:val="18"/>
          <w:b w:val="1"/>
          <w:bCs w:val="1"/>
          <w:color w:val="auto"/>
        </w:rPr>
        <w:t>THE GOODYEAR TIRE &amp; RUBBER COMPANY AND SUBSIDIARIES CONSOLIDATED BALANCE SHEETS (Unaudited)</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519"/>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299"/>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8080" w:type="dxa"/>
            <w:vAlign w:val="bottom"/>
          </w:tcPr>
          <w:p>
            <w:pPr>
              <w:ind w:left="20"/>
              <w:spacing w:after="0"/>
              <w:rPr>
                <w:sz w:val="20"/>
                <w:szCs w:val="20"/>
                <w:color w:val="auto"/>
              </w:rPr>
            </w:pPr>
            <w:r>
              <w:rPr>
                <w:rFonts w:ascii="Arial" w:cs="Arial" w:eastAsia="Arial" w:hAnsi="Arial"/>
                <w:sz w:val="14"/>
                <w:szCs w:val="14"/>
                <w:i w:val="1"/>
                <w:iCs w:val="1"/>
                <w:color w:val="auto"/>
              </w:rPr>
              <w:t>(In millions, except share data)</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r>
      <w:tr>
        <w:trPr>
          <w:trHeight w:val="223"/>
        </w:trPr>
        <w:tc>
          <w:tcPr>
            <w:tcW w:w="80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9"/>
        </w:trPr>
        <w:tc>
          <w:tcPr>
            <w:tcW w:w="80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1,049</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1,227</w:t>
            </w:r>
          </w:p>
        </w:tc>
      </w:tr>
      <w:tr>
        <w:trPr>
          <w:trHeight w:val="220"/>
        </w:trPr>
        <w:tc>
          <w:tcPr>
            <w:tcW w:w="8080" w:type="dxa"/>
            <w:vAlign w:val="bottom"/>
          </w:tcPr>
          <w:p>
            <w:pPr>
              <w:ind w:left="120"/>
              <w:spacing w:after="0"/>
              <w:rPr>
                <w:sz w:val="20"/>
                <w:szCs w:val="20"/>
                <w:color w:val="auto"/>
              </w:rPr>
            </w:pPr>
            <w:r>
              <w:rPr>
                <w:rFonts w:ascii="Arial" w:cs="Arial" w:eastAsia="Arial" w:hAnsi="Arial"/>
                <w:sz w:val="16"/>
                <w:szCs w:val="16"/>
                <w:color w:val="auto"/>
              </w:rPr>
              <w:t>Accounts Receivable, less Allowance — $104 ($112 in 2022)</w:t>
            </w:r>
          </w:p>
        </w:tc>
        <w:tc>
          <w:tcPr>
            <w:tcW w:w="2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3,033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2,610</w:t>
            </w:r>
          </w:p>
        </w:tc>
      </w:tr>
      <w:tr>
        <w:trPr>
          <w:trHeight w:val="239"/>
        </w:trPr>
        <w:tc>
          <w:tcPr>
            <w:tcW w:w="80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20"/>
        </w:trPr>
        <w:tc>
          <w:tcPr>
            <w:tcW w:w="8080" w:type="dxa"/>
            <w:vAlign w:val="bottom"/>
          </w:tcPr>
          <w:p>
            <w:pPr>
              <w:ind w:left="200"/>
              <w:spacing w:after="0"/>
              <w:rPr>
                <w:sz w:val="20"/>
                <w:szCs w:val="20"/>
                <w:color w:val="auto"/>
              </w:rPr>
            </w:pPr>
            <w:r>
              <w:rPr>
                <w:rFonts w:ascii="Arial" w:cs="Arial" w:eastAsia="Arial" w:hAnsi="Arial"/>
                <w:sz w:val="16"/>
                <w:szCs w:val="16"/>
                <w:color w:val="auto"/>
              </w:rPr>
              <w:t>Raw Materials</w:t>
            </w:r>
          </w:p>
        </w:tc>
        <w:tc>
          <w:tcPr>
            <w:tcW w:w="2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918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1,191</w:t>
            </w:r>
          </w:p>
        </w:tc>
      </w:tr>
      <w:tr>
        <w:trPr>
          <w:trHeight w:val="239"/>
        </w:trPr>
        <w:tc>
          <w:tcPr>
            <w:tcW w:w="8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Work in Process</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231</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187</w:t>
            </w:r>
          </w:p>
        </w:tc>
      </w:tr>
      <w:tr>
        <w:trPr>
          <w:trHeight w:val="223"/>
        </w:trPr>
        <w:tc>
          <w:tcPr>
            <w:tcW w:w="8080" w:type="dxa"/>
            <w:vAlign w:val="bottom"/>
          </w:tcPr>
          <w:p>
            <w:pPr>
              <w:ind w:left="200"/>
              <w:spacing w:after="0"/>
              <w:rPr>
                <w:sz w:val="20"/>
                <w:szCs w:val="20"/>
                <w:color w:val="auto"/>
              </w:rPr>
            </w:pPr>
            <w:r>
              <w:rPr>
                <w:rFonts w:ascii="Arial" w:cs="Arial" w:eastAsia="Arial" w:hAnsi="Arial"/>
                <w:sz w:val="16"/>
                <w:szCs w:val="16"/>
                <w:color w:val="auto"/>
              </w:rPr>
              <w:t>Finished Products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3,211</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3,193</w:t>
            </w:r>
          </w:p>
        </w:tc>
      </w:tr>
      <w:tr>
        <w:trPr>
          <w:trHeight w:val="229"/>
        </w:trPr>
        <w:tc>
          <w:tcPr>
            <w:tcW w:w="8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4,360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4,571</w:t>
            </w:r>
          </w:p>
        </w:tc>
      </w:tr>
      <w:tr>
        <w:trPr>
          <w:trHeight w:val="223"/>
        </w:trPr>
        <w:tc>
          <w:tcPr>
            <w:tcW w:w="808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416</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257</w:t>
            </w:r>
          </w:p>
        </w:tc>
      </w:tr>
      <w:tr>
        <w:trPr>
          <w:trHeight w:val="229"/>
        </w:trPr>
        <w:tc>
          <w:tcPr>
            <w:tcW w:w="8080" w:type="dxa"/>
            <w:vAlign w:val="bottom"/>
            <w:shd w:val="clear" w:color="auto" w:fill="CFF0FC"/>
          </w:tcPr>
          <w:p>
            <w:pPr>
              <w:ind w:left="300"/>
              <w:spacing w:after="0"/>
              <w:rPr>
                <w:sz w:val="20"/>
                <w:szCs w:val="20"/>
                <w:color w:val="auto"/>
              </w:rPr>
            </w:pPr>
            <w:r>
              <w:rPr>
                <w:rFonts w:ascii="Arial" w:cs="Arial" w:eastAsia="Arial" w:hAnsi="Arial"/>
                <w:sz w:val="16"/>
                <w:szCs w:val="16"/>
                <w:b w:val="1"/>
                <w:bCs w:val="1"/>
                <w:color w:val="auto"/>
              </w:rPr>
              <w:t>Total Current 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8,858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auto"/>
              </w:rPr>
              <w:t>8,665</w:t>
            </w:r>
          </w:p>
        </w:tc>
      </w:tr>
      <w:tr>
        <w:trPr>
          <w:trHeight w:val="220"/>
        </w:trPr>
        <w:tc>
          <w:tcPr>
            <w:tcW w:w="80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1,018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1,014</w:t>
            </w:r>
          </w:p>
        </w:tc>
      </w:tr>
      <w:tr>
        <w:trPr>
          <w:trHeight w:val="239"/>
        </w:trPr>
        <w:tc>
          <w:tcPr>
            <w:tcW w:w="8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Intangible Assets</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983</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1,004</w:t>
            </w:r>
          </w:p>
        </w:tc>
      </w:tr>
      <w:tr>
        <w:trPr>
          <w:trHeight w:val="220"/>
        </w:trPr>
        <w:tc>
          <w:tcPr>
            <w:tcW w:w="8080" w:type="dxa"/>
            <w:vAlign w:val="bottom"/>
          </w:tcPr>
          <w:p>
            <w:pPr>
              <w:ind w:left="20"/>
              <w:spacing w:after="0"/>
              <w:rPr>
                <w:sz w:val="20"/>
                <w:szCs w:val="20"/>
                <w:color w:val="auto"/>
              </w:rPr>
            </w:pPr>
            <w:r>
              <w:rPr>
                <w:rFonts w:ascii="Arial" w:cs="Arial" w:eastAsia="Arial" w:hAnsi="Arial"/>
                <w:sz w:val="16"/>
                <w:szCs w:val="16"/>
                <w:color w:val="auto"/>
              </w:rPr>
              <w:t>Deferred Income Taxes (Note 5)</w:t>
            </w:r>
          </w:p>
        </w:tc>
        <w:tc>
          <w:tcPr>
            <w:tcW w:w="2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1,517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1,443</w:t>
            </w:r>
          </w:p>
        </w:tc>
      </w:tr>
      <w:tr>
        <w:trPr>
          <w:trHeight w:val="239"/>
        </w:trPr>
        <w:tc>
          <w:tcPr>
            <w:tcW w:w="8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1,161</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1,035</w:t>
            </w:r>
          </w:p>
        </w:tc>
      </w:tr>
      <w:tr>
        <w:trPr>
          <w:trHeight w:val="220"/>
        </w:trPr>
        <w:tc>
          <w:tcPr>
            <w:tcW w:w="80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980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976</w:t>
            </w:r>
          </w:p>
        </w:tc>
      </w:tr>
      <w:tr>
        <w:trPr>
          <w:trHeight w:val="233"/>
        </w:trPr>
        <w:tc>
          <w:tcPr>
            <w:tcW w:w="8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Property, Plant and Equipment, less Accumulated Depreciation — $11,857 ($11,377 in 2022)</w:t>
            </w: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8,297</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8,294</w:t>
            </w:r>
          </w:p>
        </w:tc>
      </w:tr>
      <w:tr>
        <w:trPr>
          <w:trHeight w:val="223"/>
        </w:trPr>
        <w:tc>
          <w:tcPr>
            <w:tcW w:w="8080" w:type="dxa"/>
            <w:vAlign w:val="bottom"/>
          </w:tcPr>
          <w:p>
            <w:pPr>
              <w:ind w:left="30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22,814</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22,431</w:t>
            </w:r>
          </w:p>
        </w:tc>
      </w:tr>
      <w:tr>
        <w:trPr>
          <w:trHeight w:val="20"/>
        </w:trPr>
        <w:tc>
          <w:tcPr>
            <w:tcW w:w="8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8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2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9"/>
        </w:trPr>
        <w:tc>
          <w:tcPr>
            <w:tcW w:w="80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20"/>
        </w:trPr>
        <w:tc>
          <w:tcPr>
            <w:tcW w:w="8080" w:type="dxa"/>
            <w:vAlign w:val="bottom"/>
          </w:tcPr>
          <w:p>
            <w:pPr>
              <w:ind w:left="120"/>
              <w:spacing w:after="0"/>
              <w:rPr>
                <w:sz w:val="20"/>
                <w:szCs w:val="20"/>
                <w:color w:val="auto"/>
              </w:rPr>
            </w:pPr>
            <w:r>
              <w:rPr>
                <w:rFonts w:ascii="Arial" w:cs="Arial" w:eastAsia="Arial" w:hAnsi="Arial"/>
                <w:sz w:val="16"/>
                <w:szCs w:val="16"/>
                <w:color w:val="auto"/>
              </w:rPr>
              <w:t>Accounts Payable — Trade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4,361</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4,803</w:t>
            </w:r>
          </w:p>
        </w:tc>
      </w:tr>
      <w:tr>
        <w:trPr>
          <w:trHeight w:val="239"/>
        </w:trPr>
        <w:tc>
          <w:tcPr>
            <w:tcW w:w="80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 and Benefits (Notes 10 and 11)</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611</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643</w:t>
            </w:r>
          </w:p>
        </w:tc>
      </w:tr>
      <w:tr>
        <w:trPr>
          <w:trHeight w:val="220"/>
        </w:trPr>
        <w:tc>
          <w:tcPr>
            <w:tcW w:w="808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982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872</w:t>
            </w:r>
          </w:p>
        </w:tc>
      </w:tr>
      <w:tr>
        <w:trPr>
          <w:trHeight w:val="239"/>
        </w:trPr>
        <w:tc>
          <w:tcPr>
            <w:tcW w:w="80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Notes Payable and Overdrafts (Note 8)</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539</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395</w:t>
            </w:r>
          </w:p>
        </w:tc>
      </w:tr>
      <w:tr>
        <w:trPr>
          <w:trHeight w:val="220"/>
        </w:trPr>
        <w:tc>
          <w:tcPr>
            <w:tcW w:w="8080" w:type="dxa"/>
            <w:vAlign w:val="bottom"/>
          </w:tcPr>
          <w:p>
            <w:pPr>
              <w:ind w:left="120"/>
              <w:spacing w:after="0"/>
              <w:rPr>
                <w:sz w:val="20"/>
                <w:szCs w:val="20"/>
                <w:color w:val="auto"/>
              </w:rPr>
            </w:pPr>
            <w:r>
              <w:rPr>
                <w:rFonts w:ascii="Arial" w:cs="Arial" w:eastAsia="Arial" w:hAnsi="Arial"/>
                <w:sz w:val="16"/>
                <w:szCs w:val="16"/>
                <w:color w:val="auto"/>
              </w:rPr>
              <w:t>Operating Lease Liabilities due Within One Year</w:t>
            </w:r>
          </w:p>
        </w:tc>
        <w:tc>
          <w:tcPr>
            <w:tcW w:w="2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199</w:t>
            </w:r>
          </w:p>
        </w:tc>
      </w:tr>
      <w:tr>
        <w:trPr>
          <w:trHeight w:val="233"/>
        </w:trPr>
        <w:tc>
          <w:tcPr>
            <w:tcW w:w="80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Long Term Debt and Finance Leases due Within One Year (Note 8)</w:t>
            </w: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244</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228</w:t>
            </w:r>
          </w:p>
        </w:tc>
      </w:tr>
      <w:tr>
        <w:trPr>
          <w:trHeight w:val="220"/>
        </w:trPr>
        <w:tc>
          <w:tcPr>
            <w:tcW w:w="8080" w:type="dxa"/>
            <w:vAlign w:val="bottom"/>
          </w:tcPr>
          <w:p>
            <w:pPr>
              <w:ind w:left="300"/>
              <w:spacing w:after="0"/>
              <w:rPr>
                <w:sz w:val="20"/>
                <w:szCs w:val="20"/>
                <w:color w:val="auto"/>
              </w:rPr>
            </w:pPr>
            <w:r>
              <w:rPr>
                <w:rFonts w:ascii="Arial" w:cs="Arial" w:eastAsia="Arial" w:hAnsi="Arial"/>
                <w:sz w:val="16"/>
                <w:szCs w:val="16"/>
                <w:b w:val="1"/>
                <w:bCs w:val="1"/>
                <w:color w:val="auto"/>
              </w:rPr>
              <w:t>Total Current Liabilities</w:t>
            </w:r>
          </w:p>
        </w:tc>
        <w:tc>
          <w:tcPr>
            <w:tcW w:w="2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6,940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7,140</w:t>
            </w:r>
          </w:p>
        </w:tc>
      </w:tr>
      <w:tr>
        <w:trPr>
          <w:trHeight w:val="239"/>
        </w:trPr>
        <w:tc>
          <w:tcPr>
            <w:tcW w:w="8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821</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821</w:t>
            </w:r>
          </w:p>
        </w:tc>
      </w:tr>
      <w:tr>
        <w:trPr>
          <w:trHeight w:val="220"/>
        </w:trPr>
        <w:tc>
          <w:tcPr>
            <w:tcW w:w="8080" w:type="dxa"/>
            <w:vAlign w:val="bottom"/>
          </w:tcPr>
          <w:p>
            <w:pPr>
              <w:ind w:left="20"/>
              <w:spacing w:after="0"/>
              <w:rPr>
                <w:sz w:val="20"/>
                <w:szCs w:val="20"/>
                <w:color w:val="auto"/>
              </w:rPr>
            </w:pPr>
            <w:r>
              <w:rPr>
                <w:rFonts w:ascii="Arial" w:cs="Arial" w:eastAsia="Arial" w:hAnsi="Arial"/>
                <w:sz w:val="16"/>
                <w:szCs w:val="16"/>
                <w:color w:val="auto"/>
              </w:rPr>
              <w:t>Long Term Debt and Finance Leases (Note 8)</w:t>
            </w:r>
          </w:p>
        </w:tc>
        <w:tc>
          <w:tcPr>
            <w:tcW w:w="2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8,027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7,267</w:t>
            </w:r>
          </w:p>
        </w:tc>
      </w:tr>
      <w:tr>
        <w:trPr>
          <w:trHeight w:val="239"/>
        </w:trPr>
        <w:tc>
          <w:tcPr>
            <w:tcW w:w="8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Compensation and Benefits (Notes 10 and 11)</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985</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998</w:t>
            </w:r>
          </w:p>
        </w:tc>
      </w:tr>
      <w:tr>
        <w:trPr>
          <w:trHeight w:val="220"/>
        </w:trPr>
        <w:tc>
          <w:tcPr>
            <w:tcW w:w="8080" w:type="dxa"/>
            <w:vAlign w:val="bottom"/>
          </w:tcPr>
          <w:p>
            <w:pPr>
              <w:ind w:left="20"/>
              <w:spacing w:after="0"/>
              <w:rPr>
                <w:sz w:val="20"/>
                <w:szCs w:val="20"/>
                <w:color w:val="auto"/>
              </w:rPr>
            </w:pPr>
            <w:r>
              <w:rPr>
                <w:rFonts w:ascii="Arial" w:cs="Arial" w:eastAsia="Arial" w:hAnsi="Arial"/>
                <w:sz w:val="16"/>
                <w:szCs w:val="16"/>
                <w:color w:val="auto"/>
              </w:rPr>
              <w:t>Deferred Income Taxes (Note 5)</w:t>
            </w:r>
          </w:p>
        </w:tc>
        <w:tc>
          <w:tcPr>
            <w:tcW w:w="2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115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134</w:t>
            </w:r>
          </w:p>
        </w:tc>
      </w:tr>
      <w:tr>
        <w:trPr>
          <w:trHeight w:val="233"/>
        </w:trPr>
        <w:tc>
          <w:tcPr>
            <w:tcW w:w="8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Long Term Liabilities</w:t>
            </w: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653</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605</w:t>
            </w:r>
          </w:p>
        </w:tc>
      </w:tr>
      <w:tr>
        <w:trPr>
          <w:trHeight w:val="220"/>
        </w:trPr>
        <w:tc>
          <w:tcPr>
            <w:tcW w:w="8080" w:type="dxa"/>
            <w:vAlign w:val="bottom"/>
          </w:tcPr>
          <w:p>
            <w:pPr>
              <w:ind w:left="300"/>
              <w:spacing w:after="0"/>
              <w:rPr>
                <w:sz w:val="20"/>
                <w:szCs w:val="20"/>
                <w:color w:val="auto"/>
              </w:rPr>
            </w:pPr>
            <w:r>
              <w:rPr>
                <w:rFonts w:ascii="Arial" w:cs="Arial" w:eastAsia="Arial" w:hAnsi="Arial"/>
                <w:sz w:val="16"/>
                <w:szCs w:val="16"/>
                <w:b w:val="1"/>
                <w:bCs w:val="1"/>
                <w:color w:val="auto"/>
              </w:rPr>
              <w:t>Total Liabilities</w:t>
            </w:r>
          </w:p>
        </w:tc>
        <w:tc>
          <w:tcPr>
            <w:tcW w:w="2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17,541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16,965</w:t>
            </w:r>
          </w:p>
        </w:tc>
      </w:tr>
      <w:tr>
        <w:trPr>
          <w:trHeight w:val="239"/>
        </w:trPr>
        <w:tc>
          <w:tcPr>
            <w:tcW w:w="8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Contingent Liabilities (Note 12)</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2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9"/>
        </w:trPr>
        <w:tc>
          <w:tcPr>
            <w:tcW w:w="80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Goodyear Shareholders’ Equity:</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20"/>
        </w:trPr>
        <w:tc>
          <w:tcPr>
            <w:tcW w:w="8080" w:type="dxa"/>
            <w:vAlign w:val="bottom"/>
          </w:tcPr>
          <w:p>
            <w:pPr>
              <w:ind w:left="120"/>
              <w:spacing w:after="0"/>
              <w:rPr>
                <w:sz w:val="20"/>
                <w:szCs w:val="20"/>
                <w:color w:val="auto"/>
              </w:rPr>
            </w:pPr>
            <w:r>
              <w:rPr>
                <w:rFonts w:ascii="Arial" w:cs="Arial" w:eastAsia="Arial" w:hAnsi="Arial"/>
                <w:sz w:val="16"/>
                <w:szCs w:val="16"/>
                <w:color w:val="auto"/>
              </w:rPr>
              <w:t>Common Stock, no par value:</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9"/>
        </w:trPr>
        <w:tc>
          <w:tcPr>
            <w:tcW w:w="8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Authorized, 450 million shares, Outstanding shares — 283 million in 2023 and 2022</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283</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283</w:t>
            </w:r>
          </w:p>
        </w:tc>
      </w:tr>
      <w:tr>
        <w:trPr>
          <w:trHeight w:val="220"/>
        </w:trPr>
        <w:tc>
          <w:tcPr>
            <w:tcW w:w="8080" w:type="dxa"/>
            <w:vAlign w:val="bottom"/>
          </w:tcPr>
          <w:p>
            <w:pPr>
              <w:ind w:left="120"/>
              <w:spacing w:after="0"/>
              <w:rPr>
                <w:sz w:val="20"/>
                <w:szCs w:val="20"/>
                <w:color w:val="auto"/>
              </w:rPr>
            </w:pPr>
            <w:r>
              <w:rPr>
                <w:rFonts w:ascii="Arial" w:cs="Arial" w:eastAsia="Arial" w:hAnsi="Arial"/>
                <w:sz w:val="16"/>
                <w:szCs w:val="16"/>
                <w:color w:val="auto"/>
              </w:rPr>
              <w:t>Capital Surplus</w:t>
            </w:r>
          </w:p>
        </w:tc>
        <w:tc>
          <w:tcPr>
            <w:tcW w:w="2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3,124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3,117</w:t>
            </w:r>
          </w:p>
        </w:tc>
      </w:tr>
      <w:tr>
        <w:trPr>
          <w:trHeight w:val="239"/>
        </w:trPr>
        <w:tc>
          <w:tcPr>
            <w:tcW w:w="80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5,466</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5,775</w:t>
            </w:r>
          </w:p>
        </w:tc>
      </w:tr>
      <w:tr>
        <w:trPr>
          <w:trHeight w:val="223"/>
        </w:trPr>
        <w:tc>
          <w:tcPr>
            <w:tcW w:w="8080" w:type="dxa"/>
            <w:vAlign w:val="bottom"/>
          </w:tcPr>
          <w:p>
            <w:pPr>
              <w:ind w:left="120"/>
              <w:spacing w:after="0"/>
              <w:rPr>
                <w:sz w:val="20"/>
                <w:szCs w:val="20"/>
                <w:color w:val="auto"/>
              </w:rPr>
            </w:pPr>
            <w:r>
              <w:rPr>
                <w:rFonts w:ascii="Arial" w:cs="Arial" w:eastAsia="Arial" w:hAnsi="Arial"/>
                <w:sz w:val="16"/>
                <w:szCs w:val="16"/>
                <w:color w:val="auto"/>
              </w:rPr>
              <w:t>Accumulated Other Comprehensive Loss (Note 14)</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(3,768 )</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(3,875 )</w:t>
            </w:r>
          </w:p>
        </w:tc>
      </w:tr>
      <w:tr>
        <w:trPr>
          <w:trHeight w:val="229"/>
        </w:trPr>
        <w:tc>
          <w:tcPr>
            <w:tcW w:w="8080" w:type="dxa"/>
            <w:vAlign w:val="bottom"/>
            <w:shd w:val="clear" w:color="auto" w:fill="CFF0FC"/>
          </w:tcPr>
          <w:p>
            <w:pPr>
              <w:ind w:left="300"/>
              <w:spacing w:after="0"/>
              <w:rPr>
                <w:sz w:val="20"/>
                <w:szCs w:val="20"/>
                <w:color w:val="auto"/>
              </w:rPr>
            </w:pPr>
            <w:r>
              <w:rPr>
                <w:rFonts w:ascii="Arial" w:cs="Arial" w:eastAsia="Arial" w:hAnsi="Arial"/>
                <w:sz w:val="16"/>
                <w:szCs w:val="16"/>
                <w:b w:val="1"/>
                <w:bCs w:val="1"/>
                <w:color w:val="auto"/>
              </w:rPr>
              <w:t>Goodyear Shareholders’ Equity</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5,105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auto"/>
              </w:rPr>
              <w:t>5,300</w:t>
            </w: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color w:val="auto"/>
              </w:rPr>
              <w:t>Minority Shareholders’ Equity — Nonredeemable</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168</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166</w:t>
            </w:r>
          </w:p>
        </w:tc>
      </w:tr>
      <w:tr>
        <w:trPr>
          <w:trHeight w:val="223"/>
        </w:trPr>
        <w:tc>
          <w:tcPr>
            <w:tcW w:w="80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b w:val="1"/>
                <w:bCs w:val="1"/>
                <w:color w:val="auto"/>
              </w:rPr>
              <w:t>Total Shareholders’ Equity</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5,273</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auto"/>
              </w:rPr>
              <w:t>5,466</w:t>
            </w:r>
          </w:p>
        </w:tc>
      </w:tr>
      <w:tr>
        <w:trPr>
          <w:trHeight w:val="223"/>
        </w:trPr>
        <w:tc>
          <w:tcPr>
            <w:tcW w:w="8080" w:type="dxa"/>
            <w:vAlign w:val="bottom"/>
          </w:tcPr>
          <w:p>
            <w:pPr>
              <w:ind w:left="300"/>
              <w:spacing w:after="0"/>
              <w:rPr>
                <w:sz w:val="20"/>
                <w:szCs w:val="20"/>
                <w:color w:val="auto"/>
              </w:rPr>
            </w:pPr>
            <w:r>
              <w:rPr>
                <w:rFonts w:ascii="Arial" w:cs="Arial" w:eastAsia="Arial" w:hAnsi="Arial"/>
                <w:sz w:val="16"/>
                <w:szCs w:val="16"/>
                <w:b w:val="1"/>
                <w:bCs w:val="1"/>
                <w:color w:val="auto"/>
              </w:rPr>
              <w:t>Total Liabilities and Shareholders’ Equity</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22,814</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22,431</w:t>
            </w:r>
          </w:p>
        </w:tc>
      </w:tr>
      <w:tr>
        <w:trPr>
          <w:trHeight w:val="20"/>
        </w:trPr>
        <w:tc>
          <w:tcPr>
            <w:tcW w:w="8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-4328160</wp:posOffset>
            </wp:positionV>
            <wp:extent cx="9398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-2836545</wp:posOffset>
            </wp:positionV>
            <wp:extent cx="9398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-1953895</wp:posOffset>
            </wp:positionV>
            <wp:extent cx="9398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-179705</wp:posOffset>
            </wp:positionV>
            <wp:extent cx="9398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980" cy="18034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ind w:left="340" w:right="2780"/>
        <w:spacing w:after="0" w:line="266"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SHAREHOLDERS’ EQUITY (Unaudited)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148"/>
              <w:spacing w:after="0"/>
              <w:rPr>
                <w:sz w:val="20"/>
                <w:szCs w:val="20"/>
                <w:color w:val="auto"/>
              </w:rPr>
            </w:pPr>
            <w:r>
              <w:rPr>
                <w:rFonts w:ascii="Arial" w:cs="Arial" w:eastAsia="Arial" w:hAnsi="Arial"/>
                <w:sz w:val="14"/>
                <w:szCs w:val="14"/>
                <w:b w:val="1"/>
                <w:bCs w:val="1"/>
                <w:color w:val="auto"/>
                <w:w w:val="99"/>
              </w:rPr>
              <w:t>Minority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228"/>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148"/>
              <w:spacing w:after="0"/>
              <w:rPr>
                <w:sz w:val="20"/>
                <w:szCs w:val="20"/>
                <w:color w:val="auto"/>
              </w:rPr>
            </w:pPr>
            <w:r>
              <w:rPr>
                <w:rFonts w:ascii="Arial" w:cs="Arial" w:eastAsia="Arial" w:hAnsi="Arial"/>
                <w:sz w:val="14"/>
                <w:szCs w:val="14"/>
                <w:b w:val="1"/>
                <w:bCs w:val="1"/>
                <w:color w:val="auto"/>
                <w:w w:val="94"/>
              </w:rPr>
              <w:t>Goodyear</w:t>
            </w:r>
          </w:p>
        </w:tc>
        <w:tc>
          <w:tcPr>
            <w:tcW w:w="140" w:type="dxa"/>
            <w:vAlign w:val="bottom"/>
          </w:tcPr>
          <w:p>
            <w:pPr>
              <w:spacing w:after="0"/>
              <w:rPr>
                <w:sz w:val="15"/>
                <w:szCs w:val="15"/>
                <w:color w:val="auto"/>
              </w:rPr>
            </w:pPr>
          </w:p>
        </w:tc>
        <w:tc>
          <w:tcPr>
            <w:tcW w:w="104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20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3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3"/>
              </w:rPr>
              <w:t>Common Stock</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1040" w:type="dxa"/>
            <w:vAlign w:val="bottom"/>
            <w:gridSpan w:val="2"/>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Comprehensiv</w:t>
            </w:r>
          </w:p>
        </w:tc>
        <w:tc>
          <w:tcPr>
            <w:tcW w:w="12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Shareholders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8"/>
              </w:rPr>
              <w:t>Equity —</w:t>
            </w:r>
          </w:p>
        </w:tc>
        <w:tc>
          <w:tcPr>
            <w:tcW w:w="120" w:type="dxa"/>
            <w:vAlign w:val="bottom"/>
          </w:tcPr>
          <w:p>
            <w:pPr>
              <w:spacing w:after="0"/>
              <w:rPr>
                <w:sz w:val="12"/>
                <w:szCs w:val="12"/>
                <w:color w:val="auto"/>
              </w:rPr>
            </w:pPr>
          </w:p>
        </w:tc>
        <w:tc>
          <w:tcPr>
            <w:tcW w:w="10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300" w:type="dxa"/>
            <w:vAlign w:val="bottom"/>
            <w:tcBorders>
              <w:bottom w:val="single" w:sz="8" w:color="auto"/>
            </w:tcBorders>
            <w:gridSpan w:val="3"/>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228"/>
              <w:spacing w:after="0"/>
              <w:rPr>
                <w:sz w:val="20"/>
                <w:szCs w:val="20"/>
                <w:color w:val="auto"/>
              </w:rPr>
            </w:pPr>
            <w:r>
              <w:rPr>
                <w:rFonts w:ascii="Arial" w:cs="Arial" w:eastAsia="Arial" w:hAnsi="Arial"/>
                <w:sz w:val="14"/>
                <w:szCs w:val="14"/>
                <w:b w:val="1"/>
                <w:bCs w:val="1"/>
                <w:color w:val="auto"/>
                <w:w w:val="76"/>
              </w:rPr>
              <w: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2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48"/>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2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3"/>
        </w:trPr>
        <w:tc>
          <w:tcPr>
            <w:tcW w:w="3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Amoun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160" w:type="dxa"/>
            <w:vAlign w:val="bottom"/>
          </w:tcPr>
          <w:p>
            <w:pPr>
              <w:ind w:left="20"/>
              <w:spacing w:after="0"/>
              <w:rPr>
                <w:sz w:val="20"/>
                <w:szCs w:val="20"/>
                <w:color w:val="auto"/>
              </w:rPr>
            </w:pPr>
            <w:r>
              <w:rPr>
                <w:rFonts w:ascii="Arial" w:cs="Arial" w:eastAsia="Arial" w:hAnsi="Arial"/>
                <w:sz w:val="14"/>
                <w:szCs w:val="14"/>
                <w:i w:val="1"/>
                <w:iCs w:val="1"/>
                <w:color w:val="auto"/>
              </w:rPr>
              <w:t>(In millions, except share data)</w:t>
            </w: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w w:val="84"/>
              </w:rPr>
              <w:t>t</w:t>
            </w:r>
          </w:p>
        </w:tc>
        <w:tc>
          <w:tcPr>
            <w:tcW w:w="120" w:type="dxa"/>
            <w:vAlign w:val="bottom"/>
          </w:tcPr>
          <w:p>
            <w:pPr>
              <w:spacing w:after="0"/>
              <w:rPr>
                <w:sz w:val="16"/>
                <w:szCs w:val="16"/>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Surplus</w:t>
            </w:r>
          </w:p>
        </w:tc>
        <w:tc>
          <w:tcPr>
            <w:tcW w:w="120" w:type="dxa"/>
            <w:vAlign w:val="bottom"/>
          </w:tcPr>
          <w:p>
            <w:pPr>
              <w:spacing w:after="0"/>
              <w:rPr>
                <w:sz w:val="16"/>
                <w:szCs w:val="16"/>
                <w:color w:val="auto"/>
              </w:rPr>
            </w:pPr>
          </w:p>
        </w:tc>
        <w:tc>
          <w:tcPr>
            <w:tcW w:w="86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9"/>
              </w:rPr>
              <w:t>Redeemable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160" w:type="dxa"/>
            <w:vAlign w:val="bottom"/>
          </w:tcPr>
          <w:p>
            <w:pPr>
              <w:ind w:left="120"/>
              <w:spacing w:after="0" w:line="139" w:lineRule="exact"/>
              <w:rPr>
                <w:sz w:val="20"/>
                <w:szCs w:val="20"/>
                <w:color w:val="auto"/>
              </w:rPr>
            </w:pPr>
            <w:r>
              <w:rPr>
                <w:rFonts w:ascii="Arial" w:cs="Arial" w:eastAsia="Arial" w:hAnsi="Arial"/>
                <w:sz w:val="14"/>
                <w:szCs w:val="14"/>
                <w:color w:val="auto"/>
              </w:rPr>
              <w:t>(after deducting 41,391,555 common treasury</w:t>
            </w:r>
          </w:p>
        </w:tc>
        <w:tc>
          <w:tcPr>
            <w:tcW w:w="960" w:type="dxa"/>
            <w:vAlign w:val="bottom"/>
          </w:tcPr>
          <w:p>
            <w:pPr>
              <w:jc w:val="right"/>
              <w:ind w:right="68"/>
              <w:spacing w:after="0" w:line="139" w:lineRule="exact"/>
              <w:rPr>
                <w:sz w:val="20"/>
                <w:szCs w:val="20"/>
                <w:color w:val="auto"/>
              </w:rPr>
            </w:pPr>
            <w:r>
              <w:rPr>
                <w:rFonts w:ascii="Arial" w:cs="Arial" w:eastAsia="Arial" w:hAnsi="Arial"/>
                <w:sz w:val="14"/>
                <w:szCs w:val="14"/>
                <w:b w:val="1"/>
                <w:bCs w:val="1"/>
                <w:color w:val="auto"/>
              </w:rPr>
              <w:t>282,896,35</w:t>
            </w:r>
          </w:p>
        </w:tc>
        <w:tc>
          <w:tcPr>
            <w:tcW w:w="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283</w:t>
            </w:r>
          </w:p>
        </w:tc>
        <w:tc>
          <w:tcPr>
            <w:tcW w:w="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6"/>
              </w:rPr>
              <w:t>3,117</w:t>
            </w:r>
          </w:p>
        </w:tc>
        <w:tc>
          <w:tcPr>
            <w:tcW w:w="36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5,775</w:t>
            </w:r>
          </w:p>
        </w:tc>
        <w:tc>
          <w:tcPr>
            <w:tcW w:w="3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(3,875 )</w:t>
            </w:r>
          </w:p>
        </w:tc>
        <w:tc>
          <w:tcPr>
            <w:tcW w:w="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76"/>
              </w:rPr>
              <w:t>$</w:t>
            </w: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5,300</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166</w:t>
            </w:r>
          </w:p>
        </w:tc>
        <w:tc>
          <w:tcPr>
            <w:tcW w:w="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5,466</w:t>
            </w:r>
          </w:p>
        </w:tc>
        <w:tc>
          <w:tcPr>
            <w:tcW w:w="0" w:type="dxa"/>
            <w:vAlign w:val="bottom"/>
          </w:tcPr>
          <w:p>
            <w:pPr>
              <w:spacing w:after="0"/>
              <w:rPr>
                <w:sz w:val="1"/>
                <w:szCs w:val="1"/>
                <w:color w:val="auto"/>
              </w:rPr>
            </w:pPr>
          </w:p>
        </w:tc>
      </w:tr>
      <w:tr>
        <w:trPr>
          <w:trHeight w:val="185"/>
        </w:trPr>
        <w:tc>
          <w:tcPr>
            <w:tcW w:w="3160" w:type="dxa"/>
            <w:vAlign w:val="bottom"/>
          </w:tcPr>
          <w:p>
            <w:pPr>
              <w:ind w:left="120"/>
              <w:spacing w:after="0"/>
              <w:rPr>
                <w:sz w:val="20"/>
                <w:szCs w:val="20"/>
                <w:color w:val="auto"/>
              </w:rPr>
            </w:pPr>
            <w:r>
              <w:rPr>
                <w:rFonts w:ascii="Arial" w:cs="Arial" w:eastAsia="Arial" w:hAnsi="Arial"/>
                <w:sz w:val="14"/>
                <w:szCs w:val="14"/>
                <w:color w:val="auto"/>
              </w:rPr>
              <w:t>shares)</w:t>
            </w: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2</w:t>
            </w:r>
          </w:p>
        </w:tc>
        <w:tc>
          <w:tcPr>
            <w:tcW w:w="34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income (loss)</w:t>
            </w: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(101 )</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(101 )</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(99 )</w:t>
            </w:r>
          </w:p>
        </w:tc>
        <w:tc>
          <w:tcPr>
            <w:tcW w:w="0" w:type="dxa"/>
            <w:vAlign w:val="bottom"/>
          </w:tcPr>
          <w:p>
            <w:pPr>
              <w:spacing w:after="0"/>
              <w:rPr>
                <w:sz w:val="1"/>
                <w:szCs w:val="1"/>
                <w:color w:val="auto"/>
              </w:rPr>
            </w:pPr>
          </w:p>
        </w:tc>
      </w:tr>
      <w:tr>
        <w:trPr>
          <w:trHeight w:val="175"/>
        </w:trPr>
        <w:tc>
          <w:tcPr>
            <w:tcW w:w="3160" w:type="dxa"/>
            <w:vAlign w:val="bottom"/>
          </w:tcPr>
          <w:p>
            <w:pPr>
              <w:ind w:left="120"/>
              <w:spacing w:after="0"/>
              <w:rPr>
                <w:sz w:val="20"/>
                <w:szCs w:val="20"/>
                <w:color w:val="auto"/>
              </w:rPr>
            </w:pPr>
            <w:r>
              <w:rPr>
                <w:rFonts w:ascii="Arial" w:cs="Arial" w:eastAsia="Arial" w:hAnsi="Arial"/>
                <w:sz w:val="14"/>
                <w:szCs w:val="14"/>
                <w:color w:val="auto"/>
              </w:rPr>
              <w:t>Other comprehensive income (loss)</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69"/>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Total Comprehensive Income (Loss)</w:t>
            </w: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(50 )</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(45 )</w:t>
            </w:r>
          </w:p>
        </w:tc>
        <w:tc>
          <w:tcPr>
            <w:tcW w:w="0" w:type="dxa"/>
            <w:vAlign w:val="bottom"/>
          </w:tcPr>
          <w:p>
            <w:pPr>
              <w:spacing w:after="0"/>
              <w:rPr>
                <w:sz w:val="1"/>
                <w:szCs w:val="1"/>
                <w:color w:val="auto"/>
              </w:rPr>
            </w:pPr>
          </w:p>
        </w:tc>
      </w:tr>
      <w:tr>
        <w:trPr>
          <w:trHeight w:val="176"/>
        </w:trPr>
        <w:tc>
          <w:tcPr>
            <w:tcW w:w="3160" w:type="dxa"/>
            <w:vAlign w:val="bottom"/>
          </w:tcPr>
          <w:p>
            <w:pPr>
              <w:ind w:left="120"/>
              <w:spacing w:after="0"/>
              <w:rPr>
                <w:sz w:val="20"/>
                <w:szCs w:val="20"/>
                <w:color w:val="auto"/>
              </w:rPr>
            </w:pPr>
            <w:r>
              <w:rPr>
                <w:rFonts w:ascii="Arial" w:cs="Arial" w:eastAsia="Arial" w:hAnsi="Arial"/>
                <w:sz w:val="14"/>
                <w:szCs w:val="14"/>
                <w:color w:val="auto"/>
              </w:rPr>
              <w:t>Stock-based compensation plans</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5"/>
        </w:trPr>
        <w:tc>
          <w:tcPr>
            <w:tcW w:w="31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Common stock issued from treasury</w:t>
            </w:r>
          </w:p>
        </w:tc>
        <w:tc>
          <w:tcPr>
            <w:tcW w:w="9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530,949</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(1 )</w:t>
            </w: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(1 )</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69"/>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160" w:type="dxa"/>
            <w:vAlign w:val="bottom"/>
            <w:shd w:val="clear" w:color="auto" w:fill="CFF0FC"/>
          </w:tcPr>
          <w:p>
            <w:pPr>
              <w:ind w:left="120"/>
              <w:spacing w:after="0" w:line="139" w:lineRule="exact"/>
              <w:rPr>
                <w:sz w:val="20"/>
                <w:szCs w:val="20"/>
                <w:color w:val="auto"/>
              </w:rPr>
            </w:pPr>
            <w:r>
              <w:rPr>
                <w:rFonts w:ascii="Arial" w:cs="Arial" w:eastAsia="Arial" w:hAnsi="Arial"/>
                <w:sz w:val="14"/>
                <w:szCs w:val="14"/>
                <w:color w:val="auto"/>
              </w:rPr>
              <w:t>(after deducting 40,860,606 common treasury</w:t>
            </w:r>
          </w:p>
        </w:tc>
        <w:tc>
          <w:tcPr>
            <w:tcW w:w="960" w:type="dxa"/>
            <w:vAlign w:val="bottom"/>
            <w:shd w:val="clear" w:color="auto" w:fill="CFF0FC"/>
          </w:tcPr>
          <w:p>
            <w:pPr>
              <w:jc w:val="right"/>
              <w:ind w:right="68"/>
              <w:spacing w:after="0" w:line="139" w:lineRule="exact"/>
              <w:rPr>
                <w:sz w:val="20"/>
                <w:szCs w:val="20"/>
                <w:color w:val="auto"/>
              </w:rPr>
            </w:pPr>
            <w:r>
              <w:rPr>
                <w:rFonts w:ascii="Arial" w:cs="Arial" w:eastAsia="Arial" w:hAnsi="Arial"/>
                <w:sz w:val="14"/>
                <w:szCs w:val="14"/>
                <w:b w:val="1"/>
                <w:bCs w:val="1"/>
                <w:color w:val="auto"/>
              </w:rPr>
              <w:t>283,427,30</w:t>
            </w:r>
          </w:p>
        </w:tc>
        <w:tc>
          <w:tcPr>
            <w:tcW w:w="340" w:type="dxa"/>
            <w:vAlign w:val="bottom"/>
            <w:gridSpan w:val="2"/>
            <w:shd w:val="clear" w:color="auto" w:fill="CFF0FC"/>
          </w:tcPr>
          <w:p>
            <w:pPr>
              <w:ind w:left="140"/>
              <w:spacing w:after="0" w:line="13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FF0FC"/>
          </w:tcPr>
          <w:p>
            <w:pPr>
              <w:jc w:val="right"/>
              <w:ind w:right="88"/>
              <w:spacing w:after="0" w:line="139" w:lineRule="exact"/>
              <w:rPr>
                <w:sz w:val="20"/>
                <w:szCs w:val="20"/>
                <w:color w:val="auto"/>
              </w:rPr>
            </w:pPr>
            <w:r>
              <w:rPr>
                <w:rFonts w:ascii="Arial" w:cs="Arial" w:eastAsia="Arial" w:hAnsi="Arial"/>
                <w:sz w:val="14"/>
                <w:szCs w:val="14"/>
                <w:b w:val="1"/>
                <w:bCs w:val="1"/>
                <w:color w:val="auto"/>
              </w:rPr>
              <w:t>283</w:t>
            </w:r>
          </w:p>
        </w:tc>
        <w:tc>
          <w:tcPr>
            <w:tcW w:w="260" w:type="dxa"/>
            <w:vAlign w:val="bottom"/>
            <w:gridSpan w:val="2"/>
            <w:shd w:val="clear" w:color="auto" w:fill="CFF0FC"/>
          </w:tcPr>
          <w:p>
            <w:pPr>
              <w:ind w:left="140"/>
              <w:spacing w:after="0" w:line="139" w:lineRule="exact"/>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FF0FC"/>
          </w:tcPr>
          <w:p>
            <w:pPr>
              <w:jc w:val="right"/>
              <w:ind w:right="68"/>
              <w:spacing w:after="0" w:line="139" w:lineRule="exact"/>
              <w:rPr>
                <w:sz w:val="20"/>
                <w:szCs w:val="20"/>
                <w:color w:val="auto"/>
              </w:rPr>
            </w:pPr>
            <w:r>
              <w:rPr>
                <w:rFonts w:ascii="Arial" w:cs="Arial" w:eastAsia="Arial" w:hAnsi="Arial"/>
                <w:sz w:val="14"/>
                <w:szCs w:val="14"/>
                <w:b w:val="1"/>
                <w:bCs w:val="1"/>
                <w:color w:val="auto"/>
                <w:w w:val="96"/>
              </w:rPr>
              <w:t>3,120</w:t>
            </w:r>
          </w:p>
        </w:tc>
        <w:tc>
          <w:tcPr>
            <w:tcW w:w="360" w:type="dxa"/>
            <w:vAlign w:val="bottom"/>
            <w:gridSpan w:val="2"/>
            <w:shd w:val="clear" w:color="auto" w:fill="CFF0FC"/>
          </w:tcPr>
          <w:p>
            <w:pPr>
              <w:jc w:val="right"/>
              <w:ind w:right="68"/>
              <w:spacing w:after="0" w:line="13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FF0FC"/>
          </w:tcPr>
          <w:p>
            <w:pPr>
              <w:jc w:val="right"/>
              <w:ind w:right="68"/>
              <w:spacing w:after="0" w:line="139" w:lineRule="exact"/>
              <w:rPr>
                <w:sz w:val="20"/>
                <w:szCs w:val="20"/>
                <w:color w:val="auto"/>
              </w:rPr>
            </w:pPr>
            <w:r>
              <w:rPr>
                <w:rFonts w:ascii="Arial" w:cs="Arial" w:eastAsia="Arial" w:hAnsi="Arial"/>
                <w:sz w:val="14"/>
                <w:szCs w:val="14"/>
                <w:b w:val="1"/>
                <w:bCs w:val="1"/>
                <w:color w:val="auto"/>
              </w:rPr>
              <w:t>5,674</w:t>
            </w:r>
          </w:p>
        </w:tc>
        <w:tc>
          <w:tcPr>
            <w:tcW w:w="300" w:type="dxa"/>
            <w:vAlign w:val="bottom"/>
            <w:gridSpan w:val="2"/>
            <w:shd w:val="clear" w:color="auto" w:fill="CFF0FC"/>
          </w:tcPr>
          <w:p>
            <w:pPr>
              <w:jc w:val="right"/>
              <w:ind w:right="8"/>
              <w:spacing w:after="0" w:line="139" w:lineRule="exact"/>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FF0FC"/>
          </w:tcPr>
          <w:p>
            <w:pPr>
              <w:jc w:val="right"/>
              <w:ind w:right="8"/>
              <w:spacing w:after="0" w:line="139" w:lineRule="exact"/>
              <w:rPr>
                <w:sz w:val="20"/>
                <w:szCs w:val="20"/>
                <w:color w:val="auto"/>
              </w:rPr>
            </w:pPr>
            <w:r>
              <w:rPr>
                <w:rFonts w:ascii="Arial" w:cs="Arial" w:eastAsia="Arial" w:hAnsi="Arial"/>
                <w:sz w:val="14"/>
                <w:szCs w:val="14"/>
                <w:b w:val="1"/>
                <w:bCs w:val="1"/>
                <w:color w:val="auto"/>
              </w:rPr>
              <w:t>(3,824 )</w:t>
            </w:r>
          </w:p>
        </w:tc>
        <w:tc>
          <w:tcPr>
            <w:tcW w:w="220" w:type="dxa"/>
            <w:vAlign w:val="bottom"/>
            <w:gridSpan w:val="2"/>
            <w:shd w:val="clear" w:color="auto" w:fill="CFF0FC"/>
          </w:tcPr>
          <w:p>
            <w:pPr>
              <w:ind w:left="140"/>
              <w:spacing w:after="0" w:line="139" w:lineRule="exact"/>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FF0FC"/>
          </w:tcPr>
          <w:p>
            <w:pPr>
              <w:jc w:val="right"/>
              <w:ind w:right="68"/>
              <w:spacing w:after="0" w:line="139" w:lineRule="exact"/>
              <w:rPr>
                <w:sz w:val="20"/>
                <w:szCs w:val="20"/>
                <w:color w:val="auto"/>
              </w:rPr>
            </w:pPr>
            <w:r>
              <w:rPr>
                <w:rFonts w:ascii="Arial" w:cs="Arial" w:eastAsia="Arial" w:hAnsi="Arial"/>
                <w:sz w:val="14"/>
                <w:szCs w:val="14"/>
                <w:b w:val="1"/>
                <w:bCs w:val="1"/>
                <w:color w:val="auto"/>
              </w:rPr>
              <w:t>5,253</w:t>
            </w:r>
          </w:p>
        </w:tc>
        <w:tc>
          <w:tcPr>
            <w:tcW w:w="220" w:type="dxa"/>
            <w:vAlign w:val="bottom"/>
            <w:gridSpan w:val="2"/>
            <w:shd w:val="clear" w:color="auto" w:fill="CFF0FC"/>
          </w:tcPr>
          <w:p>
            <w:pPr>
              <w:jc w:val="right"/>
              <w:spacing w:after="0" w:line="139" w:lineRule="exact"/>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FF0FC"/>
          </w:tcPr>
          <w:p>
            <w:pPr>
              <w:jc w:val="right"/>
              <w:ind w:right="68"/>
              <w:spacing w:after="0" w:line="139" w:lineRule="exact"/>
              <w:rPr>
                <w:sz w:val="20"/>
                <w:szCs w:val="20"/>
                <w:color w:val="auto"/>
              </w:rPr>
            </w:pPr>
            <w:r>
              <w:rPr>
                <w:rFonts w:ascii="Arial" w:cs="Arial" w:eastAsia="Arial" w:hAnsi="Arial"/>
                <w:sz w:val="14"/>
                <w:szCs w:val="14"/>
                <w:b w:val="1"/>
                <w:bCs w:val="1"/>
                <w:color w:val="auto"/>
              </w:rPr>
              <w:t>171</w:t>
            </w:r>
          </w:p>
        </w:tc>
        <w:tc>
          <w:tcPr>
            <w:tcW w:w="280" w:type="dxa"/>
            <w:vAlign w:val="bottom"/>
            <w:gridSpan w:val="2"/>
            <w:shd w:val="clear" w:color="auto" w:fill="CFF0FC"/>
          </w:tcPr>
          <w:p>
            <w:pPr>
              <w:ind w:left="140"/>
              <w:spacing w:after="0" w:line="139" w:lineRule="exact"/>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FF0FC"/>
          </w:tcPr>
          <w:p>
            <w:pPr>
              <w:jc w:val="right"/>
              <w:ind w:right="68"/>
              <w:spacing w:after="0" w:line="139" w:lineRule="exact"/>
              <w:rPr>
                <w:sz w:val="20"/>
                <w:szCs w:val="20"/>
                <w:color w:val="auto"/>
              </w:rPr>
            </w:pPr>
            <w:r>
              <w:rPr>
                <w:rFonts w:ascii="Arial" w:cs="Arial" w:eastAsia="Arial" w:hAnsi="Arial"/>
                <w:sz w:val="14"/>
                <w:szCs w:val="14"/>
                <w:b w:val="1"/>
                <w:bCs w:val="1"/>
                <w:color w:val="auto"/>
              </w:rPr>
              <w:t>5,424</w:t>
            </w:r>
          </w:p>
        </w:tc>
        <w:tc>
          <w:tcPr>
            <w:tcW w:w="0" w:type="dxa"/>
            <w:vAlign w:val="bottom"/>
          </w:tcPr>
          <w:p>
            <w:pPr>
              <w:spacing w:after="0"/>
              <w:rPr>
                <w:sz w:val="1"/>
                <w:szCs w:val="1"/>
                <w:color w:val="auto"/>
              </w:rPr>
            </w:pPr>
          </w:p>
        </w:tc>
      </w:tr>
      <w:tr>
        <w:trPr>
          <w:trHeight w:val="185"/>
        </w:trPr>
        <w:tc>
          <w:tcPr>
            <w:tcW w:w="3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shares)</w:t>
            </w: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(208 )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(208 )</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(208 )</w:t>
            </w:r>
          </w:p>
        </w:tc>
        <w:tc>
          <w:tcPr>
            <w:tcW w:w="0" w:type="dxa"/>
            <w:vAlign w:val="bottom"/>
          </w:tcPr>
          <w:p>
            <w:pPr>
              <w:spacing w:after="0"/>
              <w:rPr>
                <w:sz w:val="1"/>
                <w:szCs w:val="1"/>
                <w:color w:val="auto"/>
              </w:rPr>
            </w:pPr>
          </w:p>
        </w:tc>
      </w:tr>
      <w:tr>
        <w:trPr>
          <w:trHeight w:val="176"/>
        </w:trPr>
        <w:tc>
          <w:tcPr>
            <w:tcW w:w="31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Other comprehensive income (loss)</w:t>
            </w:r>
          </w:p>
        </w:tc>
        <w:tc>
          <w:tcPr>
            <w:tcW w:w="9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56</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(1 )</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69"/>
        </w:trPr>
        <w:tc>
          <w:tcPr>
            <w:tcW w:w="3160" w:type="dxa"/>
            <w:vAlign w:val="bottom"/>
          </w:tcPr>
          <w:p>
            <w:pPr>
              <w:ind w:left="200"/>
              <w:spacing w:after="0"/>
              <w:rPr>
                <w:sz w:val="20"/>
                <w:szCs w:val="20"/>
                <w:color w:val="auto"/>
              </w:rPr>
            </w:pPr>
            <w:r>
              <w:rPr>
                <w:rFonts w:ascii="Arial" w:cs="Arial" w:eastAsia="Arial" w:hAnsi="Arial"/>
                <w:sz w:val="14"/>
                <w:szCs w:val="14"/>
                <w:b w:val="1"/>
                <w:bCs w:val="1"/>
                <w:color w:val="auto"/>
              </w:rPr>
              <w:t>Total comprehensive income (loss)</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(152 )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(153 )</w:t>
            </w:r>
          </w:p>
        </w:tc>
        <w:tc>
          <w:tcPr>
            <w:tcW w:w="0" w:type="dxa"/>
            <w:vAlign w:val="bottom"/>
          </w:tcPr>
          <w:p>
            <w:pPr>
              <w:spacing w:after="0"/>
              <w:rPr>
                <w:sz w:val="1"/>
                <w:szCs w:val="1"/>
                <w:color w:val="auto"/>
              </w:rPr>
            </w:pPr>
          </w:p>
        </w:tc>
      </w:tr>
      <w:tr>
        <w:trPr>
          <w:trHeight w:val="175"/>
        </w:trPr>
        <w:tc>
          <w:tcPr>
            <w:tcW w:w="3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Stock-based compensation plans</w:t>
            </w: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rPr>
                <w:sz w:val="20"/>
                <w:szCs w:val="20"/>
                <w:color w:val="auto"/>
              </w:rPr>
            </w:pPr>
            <w:r>
              <w:rPr>
                <w:rFonts w:ascii="Arial" w:cs="Arial" w:eastAsia="Arial" w:hAnsi="Arial"/>
                <w:sz w:val="14"/>
                <w:szCs w:val="14"/>
                <w:color w:val="auto"/>
              </w:rPr>
              <w:t>Dividends declared</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76"/>
        </w:trPr>
        <w:tc>
          <w:tcPr>
            <w:tcW w:w="31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Common stock issued from treasury</w:t>
            </w:r>
          </w:p>
        </w:tc>
        <w:tc>
          <w:tcPr>
            <w:tcW w:w="9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25,016</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(1 )</w:t>
            </w: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(1 )</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69"/>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160" w:type="dxa"/>
            <w:vAlign w:val="bottom"/>
            <w:shd w:val="clear" w:color="auto" w:fill="CFF0FC"/>
          </w:tcPr>
          <w:p>
            <w:pPr>
              <w:ind w:left="120"/>
              <w:spacing w:after="0" w:line="139" w:lineRule="exact"/>
              <w:rPr>
                <w:sz w:val="20"/>
                <w:szCs w:val="20"/>
                <w:color w:val="auto"/>
              </w:rPr>
            </w:pPr>
            <w:r>
              <w:rPr>
                <w:rFonts w:ascii="Arial" w:cs="Arial" w:eastAsia="Arial" w:hAnsi="Arial"/>
                <w:sz w:val="14"/>
                <w:szCs w:val="14"/>
                <w:color w:val="auto"/>
              </w:rPr>
              <w:t>(after deducting 40,835,590 common treasury</w:t>
            </w:r>
          </w:p>
        </w:tc>
        <w:tc>
          <w:tcPr>
            <w:tcW w:w="960" w:type="dxa"/>
            <w:vAlign w:val="bottom"/>
            <w:shd w:val="clear" w:color="auto" w:fill="CFF0FC"/>
          </w:tcPr>
          <w:p>
            <w:pPr>
              <w:jc w:val="right"/>
              <w:ind w:right="68"/>
              <w:spacing w:after="0" w:line="139" w:lineRule="exact"/>
              <w:rPr>
                <w:sz w:val="20"/>
                <w:szCs w:val="20"/>
                <w:color w:val="auto"/>
              </w:rPr>
            </w:pPr>
            <w:r>
              <w:rPr>
                <w:rFonts w:ascii="Arial" w:cs="Arial" w:eastAsia="Arial" w:hAnsi="Arial"/>
                <w:sz w:val="14"/>
                <w:szCs w:val="14"/>
                <w:b w:val="1"/>
                <w:bCs w:val="1"/>
                <w:color w:val="auto"/>
              </w:rPr>
              <w:t>283,452,31</w:t>
            </w:r>
          </w:p>
        </w:tc>
        <w:tc>
          <w:tcPr>
            <w:tcW w:w="120" w:type="dxa"/>
            <w:vAlign w:val="bottom"/>
            <w:vMerge w:val="restart"/>
            <w:shd w:val="clear" w:color="auto" w:fill="CFF0FC"/>
          </w:tcPr>
          <w:p>
            <w:pPr>
              <w:spacing w:after="0"/>
              <w:rPr>
                <w:sz w:val="12"/>
                <w:szCs w:val="12"/>
                <w:color w:val="auto"/>
              </w:rPr>
            </w:pPr>
          </w:p>
        </w:tc>
        <w:tc>
          <w:tcPr>
            <w:tcW w:w="220" w:type="dxa"/>
            <w:vAlign w:val="bottom"/>
            <w:vMerge w:val="restart"/>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b w:val="1"/>
                <w:bCs w:val="1"/>
                <w:color w:val="auto"/>
              </w:rPr>
              <w:t>283</w:t>
            </w:r>
          </w:p>
        </w:tc>
        <w:tc>
          <w:tcPr>
            <w:tcW w:w="120" w:type="dxa"/>
            <w:vAlign w:val="bottom"/>
            <w:vMerge w:val="restart"/>
            <w:shd w:val="clear" w:color="auto" w:fill="CFF0FC"/>
          </w:tcPr>
          <w:p>
            <w:pPr>
              <w:spacing w:after="0"/>
              <w:rPr>
                <w:sz w:val="12"/>
                <w:szCs w:val="12"/>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96"/>
              </w:rPr>
              <w:t>3,124</w:t>
            </w:r>
          </w:p>
        </w:tc>
        <w:tc>
          <w:tcPr>
            <w:tcW w:w="120" w:type="dxa"/>
            <w:vAlign w:val="bottom"/>
            <w:vMerge w:val="restart"/>
            <w:shd w:val="clear" w:color="auto" w:fill="CFF0FC"/>
          </w:tcPr>
          <w:p>
            <w:pPr>
              <w:spacing w:after="0"/>
              <w:rPr>
                <w:sz w:val="12"/>
                <w:szCs w:val="12"/>
                <w:color w:val="auto"/>
              </w:rPr>
            </w:pPr>
          </w:p>
        </w:tc>
        <w:tc>
          <w:tcPr>
            <w:tcW w:w="2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5,466</w:t>
            </w:r>
          </w:p>
        </w:tc>
        <w:tc>
          <w:tcPr>
            <w:tcW w:w="140" w:type="dxa"/>
            <w:vAlign w:val="bottom"/>
            <w:vMerge w:val="restart"/>
            <w:shd w:val="clear" w:color="auto" w:fill="CFF0FC"/>
          </w:tcPr>
          <w:p>
            <w:pPr>
              <w:spacing w:after="0"/>
              <w:rPr>
                <w:sz w:val="12"/>
                <w:szCs w:val="12"/>
                <w:color w:val="auto"/>
              </w:rPr>
            </w:pPr>
          </w:p>
        </w:tc>
        <w:tc>
          <w:tcPr>
            <w:tcW w:w="1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8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(3,768 )</w:t>
            </w:r>
          </w:p>
        </w:tc>
        <w:tc>
          <w:tcPr>
            <w:tcW w:w="120" w:type="dxa"/>
            <w:vAlign w:val="bottom"/>
            <w:vMerge w:val="restart"/>
            <w:shd w:val="clear" w:color="auto" w:fill="CFF0FC"/>
          </w:tcPr>
          <w:p>
            <w:pPr>
              <w:spacing w:after="0"/>
              <w:rPr>
                <w:sz w:val="12"/>
                <w:szCs w:val="12"/>
                <w:color w:val="auto"/>
              </w:rPr>
            </w:pPr>
          </w:p>
        </w:tc>
        <w:tc>
          <w:tcPr>
            <w:tcW w:w="100" w:type="dxa"/>
            <w:vAlign w:val="bottom"/>
            <w:vMerge w:val="restart"/>
            <w:shd w:val="clear" w:color="auto" w:fill="CFF0FC"/>
          </w:tcPr>
          <w:p>
            <w:pPr>
              <w:ind w:left="20"/>
              <w:spacing w:after="0"/>
              <w:rPr>
                <w:sz w:val="20"/>
                <w:szCs w:val="20"/>
                <w:color w:val="auto"/>
              </w:rPr>
            </w:pPr>
            <w:r>
              <w:rPr>
                <w:rFonts w:ascii="Arial" w:cs="Arial" w:eastAsia="Arial" w:hAnsi="Arial"/>
                <w:sz w:val="14"/>
                <w:szCs w:val="14"/>
                <w:b w:val="1"/>
                <w:bCs w:val="1"/>
                <w:color w:val="auto"/>
                <w:w w:val="76"/>
              </w:rPr>
              <w:t>$</w:t>
            </w:r>
          </w:p>
        </w:tc>
        <w:tc>
          <w:tcPr>
            <w:tcW w:w="88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5,105</w:t>
            </w:r>
          </w:p>
        </w:tc>
        <w:tc>
          <w:tcPr>
            <w:tcW w:w="140" w:type="dxa"/>
            <w:vAlign w:val="bottom"/>
            <w:vMerge w:val="restart"/>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168</w:t>
            </w:r>
          </w:p>
        </w:tc>
        <w:tc>
          <w:tcPr>
            <w:tcW w:w="120" w:type="dxa"/>
            <w:vAlign w:val="bottom"/>
            <w:vMerge w:val="restart"/>
            <w:shd w:val="clear" w:color="auto" w:fill="CFF0FC"/>
          </w:tcPr>
          <w:p>
            <w:pPr>
              <w:spacing w:after="0"/>
              <w:rPr>
                <w:sz w:val="12"/>
                <w:szCs w:val="12"/>
                <w:color w:val="auto"/>
              </w:rPr>
            </w:pPr>
          </w:p>
        </w:tc>
        <w:tc>
          <w:tcPr>
            <w:tcW w:w="160" w:type="dxa"/>
            <w:vAlign w:val="bottom"/>
            <w:vMerge w:val="restart"/>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5,273</w:t>
            </w:r>
          </w:p>
        </w:tc>
        <w:tc>
          <w:tcPr>
            <w:tcW w:w="0" w:type="dxa"/>
            <w:vAlign w:val="bottom"/>
          </w:tcPr>
          <w:p>
            <w:pPr>
              <w:spacing w:after="0"/>
              <w:rPr>
                <w:sz w:val="1"/>
                <w:szCs w:val="1"/>
                <w:color w:val="auto"/>
              </w:rPr>
            </w:pPr>
          </w:p>
        </w:tc>
      </w:tr>
      <w:tr>
        <w:trPr>
          <w:trHeight w:val="225"/>
        </w:trPr>
        <w:tc>
          <w:tcPr>
            <w:tcW w:w="31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shares)</w:t>
            </w:r>
          </w:p>
        </w:tc>
        <w:tc>
          <w:tcPr>
            <w:tcW w:w="9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7</w:t>
            </w: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220" w:type="dxa"/>
            <w:vAlign w:val="bottom"/>
            <w:tcBorders>
              <w:bottom w:val="single" w:sz="8" w:color="auto"/>
            </w:tcBorders>
            <w:vMerge w:val="continue"/>
            <w:shd w:val="clear" w:color="auto" w:fill="CFF0FC"/>
          </w:tcPr>
          <w:p>
            <w:pPr>
              <w:spacing w:after="0"/>
              <w:rPr>
                <w:sz w:val="19"/>
                <w:szCs w:val="19"/>
                <w:color w:val="auto"/>
              </w:rPr>
            </w:pPr>
          </w:p>
        </w:tc>
        <w:tc>
          <w:tcPr>
            <w:tcW w:w="4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50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240" w:type="dxa"/>
            <w:vAlign w:val="bottom"/>
            <w:tcBorders>
              <w:bottom w:val="single" w:sz="8" w:color="auto"/>
            </w:tcBorders>
            <w:vMerge w:val="continue"/>
            <w:shd w:val="clear" w:color="auto" w:fill="CFF0FC"/>
          </w:tcPr>
          <w:p>
            <w:pPr>
              <w:spacing w:after="0"/>
              <w:rPr>
                <w:sz w:val="19"/>
                <w:szCs w:val="19"/>
                <w:color w:val="auto"/>
              </w:rPr>
            </w:pPr>
          </w:p>
        </w:tc>
        <w:tc>
          <w:tcPr>
            <w:tcW w:w="6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vMerge w:val="continue"/>
            <w:shd w:val="clear" w:color="auto" w:fill="CFF0FC"/>
          </w:tcPr>
          <w:p>
            <w:pPr>
              <w:spacing w:after="0"/>
              <w:rPr>
                <w:sz w:val="19"/>
                <w:szCs w:val="19"/>
                <w:color w:val="auto"/>
              </w:rPr>
            </w:pPr>
          </w:p>
        </w:tc>
        <w:tc>
          <w:tcPr>
            <w:tcW w:w="160" w:type="dxa"/>
            <w:vAlign w:val="bottom"/>
            <w:tcBorders>
              <w:bottom w:val="single" w:sz="8" w:color="auto"/>
            </w:tcBorders>
            <w:vMerge w:val="continue"/>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vMerge w:val="continue"/>
            <w:shd w:val="clear" w:color="auto" w:fill="CFF0FC"/>
          </w:tcPr>
          <w:p>
            <w:pPr>
              <w:spacing w:after="0"/>
              <w:rPr>
                <w:sz w:val="19"/>
                <w:szCs w:val="19"/>
                <w:color w:val="auto"/>
              </w:rPr>
            </w:pPr>
          </w:p>
        </w:tc>
        <w:tc>
          <w:tcPr>
            <w:tcW w:w="80" w:type="dxa"/>
            <w:vAlign w:val="bottom"/>
            <w:tcBorders>
              <w:bottom w:val="single" w:sz="8" w:color="auto"/>
            </w:tcBorders>
            <w:vMerge w:val="continue"/>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60" w:type="dxa"/>
            <w:vAlign w:val="bottom"/>
            <w:tcBorders>
              <w:bottom w:val="single" w:sz="8" w:color="auto"/>
            </w:tcBorders>
            <w:vMerge w:val="continue"/>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-1370965</wp:posOffset>
            </wp:positionV>
            <wp:extent cx="76835" cy="120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-1370965</wp:posOffset>
            </wp:positionV>
            <wp:extent cx="76835"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-1370965</wp:posOffset>
            </wp:positionV>
            <wp:extent cx="77470"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-1370965</wp:posOffset>
            </wp:positionV>
            <wp:extent cx="85725"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-1370965</wp:posOffset>
            </wp:positionV>
            <wp:extent cx="85725"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-1370965</wp:posOffset>
            </wp:positionV>
            <wp:extent cx="85725"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-1370965</wp:posOffset>
            </wp:positionV>
            <wp:extent cx="77470"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-822325</wp:posOffset>
            </wp:positionV>
            <wp:extent cx="85725"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-822325</wp:posOffset>
            </wp:positionV>
            <wp:extent cx="77470"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-350520</wp:posOffset>
            </wp:positionV>
            <wp:extent cx="76835"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-350520</wp:posOffset>
            </wp:positionV>
            <wp:extent cx="76835" cy="120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-350520</wp:posOffset>
            </wp:positionV>
            <wp:extent cx="77470" cy="12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-350520</wp:posOffset>
            </wp:positionV>
            <wp:extent cx="85725"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-350520</wp:posOffset>
            </wp:positionV>
            <wp:extent cx="85725"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-350520</wp:posOffset>
            </wp:positionV>
            <wp:extent cx="85725" cy="120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-350520</wp:posOffset>
            </wp:positionV>
            <wp:extent cx="77470"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-25400</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-7620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-25400</wp:posOffset>
            </wp:positionV>
            <wp:extent cx="76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-7620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-25400</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-25400</wp:posOffset>
            </wp:positionV>
            <wp:extent cx="857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857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857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-25400</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There were no dividends declared or paid during the three and six months ended June 30, 2023.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ind w:left="340" w:right="2780"/>
        <w:spacing w:after="0" w:line="266"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SHAREHOLDERS' EQUITY (Unaudited)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148"/>
              <w:spacing w:after="0"/>
              <w:rPr>
                <w:sz w:val="20"/>
                <w:szCs w:val="20"/>
                <w:color w:val="auto"/>
              </w:rPr>
            </w:pPr>
            <w:r>
              <w:rPr>
                <w:rFonts w:ascii="Arial" w:cs="Arial" w:eastAsia="Arial" w:hAnsi="Arial"/>
                <w:sz w:val="14"/>
                <w:szCs w:val="14"/>
                <w:b w:val="1"/>
                <w:bCs w:val="1"/>
                <w:color w:val="auto"/>
                <w:w w:val="99"/>
              </w:rPr>
              <w:t>Minority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228"/>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148"/>
              <w:spacing w:after="0"/>
              <w:rPr>
                <w:sz w:val="20"/>
                <w:szCs w:val="20"/>
                <w:color w:val="auto"/>
              </w:rPr>
            </w:pPr>
            <w:r>
              <w:rPr>
                <w:rFonts w:ascii="Arial" w:cs="Arial" w:eastAsia="Arial" w:hAnsi="Arial"/>
                <w:sz w:val="14"/>
                <w:szCs w:val="14"/>
                <w:b w:val="1"/>
                <w:bCs w:val="1"/>
                <w:color w:val="auto"/>
                <w:w w:val="94"/>
              </w:rPr>
              <w:t>Goodyear</w:t>
            </w:r>
          </w:p>
        </w:tc>
        <w:tc>
          <w:tcPr>
            <w:tcW w:w="140" w:type="dxa"/>
            <w:vAlign w:val="bottom"/>
          </w:tcPr>
          <w:p>
            <w:pPr>
              <w:spacing w:after="0"/>
              <w:rPr>
                <w:sz w:val="15"/>
                <w:szCs w:val="15"/>
                <w:color w:val="auto"/>
              </w:rPr>
            </w:pPr>
          </w:p>
        </w:tc>
        <w:tc>
          <w:tcPr>
            <w:tcW w:w="104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20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3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3"/>
              </w:rPr>
              <w:t>Common Stock</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1040" w:type="dxa"/>
            <w:vAlign w:val="bottom"/>
            <w:gridSpan w:val="2"/>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Comprehensiv</w:t>
            </w:r>
          </w:p>
        </w:tc>
        <w:tc>
          <w:tcPr>
            <w:tcW w:w="12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Shareholders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8"/>
              </w:rPr>
              <w:t>Equity —</w:t>
            </w:r>
          </w:p>
        </w:tc>
        <w:tc>
          <w:tcPr>
            <w:tcW w:w="120" w:type="dxa"/>
            <w:vAlign w:val="bottom"/>
          </w:tcPr>
          <w:p>
            <w:pPr>
              <w:spacing w:after="0"/>
              <w:rPr>
                <w:sz w:val="12"/>
                <w:szCs w:val="12"/>
                <w:color w:val="auto"/>
              </w:rPr>
            </w:pPr>
          </w:p>
        </w:tc>
        <w:tc>
          <w:tcPr>
            <w:tcW w:w="10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300" w:type="dxa"/>
            <w:vAlign w:val="bottom"/>
            <w:tcBorders>
              <w:bottom w:val="single" w:sz="8" w:color="auto"/>
            </w:tcBorders>
            <w:gridSpan w:val="3"/>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228"/>
              <w:spacing w:after="0"/>
              <w:rPr>
                <w:sz w:val="20"/>
                <w:szCs w:val="20"/>
                <w:color w:val="auto"/>
              </w:rPr>
            </w:pPr>
            <w:r>
              <w:rPr>
                <w:rFonts w:ascii="Arial" w:cs="Arial" w:eastAsia="Arial" w:hAnsi="Arial"/>
                <w:sz w:val="14"/>
                <w:szCs w:val="14"/>
                <w:b w:val="1"/>
                <w:bCs w:val="1"/>
                <w:color w:val="auto"/>
                <w:w w:val="76"/>
              </w:rPr>
              <w: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2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48"/>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2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3"/>
        </w:trPr>
        <w:tc>
          <w:tcPr>
            <w:tcW w:w="3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Amoun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160" w:type="dxa"/>
            <w:vAlign w:val="bottom"/>
          </w:tcPr>
          <w:p>
            <w:pPr>
              <w:ind w:left="20"/>
              <w:spacing w:after="0"/>
              <w:rPr>
                <w:sz w:val="20"/>
                <w:szCs w:val="20"/>
                <w:color w:val="auto"/>
              </w:rPr>
            </w:pPr>
            <w:r>
              <w:rPr>
                <w:rFonts w:ascii="Arial" w:cs="Arial" w:eastAsia="Arial" w:hAnsi="Arial"/>
                <w:sz w:val="14"/>
                <w:szCs w:val="14"/>
                <w:i w:val="1"/>
                <w:iCs w:val="1"/>
                <w:color w:val="auto"/>
              </w:rPr>
              <w:t>(In millions, except share data)</w:t>
            </w: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w w:val="84"/>
              </w:rPr>
              <w:t>t</w:t>
            </w:r>
          </w:p>
        </w:tc>
        <w:tc>
          <w:tcPr>
            <w:tcW w:w="120" w:type="dxa"/>
            <w:vAlign w:val="bottom"/>
          </w:tcPr>
          <w:p>
            <w:pPr>
              <w:spacing w:after="0"/>
              <w:rPr>
                <w:sz w:val="16"/>
                <w:szCs w:val="16"/>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Surplus</w:t>
            </w:r>
          </w:p>
        </w:tc>
        <w:tc>
          <w:tcPr>
            <w:tcW w:w="120" w:type="dxa"/>
            <w:vAlign w:val="bottom"/>
          </w:tcPr>
          <w:p>
            <w:pPr>
              <w:spacing w:after="0"/>
              <w:rPr>
                <w:sz w:val="16"/>
                <w:szCs w:val="16"/>
                <w:color w:val="auto"/>
              </w:rPr>
            </w:pPr>
          </w:p>
        </w:tc>
        <w:tc>
          <w:tcPr>
            <w:tcW w:w="86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9"/>
              </w:rPr>
              <w:t>Redeemable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160" w:type="dxa"/>
            <w:vAlign w:val="bottom"/>
          </w:tcPr>
          <w:p>
            <w:pPr>
              <w:ind w:left="120"/>
              <w:spacing w:after="0" w:line="139" w:lineRule="exact"/>
              <w:rPr>
                <w:sz w:val="20"/>
                <w:szCs w:val="20"/>
                <w:color w:val="auto"/>
              </w:rPr>
            </w:pPr>
            <w:r>
              <w:rPr>
                <w:rFonts w:ascii="Arial" w:cs="Arial" w:eastAsia="Arial" w:hAnsi="Arial"/>
                <w:sz w:val="14"/>
                <w:szCs w:val="14"/>
                <w:color w:val="auto"/>
              </w:rPr>
              <w:t>(after deducting 42,494,684 common treasury</w:t>
            </w:r>
          </w:p>
        </w:tc>
        <w:tc>
          <w:tcPr>
            <w:tcW w:w="960" w:type="dxa"/>
            <w:vAlign w:val="bottom"/>
          </w:tcPr>
          <w:p>
            <w:pPr>
              <w:jc w:val="right"/>
              <w:ind w:right="68"/>
              <w:spacing w:after="0" w:line="139" w:lineRule="exact"/>
              <w:rPr>
                <w:sz w:val="20"/>
                <w:szCs w:val="20"/>
                <w:color w:val="auto"/>
              </w:rPr>
            </w:pPr>
            <w:r>
              <w:rPr>
                <w:rFonts w:ascii="Arial" w:cs="Arial" w:eastAsia="Arial" w:hAnsi="Arial"/>
                <w:sz w:val="14"/>
                <w:szCs w:val="14"/>
                <w:b w:val="1"/>
                <w:bCs w:val="1"/>
                <w:color w:val="auto"/>
              </w:rPr>
              <w:t>281,793,22</w:t>
            </w:r>
          </w:p>
        </w:tc>
        <w:tc>
          <w:tcPr>
            <w:tcW w:w="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282</w:t>
            </w:r>
          </w:p>
        </w:tc>
        <w:tc>
          <w:tcPr>
            <w:tcW w:w="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6"/>
              </w:rPr>
              <w:t>3,107</w:t>
            </w:r>
          </w:p>
        </w:tc>
        <w:tc>
          <w:tcPr>
            <w:tcW w:w="36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5,573</w:t>
            </w:r>
          </w:p>
        </w:tc>
        <w:tc>
          <w:tcPr>
            <w:tcW w:w="3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(3,963 )</w:t>
            </w:r>
          </w:p>
        </w:tc>
        <w:tc>
          <w:tcPr>
            <w:tcW w:w="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76"/>
              </w:rPr>
              <w:t>$</w:t>
            </w: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4,999</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185</w:t>
            </w:r>
          </w:p>
        </w:tc>
        <w:tc>
          <w:tcPr>
            <w:tcW w:w="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5,184</w:t>
            </w:r>
          </w:p>
        </w:tc>
        <w:tc>
          <w:tcPr>
            <w:tcW w:w="0" w:type="dxa"/>
            <w:vAlign w:val="bottom"/>
          </w:tcPr>
          <w:p>
            <w:pPr>
              <w:spacing w:after="0"/>
              <w:rPr>
                <w:sz w:val="1"/>
                <w:szCs w:val="1"/>
                <w:color w:val="auto"/>
              </w:rPr>
            </w:pPr>
          </w:p>
        </w:tc>
      </w:tr>
      <w:tr>
        <w:trPr>
          <w:trHeight w:val="185"/>
        </w:trPr>
        <w:tc>
          <w:tcPr>
            <w:tcW w:w="3160" w:type="dxa"/>
            <w:vAlign w:val="bottom"/>
          </w:tcPr>
          <w:p>
            <w:pPr>
              <w:ind w:left="120"/>
              <w:spacing w:after="0"/>
              <w:rPr>
                <w:sz w:val="20"/>
                <w:szCs w:val="20"/>
                <w:color w:val="auto"/>
              </w:rPr>
            </w:pPr>
            <w:r>
              <w:rPr>
                <w:rFonts w:ascii="Arial" w:cs="Arial" w:eastAsia="Arial" w:hAnsi="Arial"/>
                <w:sz w:val="14"/>
                <w:szCs w:val="14"/>
                <w:color w:val="auto"/>
              </w:rPr>
              <w:t>shares)</w:t>
            </w: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3</w:t>
            </w:r>
          </w:p>
        </w:tc>
        <w:tc>
          <w:tcPr>
            <w:tcW w:w="34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income</w:t>
            </w: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96</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96</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75"/>
        </w:trPr>
        <w:tc>
          <w:tcPr>
            <w:tcW w:w="3160" w:type="dxa"/>
            <w:vAlign w:val="bottom"/>
          </w:tcPr>
          <w:p>
            <w:pPr>
              <w:ind w:left="120"/>
              <w:spacing w:after="0"/>
              <w:rPr>
                <w:sz w:val="20"/>
                <w:szCs w:val="20"/>
                <w:color w:val="auto"/>
              </w:rPr>
            </w:pPr>
            <w:r>
              <w:rPr>
                <w:rFonts w:ascii="Arial" w:cs="Arial" w:eastAsia="Arial" w:hAnsi="Arial"/>
                <w:sz w:val="14"/>
                <w:szCs w:val="14"/>
                <w:color w:val="auto"/>
              </w:rPr>
              <w:t>Other comprehensive income (loss)</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(8 )</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9"/>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Total Comprehensive Income (Loss)</w:t>
            </w: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144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(8 )</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136</w:t>
            </w:r>
          </w:p>
        </w:tc>
        <w:tc>
          <w:tcPr>
            <w:tcW w:w="0" w:type="dxa"/>
            <w:vAlign w:val="bottom"/>
          </w:tcPr>
          <w:p>
            <w:pPr>
              <w:spacing w:after="0"/>
              <w:rPr>
                <w:sz w:val="1"/>
                <w:szCs w:val="1"/>
                <w:color w:val="auto"/>
              </w:rPr>
            </w:pPr>
          </w:p>
        </w:tc>
      </w:tr>
      <w:tr>
        <w:trPr>
          <w:trHeight w:val="176"/>
        </w:trPr>
        <w:tc>
          <w:tcPr>
            <w:tcW w:w="3160" w:type="dxa"/>
            <w:vAlign w:val="bottom"/>
          </w:tcPr>
          <w:p>
            <w:pPr>
              <w:ind w:left="120"/>
              <w:spacing w:after="0"/>
              <w:rPr>
                <w:sz w:val="20"/>
                <w:szCs w:val="20"/>
                <w:color w:val="auto"/>
              </w:rPr>
            </w:pPr>
            <w:r>
              <w:rPr>
                <w:rFonts w:ascii="Arial" w:cs="Arial" w:eastAsia="Arial" w:hAnsi="Arial"/>
                <w:sz w:val="14"/>
                <w:szCs w:val="14"/>
                <w:color w:val="auto"/>
              </w:rPr>
              <w:t>Stock-based compensation plans</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5"/>
        </w:trPr>
        <w:tc>
          <w:tcPr>
            <w:tcW w:w="31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Common stock issued from treasury</w:t>
            </w:r>
          </w:p>
        </w:tc>
        <w:tc>
          <w:tcPr>
            <w:tcW w:w="9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635,149</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(5 )</w:t>
            </w: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(5 )</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69"/>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160" w:type="dxa"/>
            <w:vAlign w:val="bottom"/>
            <w:shd w:val="clear" w:color="auto" w:fill="CFF0FC"/>
          </w:tcPr>
          <w:p>
            <w:pPr>
              <w:ind w:left="120"/>
              <w:spacing w:after="0" w:line="139" w:lineRule="exact"/>
              <w:rPr>
                <w:sz w:val="20"/>
                <w:szCs w:val="20"/>
                <w:color w:val="auto"/>
              </w:rPr>
            </w:pPr>
            <w:r>
              <w:rPr>
                <w:rFonts w:ascii="Arial" w:cs="Arial" w:eastAsia="Arial" w:hAnsi="Arial"/>
                <w:sz w:val="14"/>
                <w:szCs w:val="14"/>
                <w:color w:val="auto"/>
              </w:rPr>
              <w:t>(after deducting 41,859,535 common treasury</w:t>
            </w:r>
          </w:p>
        </w:tc>
        <w:tc>
          <w:tcPr>
            <w:tcW w:w="960" w:type="dxa"/>
            <w:vAlign w:val="bottom"/>
            <w:shd w:val="clear" w:color="auto" w:fill="CFF0FC"/>
          </w:tcPr>
          <w:p>
            <w:pPr>
              <w:jc w:val="right"/>
              <w:ind w:right="68"/>
              <w:spacing w:after="0" w:line="139" w:lineRule="exact"/>
              <w:rPr>
                <w:sz w:val="20"/>
                <w:szCs w:val="20"/>
                <w:color w:val="auto"/>
              </w:rPr>
            </w:pPr>
            <w:r>
              <w:rPr>
                <w:rFonts w:ascii="Arial" w:cs="Arial" w:eastAsia="Arial" w:hAnsi="Arial"/>
                <w:sz w:val="14"/>
                <w:szCs w:val="14"/>
                <w:b w:val="1"/>
                <w:bCs w:val="1"/>
                <w:color w:val="auto"/>
              </w:rPr>
              <w:t>282,428,37</w:t>
            </w:r>
          </w:p>
        </w:tc>
        <w:tc>
          <w:tcPr>
            <w:tcW w:w="340" w:type="dxa"/>
            <w:vAlign w:val="bottom"/>
            <w:gridSpan w:val="2"/>
            <w:shd w:val="clear" w:color="auto" w:fill="CFF0FC"/>
          </w:tcPr>
          <w:p>
            <w:pPr>
              <w:ind w:left="140"/>
              <w:spacing w:after="0" w:line="13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FF0FC"/>
          </w:tcPr>
          <w:p>
            <w:pPr>
              <w:jc w:val="right"/>
              <w:ind w:right="88"/>
              <w:spacing w:after="0" w:line="139" w:lineRule="exact"/>
              <w:rPr>
                <w:sz w:val="20"/>
                <w:szCs w:val="20"/>
                <w:color w:val="auto"/>
              </w:rPr>
            </w:pPr>
            <w:r>
              <w:rPr>
                <w:rFonts w:ascii="Arial" w:cs="Arial" w:eastAsia="Arial" w:hAnsi="Arial"/>
                <w:sz w:val="14"/>
                <w:szCs w:val="14"/>
                <w:b w:val="1"/>
                <w:bCs w:val="1"/>
                <w:color w:val="auto"/>
              </w:rPr>
              <w:t>282</w:t>
            </w:r>
          </w:p>
        </w:tc>
        <w:tc>
          <w:tcPr>
            <w:tcW w:w="260" w:type="dxa"/>
            <w:vAlign w:val="bottom"/>
            <w:gridSpan w:val="2"/>
            <w:shd w:val="clear" w:color="auto" w:fill="CFF0FC"/>
          </w:tcPr>
          <w:p>
            <w:pPr>
              <w:ind w:left="140"/>
              <w:spacing w:after="0" w:line="139" w:lineRule="exact"/>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FF0FC"/>
          </w:tcPr>
          <w:p>
            <w:pPr>
              <w:jc w:val="right"/>
              <w:ind w:right="68"/>
              <w:spacing w:after="0" w:line="139" w:lineRule="exact"/>
              <w:rPr>
                <w:sz w:val="20"/>
                <w:szCs w:val="20"/>
                <w:color w:val="auto"/>
              </w:rPr>
            </w:pPr>
            <w:r>
              <w:rPr>
                <w:rFonts w:ascii="Arial" w:cs="Arial" w:eastAsia="Arial" w:hAnsi="Arial"/>
                <w:sz w:val="14"/>
                <w:szCs w:val="14"/>
                <w:b w:val="1"/>
                <w:bCs w:val="1"/>
                <w:color w:val="auto"/>
                <w:w w:val="96"/>
              </w:rPr>
              <w:t>3,109</w:t>
            </w:r>
          </w:p>
        </w:tc>
        <w:tc>
          <w:tcPr>
            <w:tcW w:w="360" w:type="dxa"/>
            <w:vAlign w:val="bottom"/>
            <w:gridSpan w:val="2"/>
            <w:shd w:val="clear" w:color="auto" w:fill="CFF0FC"/>
          </w:tcPr>
          <w:p>
            <w:pPr>
              <w:jc w:val="right"/>
              <w:ind w:right="68"/>
              <w:spacing w:after="0" w:line="13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FF0FC"/>
          </w:tcPr>
          <w:p>
            <w:pPr>
              <w:jc w:val="right"/>
              <w:ind w:right="68"/>
              <w:spacing w:after="0" w:line="139" w:lineRule="exact"/>
              <w:rPr>
                <w:sz w:val="20"/>
                <w:szCs w:val="20"/>
                <w:color w:val="auto"/>
              </w:rPr>
            </w:pPr>
            <w:r>
              <w:rPr>
                <w:rFonts w:ascii="Arial" w:cs="Arial" w:eastAsia="Arial" w:hAnsi="Arial"/>
                <w:sz w:val="14"/>
                <w:szCs w:val="14"/>
                <w:b w:val="1"/>
                <w:bCs w:val="1"/>
                <w:color w:val="auto"/>
              </w:rPr>
              <w:t>5,669</w:t>
            </w:r>
          </w:p>
        </w:tc>
        <w:tc>
          <w:tcPr>
            <w:tcW w:w="300" w:type="dxa"/>
            <w:vAlign w:val="bottom"/>
            <w:gridSpan w:val="2"/>
            <w:shd w:val="clear" w:color="auto" w:fill="CFF0FC"/>
          </w:tcPr>
          <w:p>
            <w:pPr>
              <w:jc w:val="right"/>
              <w:ind w:right="8"/>
              <w:spacing w:after="0" w:line="139" w:lineRule="exact"/>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FF0FC"/>
          </w:tcPr>
          <w:p>
            <w:pPr>
              <w:jc w:val="right"/>
              <w:ind w:right="8"/>
              <w:spacing w:after="0" w:line="139" w:lineRule="exact"/>
              <w:rPr>
                <w:sz w:val="20"/>
                <w:szCs w:val="20"/>
                <w:color w:val="auto"/>
              </w:rPr>
            </w:pPr>
            <w:r>
              <w:rPr>
                <w:rFonts w:ascii="Arial" w:cs="Arial" w:eastAsia="Arial" w:hAnsi="Arial"/>
                <w:sz w:val="14"/>
                <w:szCs w:val="14"/>
                <w:b w:val="1"/>
                <w:bCs w:val="1"/>
                <w:color w:val="auto"/>
              </w:rPr>
              <w:t>(3,915 )</w:t>
            </w:r>
          </w:p>
        </w:tc>
        <w:tc>
          <w:tcPr>
            <w:tcW w:w="220" w:type="dxa"/>
            <w:vAlign w:val="bottom"/>
            <w:gridSpan w:val="2"/>
            <w:shd w:val="clear" w:color="auto" w:fill="CFF0FC"/>
          </w:tcPr>
          <w:p>
            <w:pPr>
              <w:ind w:left="140"/>
              <w:spacing w:after="0" w:line="139" w:lineRule="exact"/>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FF0FC"/>
          </w:tcPr>
          <w:p>
            <w:pPr>
              <w:jc w:val="right"/>
              <w:ind w:right="68"/>
              <w:spacing w:after="0" w:line="139" w:lineRule="exact"/>
              <w:rPr>
                <w:sz w:val="20"/>
                <w:szCs w:val="20"/>
                <w:color w:val="auto"/>
              </w:rPr>
            </w:pPr>
            <w:r>
              <w:rPr>
                <w:rFonts w:ascii="Arial" w:cs="Arial" w:eastAsia="Arial" w:hAnsi="Arial"/>
                <w:sz w:val="14"/>
                <w:szCs w:val="14"/>
                <w:b w:val="1"/>
                <w:bCs w:val="1"/>
                <w:color w:val="auto"/>
              </w:rPr>
              <w:t>5,145</w:t>
            </w:r>
          </w:p>
        </w:tc>
        <w:tc>
          <w:tcPr>
            <w:tcW w:w="220" w:type="dxa"/>
            <w:vAlign w:val="bottom"/>
            <w:gridSpan w:val="2"/>
            <w:shd w:val="clear" w:color="auto" w:fill="CFF0FC"/>
          </w:tcPr>
          <w:p>
            <w:pPr>
              <w:jc w:val="right"/>
              <w:spacing w:after="0" w:line="139" w:lineRule="exact"/>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FF0FC"/>
          </w:tcPr>
          <w:p>
            <w:pPr>
              <w:jc w:val="right"/>
              <w:ind w:right="68"/>
              <w:spacing w:after="0" w:line="139" w:lineRule="exact"/>
              <w:rPr>
                <w:sz w:val="20"/>
                <w:szCs w:val="20"/>
                <w:color w:val="auto"/>
              </w:rPr>
            </w:pPr>
            <w:r>
              <w:rPr>
                <w:rFonts w:ascii="Arial" w:cs="Arial" w:eastAsia="Arial" w:hAnsi="Arial"/>
                <w:sz w:val="14"/>
                <w:szCs w:val="14"/>
                <w:b w:val="1"/>
                <w:bCs w:val="1"/>
                <w:color w:val="auto"/>
              </w:rPr>
              <w:t>177</w:t>
            </w:r>
          </w:p>
        </w:tc>
        <w:tc>
          <w:tcPr>
            <w:tcW w:w="280" w:type="dxa"/>
            <w:vAlign w:val="bottom"/>
            <w:gridSpan w:val="2"/>
            <w:shd w:val="clear" w:color="auto" w:fill="CFF0FC"/>
          </w:tcPr>
          <w:p>
            <w:pPr>
              <w:ind w:left="140"/>
              <w:spacing w:after="0" w:line="139" w:lineRule="exact"/>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FF0FC"/>
          </w:tcPr>
          <w:p>
            <w:pPr>
              <w:jc w:val="right"/>
              <w:ind w:right="68"/>
              <w:spacing w:after="0" w:line="139" w:lineRule="exact"/>
              <w:rPr>
                <w:sz w:val="20"/>
                <w:szCs w:val="20"/>
                <w:color w:val="auto"/>
              </w:rPr>
            </w:pPr>
            <w:r>
              <w:rPr>
                <w:rFonts w:ascii="Arial" w:cs="Arial" w:eastAsia="Arial" w:hAnsi="Arial"/>
                <w:sz w:val="14"/>
                <w:szCs w:val="14"/>
                <w:b w:val="1"/>
                <w:bCs w:val="1"/>
                <w:color w:val="auto"/>
              </w:rPr>
              <w:t>5,322</w:t>
            </w:r>
          </w:p>
        </w:tc>
        <w:tc>
          <w:tcPr>
            <w:tcW w:w="0" w:type="dxa"/>
            <w:vAlign w:val="bottom"/>
          </w:tcPr>
          <w:p>
            <w:pPr>
              <w:spacing w:after="0"/>
              <w:rPr>
                <w:sz w:val="1"/>
                <w:szCs w:val="1"/>
                <w:color w:val="auto"/>
              </w:rPr>
            </w:pPr>
          </w:p>
        </w:tc>
      </w:tr>
      <w:tr>
        <w:trPr>
          <w:trHeight w:val="185"/>
        </w:trPr>
        <w:tc>
          <w:tcPr>
            <w:tcW w:w="3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shares)</w:t>
            </w: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166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166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76"/>
        </w:trPr>
        <w:tc>
          <w:tcPr>
            <w:tcW w:w="31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Other comprehensive loss</w:t>
            </w:r>
          </w:p>
        </w:tc>
        <w:tc>
          <w:tcPr>
            <w:tcW w:w="9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(142 )</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(142 )</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(7 )</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(149 )</w:t>
            </w:r>
          </w:p>
        </w:tc>
        <w:tc>
          <w:tcPr>
            <w:tcW w:w="0" w:type="dxa"/>
            <w:vAlign w:val="bottom"/>
          </w:tcPr>
          <w:p>
            <w:pPr>
              <w:spacing w:after="0"/>
              <w:rPr>
                <w:sz w:val="1"/>
                <w:szCs w:val="1"/>
                <w:color w:val="auto"/>
              </w:rPr>
            </w:pPr>
          </w:p>
        </w:tc>
      </w:tr>
      <w:tr>
        <w:trPr>
          <w:trHeight w:val="169"/>
        </w:trPr>
        <w:tc>
          <w:tcPr>
            <w:tcW w:w="3160" w:type="dxa"/>
            <w:vAlign w:val="bottom"/>
          </w:tcPr>
          <w:p>
            <w:pPr>
              <w:ind w:left="200"/>
              <w:spacing w:after="0"/>
              <w:rPr>
                <w:sz w:val="20"/>
                <w:szCs w:val="20"/>
                <w:color w:val="auto"/>
              </w:rPr>
            </w:pPr>
            <w:r>
              <w:rPr>
                <w:rFonts w:ascii="Arial" w:cs="Arial" w:eastAsia="Arial" w:hAnsi="Arial"/>
                <w:sz w:val="14"/>
                <w:szCs w:val="14"/>
                <w:b w:val="1"/>
                <w:bCs w:val="1"/>
                <w:color w:val="auto"/>
              </w:rPr>
              <w:t>Total comprehensive income (loss)</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24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175"/>
        </w:trPr>
        <w:tc>
          <w:tcPr>
            <w:tcW w:w="3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Stock-based compensation plans</w:t>
            </w: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rPr>
                <w:sz w:val="20"/>
                <w:szCs w:val="20"/>
                <w:color w:val="auto"/>
              </w:rPr>
            </w:pPr>
            <w:r>
              <w:rPr>
                <w:rFonts w:ascii="Arial" w:cs="Arial" w:eastAsia="Arial" w:hAnsi="Arial"/>
                <w:sz w:val="14"/>
                <w:szCs w:val="14"/>
                <w:color w:val="auto"/>
              </w:rPr>
              <w:t>Dividends declared</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76"/>
        </w:trPr>
        <w:tc>
          <w:tcPr>
            <w:tcW w:w="31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Common stock issued from treasury</w:t>
            </w:r>
          </w:p>
        </w:tc>
        <w:tc>
          <w:tcPr>
            <w:tcW w:w="9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42,861</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160" w:type="dxa"/>
            <w:vAlign w:val="bottom"/>
            <w:shd w:val="clear" w:color="auto" w:fill="CFF0FC"/>
          </w:tcPr>
          <w:p>
            <w:pPr>
              <w:ind w:left="120"/>
              <w:spacing w:after="0" w:line="139" w:lineRule="exact"/>
              <w:rPr>
                <w:sz w:val="20"/>
                <w:szCs w:val="20"/>
                <w:color w:val="auto"/>
              </w:rPr>
            </w:pPr>
            <w:r>
              <w:rPr>
                <w:rFonts w:ascii="Arial" w:cs="Arial" w:eastAsia="Arial" w:hAnsi="Arial"/>
                <w:sz w:val="14"/>
                <w:szCs w:val="14"/>
                <w:color w:val="auto"/>
              </w:rPr>
              <w:t>(after deducting 41,816,674 common treasury</w:t>
            </w:r>
          </w:p>
        </w:tc>
        <w:tc>
          <w:tcPr>
            <w:tcW w:w="960" w:type="dxa"/>
            <w:vAlign w:val="bottom"/>
            <w:shd w:val="clear" w:color="auto" w:fill="CFF0FC"/>
          </w:tcPr>
          <w:p>
            <w:pPr>
              <w:jc w:val="right"/>
              <w:ind w:right="68"/>
              <w:spacing w:after="0" w:line="139" w:lineRule="exact"/>
              <w:rPr>
                <w:sz w:val="20"/>
                <w:szCs w:val="20"/>
                <w:color w:val="auto"/>
              </w:rPr>
            </w:pPr>
            <w:r>
              <w:rPr>
                <w:rFonts w:ascii="Arial" w:cs="Arial" w:eastAsia="Arial" w:hAnsi="Arial"/>
                <w:sz w:val="14"/>
                <w:szCs w:val="14"/>
                <w:b w:val="1"/>
                <w:bCs w:val="1"/>
                <w:color w:val="auto"/>
              </w:rPr>
              <w:t>282,471,23</w:t>
            </w:r>
          </w:p>
        </w:tc>
        <w:tc>
          <w:tcPr>
            <w:tcW w:w="120" w:type="dxa"/>
            <w:vAlign w:val="bottom"/>
            <w:vMerge w:val="restart"/>
            <w:shd w:val="clear" w:color="auto" w:fill="CFF0FC"/>
          </w:tcPr>
          <w:p>
            <w:pPr>
              <w:spacing w:after="0"/>
              <w:rPr>
                <w:sz w:val="12"/>
                <w:szCs w:val="12"/>
                <w:color w:val="auto"/>
              </w:rPr>
            </w:pPr>
          </w:p>
        </w:tc>
        <w:tc>
          <w:tcPr>
            <w:tcW w:w="220" w:type="dxa"/>
            <w:vAlign w:val="bottom"/>
            <w:vMerge w:val="restart"/>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b w:val="1"/>
                <w:bCs w:val="1"/>
                <w:color w:val="auto"/>
              </w:rPr>
              <w:t>282</w:t>
            </w:r>
          </w:p>
        </w:tc>
        <w:tc>
          <w:tcPr>
            <w:tcW w:w="120" w:type="dxa"/>
            <w:vAlign w:val="bottom"/>
            <w:vMerge w:val="restart"/>
            <w:shd w:val="clear" w:color="auto" w:fill="CFF0FC"/>
          </w:tcPr>
          <w:p>
            <w:pPr>
              <w:spacing w:after="0"/>
              <w:rPr>
                <w:sz w:val="12"/>
                <w:szCs w:val="12"/>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96"/>
              </w:rPr>
              <w:t>3,114</w:t>
            </w:r>
          </w:p>
        </w:tc>
        <w:tc>
          <w:tcPr>
            <w:tcW w:w="120" w:type="dxa"/>
            <w:vAlign w:val="bottom"/>
            <w:vMerge w:val="restart"/>
            <w:shd w:val="clear" w:color="auto" w:fill="CFF0FC"/>
          </w:tcPr>
          <w:p>
            <w:pPr>
              <w:spacing w:after="0"/>
              <w:rPr>
                <w:sz w:val="12"/>
                <w:szCs w:val="12"/>
                <w:color w:val="auto"/>
              </w:rPr>
            </w:pPr>
          </w:p>
        </w:tc>
        <w:tc>
          <w:tcPr>
            <w:tcW w:w="2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5,835</w:t>
            </w:r>
          </w:p>
        </w:tc>
        <w:tc>
          <w:tcPr>
            <w:tcW w:w="140" w:type="dxa"/>
            <w:vAlign w:val="bottom"/>
            <w:vMerge w:val="restart"/>
            <w:shd w:val="clear" w:color="auto" w:fill="CFF0FC"/>
          </w:tcPr>
          <w:p>
            <w:pPr>
              <w:spacing w:after="0"/>
              <w:rPr>
                <w:sz w:val="12"/>
                <w:szCs w:val="12"/>
                <w:color w:val="auto"/>
              </w:rPr>
            </w:pPr>
          </w:p>
        </w:tc>
        <w:tc>
          <w:tcPr>
            <w:tcW w:w="1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8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(4,057 )</w:t>
            </w:r>
          </w:p>
        </w:tc>
        <w:tc>
          <w:tcPr>
            <w:tcW w:w="120" w:type="dxa"/>
            <w:vAlign w:val="bottom"/>
            <w:vMerge w:val="restart"/>
            <w:shd w:val="clear" w:color="auto" w:fill="CFF0FC"/>
          </w:tcPr>
          <w:p>
            <w:pPr>
              <w:spacing w:after="0"/>
              <w:rPr>
                <w:sz w:val="12"/>
                <w:szCs w:val="12"/>
                <w:color w:val="auto"/>
              </w:rPr>
            </w:pPr>
          </w:p>
        </w:tc>
        <w:tc>
          <w:tcPr>
            <w:tcW w:w="100" w:type="dxa"/>
            <w:vAlign w:val="bottom"/>
            <w:vMerge w:val="restart"/>
            <w:shd w:val="clear" w:color="auto" w:fill="CFF0FC"/>
          </w:tcPr>
          <w:p>
            <w:pPr>
              <w:ind w:left="20"/>
              <w:spacing w:after="0"/>
              <w:rPr>
                <w:sz w:val="20"/>
                <w:szCs w:val="20"/>
                <w:color w:val="auto"/>
              </w:rPr>
            </w:pPr>
            <w:r>
              <w:rPr>
                <w:rFonts w:ascii="Arial" w:cs="Arial" w:eastAsia="Arial" w:hAnsi="Arial"/>
                <w:sz w:val="14"/>
                <w:szCs w:val="14"/>
                <w:b w:val="1"/>
                <w:bCs w:val="1"/>
                <w:color w:val="auto"/>
                <w:w w:val="76"/>
              </w:rPr>
              <w:t>$</w:t>
            </w:r>
          </w:p>
        </w:tc>
        <w:tc>
          <w:tcPr>
            <w:tcW w:w="88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5,174</w:t>
            </w:r>
          </w:p>
        </w:tc>
        <w:tc>
          <w:tcPr>
            <w:tcW w:w="140" w:type="dxa"/>
            <w:vAlign w:val="bottom"/>
            <w:vMerge w:val="restart"/>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173</w:t>
            </w:r>
          </w:p>
        </w:tc>
        <w:tc>
          <w:tcPr>
            <w:tcW w:w="120" w:type="dxa"/>
            <w:vAlign w:val="bottom"/>
            <w:vMerge w:val="restart"/>
            <w:shd w:val="clear" w:color="auto" w:fill="CFF0FC"/>
          </w:tcPr>
          <w:p>
            <w:pPr>
              <w:spacing w:after="0"/>
              <w:rPr>
                <w:sz w:val="12"/>
                <w:szCs w:val="12"/>
                <w:color w:val="auto"/>
              </w:rPr>
            </w:pPr>
          </w:p>
        </w:tc>
        <w:tc>
          <w:tcPr>
            <w:tcW w:w="160" w:type="dxa"/>
            <w:vAlign w:val="bottom"/>
            <w:vMerge w:val="restart"/>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5,347</w:t>
            </w:r>
          </w:p>
        </w:tc>
        <w:tc>
          <w:tcPr>
            <w:tcW w:w="0" w:type="dxa"/>
            <w:vAlign w:val="bottom"/>
          </w:tcPr>
          <w:p>
            <w:pPr>
              <w:spacing w:after="0"/>
              <w:rPr>
                <w:sz w:val="1"/>
                <w:szCs w:val="1"/>
                <w:color w:val="auto"/>
              </w:rPr>
            </w:pPr>
          </w:p>
        </w:tc>
      </w:tr>
      <w:tr>
        <w:trPr>
          <w:trHeight w:val="225"/>
        </w:trPr>
        <w:tc>
          <w:tcPr>
            <w:tcW w:w="31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shares)</w:t>
            </w:r>
          </w:p>
        </w:tc>
        <w:tc>
          <w:tcPr>
            <w:tcW w:w="9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3</w:t>
            </w: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220" w:type="dxa"/>
            <w:vAlign w:val="bottom"/>
            <w:tcBorders>
              <w:bottom w:val="single" w:sz="8" w:color="auto"/>
            </w:tcBorders>
            <w:vMerge w:val="continue"/>
            <w:shd w:val="clear" w:color="auto" w:fill="CFF0FC"/>
          </w:tcPr>
          <w:p>
            <w:pPr>
              <w:spacing w:after="0"/>
              <w:rPr>
                <w:sz w:val="19"/>
                <w:szCs w:val="19"/>
                <w:color w:val="auto"/>
              </w:rPr>
            </w:pPr>
          </w:p>
        </w:tc>
        <w:tc>
          <w:tcPr>
            <w:tcW w:w="4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50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240" w:type="dxa"/>
            <w:vAlign w:val="bottom"/>
            <w:tcBorders>
              <w:bottom w:val="single" w:sz="8" w:color="auto"/>
            </w:tcBorders>
            <w:vMerge w:val="continue"/>
            <w:shd w:val="clear" w:color="auto" w:fill="CFF0FC"/>
          </w:tcPr>
          <w:p>
            <w:pPr>
              <w:spacing w:after="0"/>
              <w:rPr>
                <w:sz w:val="19"/>
                <w:szCs w:val="19"/>
                <w:color w:val="auto"/>
              </w:rPr>
            </w:pPr>
          </w:p>
        </w:tc>
        <w:tc>
          <w:tcPr>
            <w:tcW w:w="6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vMerge w:val="continue"/>
            <w:shd w:val="clear" w:color="auto" w:fill="CFF0FC"/>
          </w:tcPr>
          <w:p>
            <w:pPr>
              <w:spacing w:after="0"/>
              <w:rPr>
                <w:sz w:val="19"/>
                <w:szCs w:val="19"/>
                <w:color w:val="auto"/>
              </w:rPr>
            </w:pPr>
          </w:p>
        </w:tc>
        <w:tc>
          <w:tcPr>
            <w:tcW w:w="160" w:type="dxa"/>
            <w:vAlign w:val="bottom"/>
            <w:tcBorders>
              <w:bottom w:val="single" w:sz="8" w:color="auto"/>
            </w:tcBorders>
            <w:vMerge w:val="continue"/>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vMerge w:val="continue"/>
            <w:shd w:val="clear" w:color="auto" w:fill="CFF0FC"/>
          </w:tcPr>
          <w:p>
            <w:pPr>
              <w:spacing w:after="0"/>
              <w:rPr>
                <w:sz w:val="19"/>
                <w:szCs w:val="19"/>
                <w:color w:val="auto"/>
              </w:rPr>
            </w:pPr>
          </w:p>
        </w:tc>
        <w:tc>
          <w:tcPr>
            <w:tcW w:w="80" w:type="dxa"/>
            <w:vAlign w:val="bottom"/>
            <w:tcBorders>
              <w:bottom w:val="single" w:sz="8" w:color="auto"/>
            </w:tcBorders>
            <w:vMerge w:val="continue"/>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60" w:type="dxa"/>
            <w:vAlign w:val="bottom"/>
            <w:tcBorders>
              <w:bottom w:val="single" w:sz="8" w:color="auto"/>
            </w:tcBorders>
            <w:vMerge w:val="continue"/>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-1370965</wp:posOffset>
            </wp:positionV>
            <wp:extent cx="76835" cy="120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-1370965</wp:posOffset>
            </wp:positionV>
            <wp:extent cx="76835" cy="1200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-1370965</wp:posOffset>
            </wp:positionV>
            <wp:extent cx="77470"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-1370965</wp:posOffset>
            </wp:positionV>
            <wp:extent cx="85725" cy="1200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-1370965</wp:posOffset>
            </wp:positionV>
            <wp:extent cx="85725"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-1370965</wp:posOffset>
            </wp:positionV>
            <wp:extent cx="85725" cy="1200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-1370965</wp:posOffset>
            </wp:positionV>
            <wp:extent cx="77470" cy="120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-822325</wp:posOffset>
            </wp:positionV>
            <wp:extent cx="85725"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-822325</wp:posOffset>
            </wp:positionV>
            <wp:extent cx="77470"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-350520</wp:posOffset>
            </wp:positionV>
            <wp:extent cx="76835" cy="1200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-350520</wp:posOffset>
            </wp:positionV>
            <wp:extent cx="76835" cy="1200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-350520</wp:posOffset>
            </wp:positionV>
            <wp:extent cx="77470" cy="1200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-350520</wp:posOffset>
            </wp:positionV>
            <wp:extent cx="85725" cy="12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-350520</wp:posOffset>
            </wp:positionV>
            <wp:extent cx="85725" cy="1200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-350520</wp:posOffset>
            </wp:positionV>
            <wp:extent cx="85725" cy="1200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-350520</wp:posOffset>
            </wp:positionV>
            <wp:extent cx="77470" cy="1200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-25400</wp:posOffset>
            </wp:positionV>
            <wp:extent cx="768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-7620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-25400</wp:posOffset>
            </wp:positionV>
            <wp:extent cx="768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-7620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-25400</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-25400</wp:posOffset>
            </wp:positionV>
            <wp:extent cx="857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857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-25400</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There were no dividends declared or paid during the three and six months ended June 30,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ind w:left="340" w:right="2780"/>
        <w:spacing w:after="0" w:line="266"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CASH FLOWS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5"/>
                <w:szCs w:val="15"/>
                <w:color w:val="auto"/>
              </w:rPr>
            </w:pPr>
          </w:p>
        </w:tc>
      </w:tr>
      <w:tr>
        <w:trPr>
          <w:trHeight w:val="176"/>
        </w:trPr>
        <w:tc>
          <w:tcPr>
            <w:tcW w:w="8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5"/>
                <w:szCs w:val="15"/>
                <w:color w:val="auto"/>
              </w:rPr>
            </w:pPr>
          </w:p>
        </w:tc>
      </w:tr>
      <w:tr>
        <w:trPr>
          <w:trHeight w:val="185"/>
        </w:trPr>
        <w:tc>
          <w:tcPr>
            <w:tcW w:w="83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89"/>
              </w:rPr>
              <w:t>2022</w:t>
            </w:r>
          </w:p>
        </w:tc>
      </w:tr>
      <w:tr>
        <w:trPr>
          <w:trHeight w:val="223"/>
        </w:trPr>
        <w:tc>
          <w:tcPr>
            <w:tcW w:w="83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0"/>
        </w:trPr>
        <w:tc>
          <w:tcPr>
            <w:tcW w:w="838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(307 )</w:t>
            </w:r>
          </w:p>
        </w:tc>
        <w:tc>
          <w:tcPr>
            <w:tcW w:w="62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266</w:t>
            </w:r>
          </w:p>
        </w:tc>
      </w:tr>
      <w:tr>
        <w:trPr>
          <w:trHeight w:val="239"/>
        </w:trPr>
        <w:tc>
          <w:tcPr>
            <w:tcW w:w="8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Adjustments to Reconcile Net Income (Loss) to Cash Flows from Operating Activities:</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r>
      <w:tr>
        <w:trPr>
          <w:trHeight w:val="220"/>
        </w:trPr>
        <w:tc>
          <w:tcPr>
            <w:tcW w:w="838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9"/>
                <w:szCs w:val="19"/>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506</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481</w:t>
            </w:r>
          </w:p>
        </w:tc>
      </w:tr>
      <w:tr>
        <w:trPr>
          <w:trHeight w:val="239"/>
        </w:trPr>
        <w:tc>
          <w:tcPr>
            <w:tcW w:w="83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and Write-Off of Debt Issuance Costs</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w:t>
            </w:r>
          </w:p>
        </w:tc>
      </w:tr>
      <w:tr>
        <w:trPr>
          <w:trHeight w:val="220"/>
        </w:trPr>
        <w:tc>
          <w:tcPr>
            <w:tcW w:w="8380" w:type="dxa"/>
            <w:vAlign w:val="bottom"/>
          </w:tcPr>
          <w:p>
            <w:pPr>
              <w:ind w:left="200"/>
              <w:spacing w:after="0"/>
              <w:rPr>
                <w:sz w:val="20"/>
                <w:szCs w:val="20"/>
                <w:color w:val="auto"/>
              </w:rPr>
            </w:pPr>
            <w:r>
              <w:rPr>
                <w:rFonts w:ascii="Arial" w:cs="Arial" w:eastAsia="Arial" w:hAnsi="Arial"/>
                <w:sz w:val="16"/>
                <w:szCs w:val="16"/>
                <w:color w:val="auto"/>
              </w:rPr>
              <w:t>Provision for Deferred Income Taxes (Note 5)</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(108 )</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42</w:t>
            </w:r>
          </w:p>
        </w:tc>
      </w:tr>
      <w:tr>
        <w:trPr>
          <w:trHeight w:val="239"/>
        </w:trPr>
        <w:tc>
          <w:tcPr>
            <w:tcW w:w="83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Pension Curtailments and Settlements</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18</w:t>
            </w:r>
          </w:p>
        </w:tc>
      </w:tr>
      <w:tr>
        <w:trPr>
          <w:trHeight w:val="220"/>
        </w:trPr>
        <w:tc>
          <w:tcPr>
            <w:tcW w:w="8380" w:type="dxa"/>
            <w:vAlign w:val="bottom"/>
          </w:tcPr>
          <w:p>
            <w:pPr>
              <w:ind w:left="200"/>
              <w:spacing w:after="0"/>
              <w:rPr>
                <w:sz w:val="20"/>
                <w:szCs w:val="20"/>
                <w:color w:val="auto"/>
              </w:rPr>
            </w:pPr>
            <w:r>
              <w:rPr>
                <w:rFonts w:ascii="Arial" w:cs="Arial" w:eastAsia="Arial" w:hAnsi="Arial"/>
                <w:sz w:val="16"/>
                <w:szCs w:val="16"/>
                <w:color w:val="auto"/>
              </w:rPr>
              <w:t>Net Rationalization Charges (Note 3)</w:t>
            </w:r>
          </w:p>
        </w:tc>
        <w:tc>
          <w:tcPr>
            <w:tcW w:w="280" w:type="dxa"/>
            <w:vAlign w:val="bottom"/>
          </w:tcPr>
          <w:p>
            <w:pPr>
              <w:spacing w:after="0"/>
              <w:rPr>
                <w:sz w:val="19"/>
                <w:szCs w:val="19"/>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104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37</w:t>
            </w:r>
          </w:p>
        </w:tc>
      </w:tr>
      <w:tr>
        <w:trPr>
          <w:trHeight w:val="239"/>
        </w:trPr>
        <w:tc>
          <w:tcPr>
            <w:tcW w:w="83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Rationalization Payments</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(50 )</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(59 )</w:t>
            </w:r>
          </w:p>
        </w:tc>
      </w:tr>
      <w:tr>
        <w:trPr>
          <w:trHeight w:val="220"/>
        </w:trPr>
        <w:tc>
          <w:tcPr>
            <w:tcW w:w="8380" w:type="dxa"/>
            <w:vAlign w:val="bottom"/>
          </w:tcPr>
          <w:p>
            <w:pPr>
              <w:ind w:left="200"/>
              <w:spacing w:after="0"/>
              <w:rPr>
                <w:sz w:val="20"/>
                <w:szCs w:val="20"/>
                <w:color w:val="auto"/>
              </w:rPr>
            </w:pPr>
            <w:r>
              <w:rPr>
                <w:rFonts w:ascii="Arial" w:cs="Arial" w:eastAsia="Arial" w:hAnsi="Arial"/>
                <w:sz w:val="16"/>
                <w:szCs w:val="16"/>
                <w:color w:val="auto"/>
              </w:rPr>
              <w:t>Net (Gains) Losses on Asset Sales (Note 4)</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(62 )</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(98 )</w:t>
            </w:r>
          </w:p>
        </w:tc>
      </w:tr>
      <w:tr>
        <w:trPr>
          <w:trHeight w:val="239"/>
        </w:trPr>
        <w:tc>
          <w:tcPr>
            <w:tcW w:w="83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Expense</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148</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150</w:t>
            </w:r>
          </w:p>
        </w:tc>
      </w:tr>
      <w:tr>
        <w:trPr>
          <w:trHeight w:val="220"/>
        </w:trPr>
        <w:tc>
          <w:tcPr>
            <w:tcW w:w="8380" w:type="dxa"/>
            <w:vAlign w:val="bottom"/>
          </w:tcPr>
          <w:p>
            <w:pPr>
              <w:ind w:left="200"/>
              <w:spacing w:after="0"/>
              <w:rPr>
                <w:sz w:val="20"/>
                <w:szCs w:val="20"/>
                <w:color w:val="auto"/>
              </w:rPr>
            </w:pPr>
            <w:r>
              <w:rPr>
                <w:rFonts w:ascii="Arial" w:cs="Arial" w:eastAsia="Arial" w:hAnsi="Arial"/>
                <w:sz w:val="16"/>
                <w:szCs w:val="16"/>
                <w:color w:val="auto"/>
              </w:rPr>
              <w:t>Operating Lease Payments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(139 )</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(139 )</w:t>
            </w:r>
          </w:p>
        </w:tc>
      </w:tr>
      <w:tr>
        <w:trPr>
          <w:trHeight w:val="239"/>
        </w:trPr>
        <w:tc>
          <w:tcPr>
            <w:tcW w:w="83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Pension Contributions and Direct Payments</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(38 )</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(33 )</w:t>
            </w:r>
          </w:p>
        </w:tc>
      </w:tr>
      <w:tr>
        <w:trPr>
          <w:trHeight w:val="220"/>
        </w:trPr>
        <w:tc>
          <w:tcPr>
            <w:tcW w:w="838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 Net of Asset Acquisitions and Dispositions: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9"/>
        </w:trPr>
        <w:tc>
          <w:tcPr>
            <w:tcW w:w="83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(375 )</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(1,024 )</w:t>
            </w:r>
          </w:p>
        </w:tc>
      </w:tr>
      <w:tr>
        <w:trPr>
          <w:trHeight w:val="220"/>
        </w:trPr>
        <w:tc>
          <w:tcPr>
            <w:tcW w:w="838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9"/>
                <w:szCs w:val="19"/>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229</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(890 )</w:t>
            </w:r>
          </w:p>
        </w:tc>
      </w:tr>
      <w:tr>
        <w:trPr>
          <w:trHeight w:val="239"/>
        </w:trPr>
        <w:tc>
          <w:tcPr>
            <w:tcW w:w="83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 — Trade</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(404 )</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672</w:t>
            </w:r>
          </w:p>
        </w:tc>
      </w:tr>
      <w:tr>
        <w:trPr>
          <w:trHeight w:val="220"/>
        </w:trPr>
        <w:tc>
          <w:tcPr>
            <w:tcW w:w="8380" w:type="dxa"/>
            <w:vAlign w:val="bottom"/>
          </w:tcPr>
          <w:p>
            <w:pPr>
              <w:ind w:left="200"/>
              <w:spacing w:after="0"/>
              <w:rPr>
                <w:sz w:val="20"/>
                <w:szCs w:val="20"/>
                <w:color w:val="auto"/>
              </w:rPr>
            </w:pPr>
            <w:r>
              <w:rPr>
                <w:rFonts w:ascii="Arial" w:cs="Arial" w:eastAsia="Arial" w:hAnsi="Arial"/>
                <w:sz w:val="16"/>
                <w:szCs w:val="16"/>
                <w:color w:val="auto"/>
              </w:rPr>
              <w:t>Compensation and Benefits</w:t>
            </w:r>
          </w:p>
        </w:tc>
        <w:tc>
          <w:tcPr>
            <w:tcW w:w="280" w:type="dxa"/>
            <w:vAlign w:val="bottom"/>
          </w:tcPr>
          <w:p>
            <w:pPr>
              <w:spacing w:after="0"/>
              <w:rPr>
                <w:sz w:val="19"/>
                <w:szCs w:val="19"/>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(44 )</w:t>
            </w:r>
          </w:p>
        </w:tc>
      </w:tr>
      <w:tr>
        <w:trPr>
          <w:trHeight w:val="239"/>
        </w:trPr>
        <w:tc>
          <w:tcPr>
            <w:tcW w:w="83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104</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21</w:t>
            </w:r>
          </w:p>
        </w:tc>
      </w:tr>
      <w:tr>
        <w:trPr>
          <w:trHeight w:val="223"/>
        </w:trPr>
        <w:tc>
          <w:tcPr>
            <w:tcW w:w="8380" w:type="dxa"/>
            <w:vAlign w:val="bottom"/>
          </w:tcPr>
          <w:p>
            <w:pPr>
              <w:ind w:left="200"/>
              <w:spacing w:after="0"/>
              <w:rPr>
                <w:sz w:val="20"/>
                <w:szCs w:val="20"/>
                <w:color w:val="auto"/>
              </w:rPr>
            </w:pPr>
            <w:r>
              <w:rPr>
                <w:rFonts w:ascii="Arial" w:cs="Arial" w:eastAsia="Arial" w:hAnsi="Arial"/>
                <w:sz w:val="16"/>
                <w:szCs w:val="16"/>
                <w:color w:val="auto"/>
              </w:rPr>
              <w:t>Other Assets and Liabilities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(85 )</w:t>
            </w:r>
          </w:p>
        </w:tc>
        <w:tc>
          <w:tcPr>
            <w:tcW w:w="1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59</w:t>
            </w:r>
          </w:p>
        </w:tc>
      </w:tr>
      <w:tr>
        <w:trPr>
          <w:trHeight w:val="230"/>
        </w:trPr>
        <w:tc>
          <w:tcPr>
            <w:tcW w:w="838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Total Cash Flows from Operating Activities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(434 )</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(533 )</w:t>
            </w:r>
          </w:p>
        </w:tc>
      </w:tr>
      <w:tr>
        <w:trPr>
          <w:trHeight w:val="220"/>
        </w:trPr>
        <w:tc>
          <w:tcPr>
            <w:tcW w:w="83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9"/>
        </w:trPr>
        <w:tc>
          <w:tcPr>
            <w:tcW w:w="8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Capital Expenditures</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(536 )</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(511 )</w:t>
            </w:r>
          </w:p>
        </w:tc>
      </w:tr>
      <w:tr>
        <w:trPr>
          <w:trHeight w:val="220"/>
        </w:trPr>
        <w:tc>
          <w:tcPr>
            <w:tcW w:w="8380" w:type="dxa"/>
            <w:vAlign w:val="bottom"/>
          </w:tcPr>
          <w:p>
            <w:pPr>
              <w:ind w:left="120"/>
              <w:spacing w:after="0"/>
              <w:rPr>
                <w:sz w:val="20"/>
                <w:szCs w:val="20"/>
                <w:color w:val="auto"/>
              </w:rPr>
            </w:pPr>
            <w:r>
              <w:rPr>
                <w:rFonts w:ascii="Arial" w:cs="Arial" w:eastAsia="Arial" w:hAnsi="Arial"/>
                <w:sz w:val="16"/>
                <w:szCs w:val="16"/>
                <w:color w:val="auto"/>
              </w:rPr>
              <w:t>Cash Proceeds from Sale and Leaseback Transactions (Note 4)</w:t>
            </w:r>
          </w:p>
        </w:tc>
        <w:tc>
          <w:tcPr>
            <w:tcW w:w="280" w:type="dxa"/>
            <w:vAlign w:val="bottom"/>
          </w:tcPr>
          <w:p>
            <w:pPr>
              <w:spacing w:after="0"/>
              <w:rPr>
                <w:sz w:val="19"/>
                <w:szCs w:val="19"/>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66</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108</w:t>
            </w:r>
          </w:p>
        </w:tc>
      </w:tr>
      <w:tr>
        <w:trPr>
          <w:trHeight w:val="239"/>
        </w:trPr>
        <w:tc>
          <w:tcPr>
            <w:tcW w:w="8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Asset Dispositions</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24</w:t>
            </w:r>
          </w:p>
        </w:tc>
      </w:tr>
      <w:tr>
        <w:trPr>
          <w:trHeight w:val="220"/>
        </w:trPr>
        <w:tc>
          <w:tcPr>
            <w:tcW w:w="8380" w:type="dxa"/>
            <w:vAlign w:val="bottom"/>
          </w:tcPr>
          <w:p>
            <w:pPr>
              <w:ind w:left="120"/>
              <w:spacing w:after="0"/>
              <w:rPr>
                <w:sz w:val="20"/>
                <w:szCs w:val="20"/>
                <w:color w:val="auto"/>
              </w:rPr>
            </w:pPr>
            <w:r>
              <w:rPr>
                <w:rFonts w:ascii="Arial" w:cs="Arial" w:eastAsia="Arial" w:hAnsi="Arial"/>
                <w:sz w:val="16"/>
                <w:szCs w:val="16"/>
                <w:color w:val="auto"/>
              </w:rPr>
              <w:t>Short Term Securities Acquired</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(102 )</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239"/>
        </w:trPr>
        <w:tc>
          <w:tcPr>
            <w:tcW w:w="8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Short Term Securities Redeemed</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44</w:t>
            </w:r>
          </w:p>
        </w:tc>
      </w:tr>
      <w:tr>
        <w:trPr>
          <w:trHeight w:val="220"/>
        </w:trPr>
        <w:tc>
          <w:tcPr>
            <w:tcW w:w="8380" w:type="dxa"/>
            <w:vAlign w:val="bottom"/>
          </w:tcPr>
          <w:p>
            <w:pPr>
              <w:ind w:left="120"/>
              <w:spacing w:after="0"/>
              <w:rPr>
                <w:sz w:val="20"/>
                <w:szCs w:val="20"/>
                <w:color w:val="auto"/>
              </w:rPr>
            </w:pPr>
            <w:r>
              <w:rPr>
                <w:rFonts w:ascii="Arial" w:cs="Arial" w:eastAsia="Arial" w:hAnsi="Arial"/>
                <w:sz w:val="16"/>
                <w:szCs w:val="16"/>
                <w:color w:val="auto"/>
              </w:rPr>
              <w:t>Notes Receivable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(65 )</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(24 )</w:t>
            </w:r>
          </w:p>
        </w:tc>
      </w:tr>
      <w:tr>
        <w:trPr>
          <w:trHeight w:val="233"/>
        </w:trPr>
        <w:tc>
          <w:tcPr>
            <w:tcW w:w="83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Other Transactions</w:t>
            </w:r>
          </w:p>
        </w:tc>
        <w:tc>
          <w:tcPr>
            <w:tcW w:w="2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(13 )</w:t>
            </w:r>
          </w:p>
        </w:tc>
        <w:tc>
          <w:tcPr>
            <w:tcW w:w="1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(3 )</w:t>
            </w:r>
          </w:p>
        </w:tc>
      </w:tr>
      <w:tr>
        <w:trPr>
          <w:trHeight w:val="220"/>
        </w:trPr>
        <w:tc>
          <w:tcPr>
            <w:tcW w:w="8380" w:type="dxa"/>
            <w:vAlign w:val="bottom"/>
          </w:tcPr>
          <w:p>
            <w:pPr>
              <w:ind w:left="120"/>
              <w:spacing w:after="0"/>
              <w:rPr>
                <w:sz w:val="20"/>
                <w:szCs w:val="20"/>
                <w:color w:val="auto"/>
              </w:rPr>
            </w:pPr>
            <w:r>
              <w:rPr>
                <w:rFonts w:ascii="Arial" w:cs="Arial" w:eastAsia="Arial" w:hAnsi="Arial"/>
                <w:sz w:val="16"/>
                <w:szCs w:val="16"/>
                <w:b w:val="1"/>
                <w:bCs w:val="1"/>
                <w:color w:val="auto"/>
              </w:rPr>
              <w:t>Total Cash Flows from Investing Activities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(645 )</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(403 )</w:t>
            </w:r>
          </w:p>
        </w:tc>
      </w:tr>
      <w:tr>
        <w:trPr>
          <w:trHeight w:val="239"/>
        </w:trPr>
        <w:tc>
          <w:tcPr>
            <w:tcW w:w="83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r>
      <w:tr>
        <w:trPr>
          <w:trHeight w:val="220"/>
        </w:trPr>
        <w:tc>
          <w:tcPr>
            <w:tcW w:w="8380" w:type="dxa"/>
            <w:vAlign w:val="bottom"/>
          </w:tcPr>
          <w:p>
            <w:pPr>
              <w:ind w:left="120"/>
              <w:spacing w:after="0"/>
              <w:rPr>
                <w:sz w:val="20"/>
                <w:szCs w:val="20"/>
                <w:color w:val="auto"/>
              </w:rPr>
            </w:pPr>
            <w:r>
              <w:rPr>
                <w:rFonts w:ascii="Arial" w:cs="Arial" w:eastAsia="Arial" w:hAnsi="Arial"/>
                <w:sz w:val="16"/>
                <w:szCs w:val="16"/>
                <w:color w:val="auto"/>
              </w:rPr>
              <w:t>Short Term Debt and Overdrafts Incurred</w:t>
            </w:r>
          </w:p>
        </w:tc>
        <w:tc>
          <w:tcPr>
            <w:tcW w:w="280" w:type="dxa"/>
            <w:vAlign w:val="bottom"/>
          </w:tcPr>
          <w:p>
            <w:pPr>
              <w:spacing w:after="0"/>
              <w:rPr>
                <w:sz w:val="19"/>
                <w:szCs w:val="19"/>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583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723</w:t>
            </w:r>
          </w:p>
        </w:tc>
      </w:tr>
      <w:tr>
        <w:trPr>
          <w:trHeight w:val="239"/>
        </w:trPr>
        <w:tc>
          <w:tcPr>
            <w:tcW w:w="8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Short Term Debt and Overdrafts Paid</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(439 )</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(579 )</w:t>
            </w:r>
          </w:p>
        </w:tc>
      </w:tr>
      <w:tr>
        <w:trPr>
          <w:trHeight w:val="220"/>
        </w:trPr>
        <w:tc>
          <w:tcPr>
            <w:tcW w:w="8380" w:type="dxa"/>
            <w:vAlign w:val="bottom"/>
          </w:tcPr>
          <w:p>
            <w:pPr>
              <w:ind w:left="120"/>
              <w:spacing w:after="0"/>
              <w:rPr>
                <w:sz w:val="20"/>
                <w:szCs w:val="20"/>
                <w:color w:val="auto"/>
              </w:rPr>
            </w:pPr>
            <w:r>
              <w:rPr>
                <w:rFonts w:ascii="Arial" w:cs="Arial" w:eastAsia="Arial" w:hAnsi="Arial"/>
                <w:sz w:val="16"/>
                <w:szCs w:val="16"/>
                <w:color w:val="auto"/>
              </w:rPr>
              <w:t>Long Term Debt Incurred</w:t>
            </w:r>
          </w:p>
        </w:tc>
        <w:tc>
          <w:tcPr>
            <w:tcW w:w="280" w:type="dxa"/>
            <w:vAlign w:val="bottom"/>
          </w:tcPr>
          <w:p>
            <w:pPr>
              <w:spacing w:after="0"/>
              <w:rPr>
                <w:sz w:val="19"/>
                <w:szCs w:val="19"/>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4,758</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5,312</w:t>
            </w:r>
          </w:p>
        </w:tc>
      </w:tr>
      <w:tr>
        <w:trPr>
          <w:trHeight w:val="239"/>
        </w:trPr>
        <w:tc>
          <w:tcPr>
            <w:tcW w:w="8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Long Term Debt Paid</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(4,020 )</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(4,327 )</w:t>
            </w:r>
          </w:p>
        </w:tc>
      </w:tr>
      <w:tr>
        <w:trPr>
          <w:trHeight w:val="220"/>
        </w:trPr>
        <w:tc>
          <w:tcPr>
            <w:tcW w:w="8380" w:type="dxa"/>
            <w:vAlign w:val="bottom"/>
          </w:tcPr>
          <w:p>
            <w:pPr>
              <w:ind w:left="120"/>
              <w:spacing w:after="0"/>
              <w:rPr>
                <w:sz w:val="20"/>
                <w:szCs w:val="20"/>
                <w:color w:val="auto"/>
              </w:rPr>
            </w:pPr>
            <w:r>
              <w:rPr>
                <w:rFonts w:ascii="Arial" w:cs="Arial" w:eastAsia="Arial" w:hAnsi="Arial"/>
                <w:sz w:val="16"/>
                <w:szCs w:val="16"/>
                <w:color w:val="auto"/>
              </w:rPr>
              <w:t>Common Stock Issued</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(2 )</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(5 )</w:t>
            </w:r>
          </w:p>
        </w:tc>
      </w:tr>
      <w:tr>
        <w:trPr>
          <w:trHeight w:val="239"/>
        </w:trPr>
        <w:tc>
          <w:tcPr>
            <w:tcW w:w="8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Transactions with Minority Interests in Subsidiaries</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(2 )</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w:t>
            </w:r>
          </w:p>
        </w:tc>
      </w:tr>
      <w:tr>
        <w:trPr>
          <w:trHeight w:val="223"/>
        </w:trPr>
        <w:tc>
          <w:tcPr>
            <w:tcW w:w="8380" w:type="dxa"/>
            <w:vAlign w:val="bottom"/>
          </w:tcPr>
          <w:p>
            <w:pPr>
              <w:ind w:left="120"/>
              <w:spacing w:after="0"/>
              <w:rPr>
                <w:sz w:val="20"/>
                <w:szCs w:val="20"/>
                <w:color w:val="auto"/>
              </w:rPr>
            </w:pPr>
            <w:r>
              <w:rPr>
                <w:rFonts w:ascii="Arial" w:cs="Arial" w:eastAsia="Arial" w:hAnsi="Arial"/>
                <w:sz w:val="16"/>
                <w:szCs w:val="16"/>
                <w:color w:val="auto"/>
              </w:rPr>
              <w:t>Debt Related Costs and Other Transactions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1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w:t>
            </w:r>
          </w:p>
        </w:tc>
      </w:tr>
      <w:tr>
        <w:trPr>
          <w:trHeight w:val="230"/>
        </w:trPr>
        <w:tc>
          <w:tcPr>
            <w:tcW w:w="838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Total Cash Flows from Financing Activities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876</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auto"/>
              </w:rPr>
              <w:t>1,132</w:t>
            </w:r>
          </w:p>
        </w:tc>
      </w:tr>
      <w:tr>
        <w:trPr>
          <w:trHeight w:val="223"/>
        </w:trPr>
        <w:tc>
          <w:tcPr>
            <w:tcW w:w="838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(33 )</w:t>
            </w:r>
          </w:p>
        </w:tc>
      </w:tr>
      <w:tr>
        <w:trPr>
          <w:trHeight w:val="229"/>
        </w:trPr>
        <w:tc>
          <w:tcPr>
            <w:tcW w:w="838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Net Change in Cash, Cash Equivalents and Restricted Cash</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(199 )</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auto"/>
              </w:rPr>
              <w:t>163</w:t>
            </w:r>
          </w:p>
        </w:tc>
      </w:tr>
      <w:tr>
        <w:trPr>
          <w:trHeight w:val="223"/>
        </w:trPr>
        <w:tc>
          <w:tcPr>
            <w:tcW w:w="83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the Period</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1,311</w:t>
            </w:r>
          </w:p>
        </w:tc>
        <w:tc>
          <w:tcPr>
            <w:tcW w:w="1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1,164</w:t>
            </w:r>
          </w:p>
        </w:tc>
      </w:tr>
      <w:tr>
        <w:trPr>
          <w:trHeight w:val="263"/>
        </w:trPr>
        <w:tc>
          <w:tcPr>
            <w:tcW w:w="83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Cash, Cash Equivalents and Restricted Cash at End of the Period</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1,112</w:t>
            </w:r>
          </w:p>
        </w:tc>
        <w:tc>
          <w:tcPr>
            <w:tcW w:w="16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auto"/>
              </w:rPr>
              <w:t>1,327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-2099310</wp:posOffset>
            </wp:positionV>
            <wp:extent cx="10287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1028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1028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ind w:left="340" w:right="2780"/>
        <w:spacing w:after="0" w:line="266" w:lineRule="auto"/>
        <w:rPr>
          <w:sz w:val="20"/>
          <w:szCs w:val="20"/>
          <w:color w:val="auto"/>
        </w:rPr>
      </w:pPr>
      <w:r>
        <w:rPr>
          <w:rFonts w:ascii="Arial" w:cs="Arial" w:eastAsia="Arial" w:hAnsi="Arial"/>
          <w:sz w:val="18"/>
          <w:szCs w:val="18"/>
          <w:b w:val="1"/>
          <w:bCs w:val="1"/>
          <w:color w:val="auto"/>
        </w:rPr>
        <w:t>THE GOODYEAR TIRE &amp; RUBBER COMPANY AND SUBSIDIARIES NOTES TO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by The Goodyear Tire &amp; Rubber Company (the “Company,” “Goodyear,” “we,” “us” or “our”) in accordance with Securities and Exchange Commission (“SEC”) rules and regulations and generally accepted accounting principles in the United States of America ("U.S. GAAP") and in the opinion of management contain all adjustments (including normal recurring adjustments) necessary to fairly state the financial position, results of operations and cash flows for the periods presented. The preparation of financial statements in conformity with U.S. GAAP requires management to make estimates and assumptions that affect the amounts reported in the financial statements and accompanying notes. These interim consolidated financial statements should be read in conjunction with the consolidated financial statements and related notes thereto included in our Annual Report on Form 10-K for the year ended December 31, 2022 (the “2022 Form 10-K”).</w:t>
      </w:r>
    </w:p>
    <w:p>
      <w:pPr>
        <w:spacing w:after="0" w:line="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results for the three and six months ended June 30, 2023 are not necessarily indicative of the results expected in subsequent quarters or for the year ending December 31, 2023.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Standards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2023, we adopted an accounting standards update which requires disclosure of the key terms of our material supplier finance programs, including a description of the payment terms and assets pledged as security or other forms of guarantees, if any, provided for the committed payment to the finance provider or intermediary. In addition, the standards update requires disclosure of the related obligations outstanding at each interim reporting period and where those obligations are presented on the balance sheet. The standards update also includes a prospective annual requirement to disclose a rollforward of the amount of the obligations during the annual reporting period. We will include the rollforward disclosure in our Annual Report on Form 10-K for the year ending December 31, 2024, as required.</w:t>
      </w:r>
    </w:p>
    <w:p>
      <w:pPr>
        <w:spacing w:after="0" w:line="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entered into supplier finance programs with several financial institutions. Under these agreements, the financial institutions act as our paying agents with respect to accounts payable due to our suppliers. We agree to pay the financial institutions the stated amount of the confirmed invoices from the designated suppliers on the original maturity dates of the invoices. Invoice payment terms can be up to 120 days based on industry norms for the specific item purchased. We do not pay any fees to the financial institutions for these programs. There are no assets pledged as security or other forms of guarantees associated with these agreements. These agreements allow our suppliers to sell their receivables to the financial institutions at the sole discretion of the suppliers 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 programs. The amounts available under these programs were $921 million and $920 million at June 30, 2023 and December 31, 2022, respectively. The amounts confirmed to the financial institutions were $624 million and $710 million at June 30, 2023 and December 31, 2022, respectively, and are included in Accounts Payable — Trade in our Consolidated Balance Sheets. All activity related to these obligations is presented within operating activities on the Consolidated Statements of Cash Flows.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primarily carried at cost. All intercompany balances and transactions have been eliminated in consolidation.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Cash</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as reported within the Consolidated Statements of Cash Flows: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5"/>
        </w:trPr>
        <w:tc>
          <w:tcPr>
            <w:tcW w:w="840" w:type="dxa"/>
            <w:vAlign w:val="bottom"/>
          </w:tcPr>
          <w:p>
            <w:pPr>
              <w:spacing w:after="0"/>
              <w:rPr>
                <w:sz w:val="16"/>
                <w:szCs w:val="16"/>
                <w:color w:val="auto"/>
              </w:rPr>
            </w:pPr>
          </w:p>
        </w:tc>
        <w:tc>
          <w:tcPr>
            <w:tcW w:w="43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40" w:type="dxa"/>
            <w:vAlign w:val="bottom"/>
          </w:tcPr>
          <w:p>
            <w:pPr>
              <w:spacing w:after="0"/>
              <w:rPr>
                <w:sz w:val="16"/>
                <w:szCs w:val="16"/>
                <w:color w:val="auto"/>
              </w:rPr>
            </w:pPr>
          </w:p>
        </w:tc>
      </w:tr>
      <w:tr>
        <w:trPr>
          <w:trHeight w:val="236"/>
        </w:trPr>
        <w:tc>
          <w:tcPr>
            <w:tcW w:w="840" w:type="dxa"/>
            <w:vAlign w:val="bottom"/>
          </w:tcPr>
          <w:p>
            <w:pPr>
              <w:spacing w:after="0"/>
              <w:rPr>
                <w:sz w:val="20"/>
                <w:szCs w:val="20"/>
                <w:color w:val="auto"/>
              </w:rPr>
            </w:pPr>
          </w:p>
        </w:tc>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4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1,049</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1,248</w:t>
            </w:r>
          </w:p>
        </w:tc>
        <w:tc>
          <w:tcPr>
            <w:tcW w:w="840" w:type="dxa"/>
            <w:vAlign w:val="bottom"/>
          </w:tcPr>
          <w:p>
            <w:pPr>
              <w:spacing w:after="0"/>
              <w:rPr>
                <w:sz w:val="20"/>
                <w:szCs w:val="20"/>
                <w:color w:val="auto"/>
              </w:rPr>
            </w:pPr>
          </w:p>
        </w:tc>
      </w:tr>
      <w:tr>
        <w:trPr>
          <w:trHeight w:val="237"/>
        </w:trPr>
        <w:tc>
          <w:tcPr>
            <w:tcW w:w="8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79</w:t>
            </w:r>
          </w:p>
        </w:tc>
        <w:tc>
          <w:tcPr>
            <w:tcW w:w="840" w:type="dxa"/>
            <w:vAlign w:val="bottom"/>
          </w:tcPr>
          <w:p>
            <w:pPr>
              <w:spacing w:after="0"/>
              <w:rPr>
                <w:sz w:val="20"/>
                <w:szCs w:val="20"/>
                <w:color w:val="auto"/>
              </w:rPr>
            </w:pPr>
          </w:p>
        </w:tc>
      </w:tr>
      <w:tr>
        <w:trPr>
          <w:trHeight w:val="279"/>
        </w:trPr>
        <w:tc>
          <w:tcPr>
            <w:tcW w:w="840" w:type="dxa"/>
            <w:vAlign w:val="bottom"/>
          </w:tcPr>
          <w:p>
            <w:pPr>
              <w:spacing w:after="0"/>
              <w:rPr>
                <w:sz w:val="24"/>
                <w:szCs w:val="24"/>
                <w:color w:val="auto"/>
              </w:rPr>
            </w:pPr>
          </w:p>
        </w:tc>
        <w:tc>
          <w:tcPr>
            <w:tcW w:w="4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w w:val="99"/>
              </w:rPr>
              <w:t>Total Cash, Cash Equivalents and Restricted Cash</w:t>
            </w:r>
          </w:p>
        </w:tc>
        <w:tc>
          <w:tcPr>
            <w:tcW w:w="24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b w:val="1"/>
                <w:bCs w:val="1"/>
                <w:color w:val="auto"/>
              </w:rPr>
              <w:t>1,112</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1,327</w:t>
            </w:r>
          </w:p>
        </w:tc>
        <w:tc>
          <w:tcPr>
            <w:tcW w:w="840" w:type="dxa"/>
            <w:vAlign w:val="bottom"/>
          </w:tcPr>
          <w:p>
            <w:pPr>
              <w:spacing w:after="0"/>
              <w:rPr>
                <w:sz w:val="24"/>
                <w:szCs w:val="24"/>
                <w:color w:val="auto"/>
              </w:rPr>
            </w:pPr>
          </w:p>
        </w:tc>
      </w:tr>
      <w:tr>
        <w:trPr>
          <w:trHeight w:val="633"/>
        </w:trPr>
        <w:tc>
          <w:tcPr>
            <w:tcW w:w="8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00" w:type="dxa"/>
            <w:vAlign w:val="bottom"/>
          </w:tcPr>
          <w:p>
            <w:pPr>
              <w:jc w:val="right"/>
              <w:ind w:right="181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01"/>
        </w:trPr>
        <w:tc>
          <w:tcPr>
            <w:tcW w:w="840" w:type="dxa"/>
            <w:vAlign w:val="bottom"/>
            <w:tcBorders>
              <w:bottom w:val="single" w:sz="8" w:color="9A9A9A"/>
            </w:tcBorders>
          </w:tcPr>
          <w:p>
            <w:pPr>
              <w:spacing w:after="0"/>
              <w:rPr>
                <w:sz w:val="8"/>
                <w:szCs w:val="8"/>
                <w:color w:val="auto"/>
              </w:rPr>
            </w:pPr>
          </w:p>
        </w:tc>
        <w:tc>
          <w:tcPr>
            <w:tcW w:w="432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-513715</wp:posOffset>
            </wp:positionV>
            <wp:extent cx="1111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-496570</wp:posOffset>
            </wp:positionV>
            <wp:extent cx="1111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Cash primarily represents amounts required to be set aside in relation to accounts receivable factoring programs. The restrictions lapse when cash from factored accounts receivable is remitted to the purchaser of those receivables. At June 30, 2023, restricted cash was recorded in Prepaid Expenses and Other Current Assets in the Consolidated Balance Sheets. At June 30, 2022, $65 million and $14 million were recorded in Prepaid Expenses and Other Current Assets and Other Assets in the Consolidated Balance Sheets,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Reclassifications and Adjustments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NET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disaggregated net sales from contracts with customers by major source: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center"/>
              <w:ind w:right="193"/>
              <w:spacing w:after="0"/>
              <w:rPr>
                <w:sz w:val="20"/>
                <w:szCs w:val="20"/>
                <w:color w:val="auto"/>
              </w:rPr>
            </w:pPr>
            <w:r>
              <w:rPr>
                <w:rFonts w:ascii="Arial" w:cs="Arial" w:eastAsia="Arial" w:hAnsi="Arial"/>
                <w:sz w:val="14"/>
                <w:szCs w:val="14"/>
                <w:b w:val="1"/>
                <w:bCs w:val="1"/>
                <w:color w:val="auto"/>
                <w:w w:val="93"/>
              </w:rPr>
              <w:t>Three Months Ended June 30, 2023</w:t>
            </w: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7"/>
        </w:trPr>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jc w:val="center"/>
              <w:ind w:right="196"/>
              <w:spacing w:after="0"/>
              <w:rPr>
                <w:sz w:val="20"/>
                <w:szCs w:val="20"/>
                <w:color w:val="auto"/>
              </w:rPr>
            </w:pPr>
            <w:r>
              <w:rPr>
                <w:rFonts w:ascii="Arial" w:cs="Arial" w:eastAsia="Arial" w:hAnsi="Arial"/>
                <w:sz w:val="14"/>
                <w:szCs w:val="14"/>
                <w:b w:val="1"/>
                <w:bCs w:val="1"/>
                <w:color w:val="auto"/>
                <w:w w:val="95"/>
              </w:rPr>
              <w:t>Europe, Middle East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5"/>
        </w:trPr>
        <w:tc>
          <w:tcPr>
            <w:tcW w:w="40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Americas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3"/>
              </w:rPr>
              <w:t>and Africa</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Asia Pacific</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Total</w:t>
            </w:r>
          </w:p>
        </w:tc>
      </w:tr>
      <w:tr>
        <w:trPr>
          <w:trHeight w:val="236"/>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Tire unit sales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2,434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1,159</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554</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4,147</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Other tire and related sales</w:t>
            </w:r>
          </w:p>
        </w:tc>
        <w:tc>
          <w:tcPr>
            <w:tcW w:w="260" w:type="dxa"/>
            <w:vAlign w:val="bottom"/>
          </w:tcPr>
          <w:p>
            <w:pPr>
              <w:spacing w:after="0"/>
              <w:rPr>
                <w:sz w:val="20"/>
                <w:szCs w:val="20"/>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ind w:right="56"/>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377</w:t>
            </w:r>
          </w:p>
        </w:tc>
      </w:tr>
      <w:tr>
        <w:trPr>
          <w:trHeight w:val="24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Retail services and service related sales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220</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Chemical sales</w:t>
            </w:r>
          </w:p>
        </w:tc>
        <w:tc>
          <w:tcPr>
            <w:tcW w:w="260" w:type="dxa"/>
            <w:vAlign w:val="bottom"/>
          </w:tcPr>
          <w:p>
            <w:pPr>
              <w:spacing w:after="0"/>
              <w:rPr>
                <w:sz w:val="20"/>
                <w:szCs w:val="20"/>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116</w:t>
            </w:r>
          </w:p>
        </w:tc>
      </w:tr>
      <w:tr>
        <w:trPr>
          <w:trHeight w:val="243"/>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7</w:t>
            </w:r>
          </w:p>
        </w:tc>
      </w:tr>
      <w:tr>
        <w:trPr>
          <w:trHeight w:val="238"/>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Net Sales by reportable segment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2,939</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1,341</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587</w:t>
            </w:r>
          </w:p>
        </w:tc>
        <w:tc>
          <w:tcPr>
            <w:tcW w:w="2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4,867</w:t>
            </w:r>
          </w:p>
        </w:tc>
      </w:tr>
      <w:tr>
        <w:trPr>
          <w:trHeight w:val="20"/>
        </w:trPr>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09"/>
        </w:trPr>
        <w:tc>
          <w:tcPr>
            <w:tcW w:w="4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center"/>
              <w:ind w:right="193"/>
              <w:spacing w:after="0"/>
              <w:rPr>
                <w:sz w:val="20"/>
                <w:szCs w:val="20"/>
                <w:color w:val="auto"/>
              </w:rPr>
            </w:pPr>
            <w:r>
              <w:rPr>
                <w:rFonts w:ascii="Arial" w:cs="Arial" w:eastAsia="Arial" w:hAnsi="Arial"/>
                <w:sz w:val="14"/>
                <w:szCs w:val="14"/>
                <w:b w:val="1"/>
                <w:bCs w:val="1"/>
                <w:color w:val="auto"/>
                <w:w w:val="93"/>
              </w:rPr>
              <w:t>Three Months Ended June 30, 2022</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80"/>
        </w:trPr>
        <w:tc>
          <w:tcPr>
            <w:tcW w:w="4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center"/>
              <w:ind w:right="196"/>
              <w:spacing w:after="0"/>
              <w:rPr>
                <w:sz w:val="20"/>
                <w:szCs w:val="20"/>
                <w:color w:val="auto"/>
              </w:rPr>
            </w:pPr>
            <w:r>
              <w:rPr>
                <w:rFonts w:ascii="Arial" w:cs="Arial" w:eastAsia="Arial" w:hAnsi="Arial"/>
                <w:sz w:val="14"/>
                <w:szCs w:val="14"/>
                <w:b w:val="1"/>
                <w:bCs w:val="1"/>
                <w:color w:val="auto"/>
                <w:w w:val="95"/>
              </w:rPr>
              <w:t>Europe, Middle East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2"/>
        </w:trPr>
        <w:tc>
          <w:tcPr>
            <w:tcW w:w="40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Americas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3"/>
              </w:rPr>
              <w:t>and Africa</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Asia Pacific</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Total</w:t>
            </w:r>
          </w:p>
        </w:tc>
      </w:tr>
      <w:tr>
        <w:trPr>
          <w:trHeight w:val="236"/>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Tire unit sales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2,626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1,301</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536</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4,463</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Other tire and related sales</w:t>
            </w:r>
          </w:p>
        </w:tc>
        <w:tc>
          <w:tcPr>
            <w:tcW w:w="260" w:type="dxa"/>
            <w:vAlign w:val="bottom"/>
          </w:tcPr>
          <w:p>
            <w:pPr>
              <w:spacing w:after="0"/>
              <w:rPr>
                <w:sz w:val="20"/>
                <w:szCs w:val="20"/>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ind w:right="56"/>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377</w:t>
            </w:r>
          </w:p>
        </w:tc>
      </w:tr>
      <w:tr>
        <w:trPr>
          <w:trHeight w:val="24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Retail services and service related sales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210</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Chemical sales</w:t>
            </w:r>
          </w:p>
        </w:tc>
        <w:tc>
          <w:tcPr>
            <w:tcW w:w="260" w:type="dxa"/>
            <w:vAlign w:val="bottom"/>
          </w:tcPr>
          <w:p>
            <w:pPr>
              <w:spacing w:after="0"/>
              <w:rPr>
                <w:sz w:val="20"/>
                <w:szCs w:val="20"/>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154</w:t>
            </w:r>
          </w:p>
        </w:tc>
      </w:tr>
      <w:tr>
        <w:trPr>
          <w:trHeight w:val="243"/>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8</w:t>
            </w:r>
          </w:p>
        </w:tc>
      </w:tr>
      <w:tr>
        <w:trPr>
          <w:trHeight w:val="239"/>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Net Sales by reportable segment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3,147</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1,497</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568</w:t>
            </w:r>
          </w:p>
        </w:tc>
        <w:tc>
          <w:tcPr>
            <w:tcW w:w="2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5,212</w:t>
            </w:r>
          </w:p>
        </w:tc>
      </w:tr>
      <w:tr>
        <w:trPr>
          <w:trHeight w:val="20"/>
        </w:trPr>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09"/>
        </w:trPr>
        <w:tc>
          <w:tcPr>
            <w:tcW w:w="4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center"/>
              <w:ind w:right="213"/>
              <w:spacing w:after="0"/>
              <w:rPr>
                <w:sz w:val="20"/>
                <w:szCs w:val="20"/>
                <w:color w:val="auto"/>
              </w:rPr>
            </w:pPr>
            <w:r>
              <w:rPr>
                <w:rFonts w:ascii="Arial" w:cs="Arial" w:eastAsia="Arial" w:hAnsi="Arial"/>
                <w:sz w:val="14"/>
                <w:szCs w:val="14"/>
                <w:b w:val="1"/>
                <w:bCs w:val="1"/>
                <w:color w:val="auto"/>
                <w:w w:val="92"/>
              </w:rPr>
              <w:t>Six Months Ended June 30, 2023</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60"/>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jc w:val="center"/>
              <w:ind w:right="196"/>
              <w:spacing w:after="0" w:line="160" w:lineRule="exact"/>
              <w:rPr>
                <w:sz w:val="20"/>
                <w:szCs w:val="20"/>
                <w:color w:val="auto"/>
              </w:rPr>
            </w:pPr>
            <w:r>
              <w:rPr>
                <w:rFonts w:ascii="Arial" w:cs="Arial" w:eastAsia="Arial" w:hAnsi="Arial"/>
                <w:sz w:val="14"/>
                <w:szCs w:val="14"/>
                <w:b w:val="1"/>
                <w:bCs w:val="1"/>
                <w:color w:val="auto"/>
                <w:w w:val="95"/>
              </w:rPr>
              <w:t>Europe, Middle East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5"/>
        </w:trPr>
        <w:tc>
          <w:tcPr>
            <w:tcW w:w="40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Americas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3"/>
              </w:rPr>
              <w:t>and Africa</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Asia Pacific</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Total</w:t>
            </w:r>
          </w:p>
        </w:tc>
      </w:tr>
      <w:tr>
        <w:trPr>
          <w:trHeight w:val="236"/>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Tire unit sales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4,812</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2,487</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1,103</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8,402</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Other tire and related sales</w:t>
            </w:r>
          </w:p>
        </w:tc>
        <w:tc>
          <w:tcPr>
            <w:tcW w:w="260" w:type="dxa"/>
            <w:vAlign w:val="bottom"/>
          </w:tcPr>
          <w:p>
            <w:pPr>
              <w:spacing w:after="0"/>
              <w:rPr>
                <w:sz w:val="20"/>
                <w:szCs w:val="20"/>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396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ind w:right="56"/>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722</w:t>
            </w:r>
          </w:p>
        </w:tc>
      </w:tr>
      <w:tr>
        <w:trPr>
          <w:trHeight w:val="24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Retail services and service related sales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416</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Chemical sales</w:t>
            </w:r>
          </w:p>
        </w:tc>
        <w:tc>
          <w:tcPr>
            <w:tcW w:w="260" w:type="dxa"/>
            <w:vAlign w:val="bottom"/>
          </w:tcPr>
          <w:p>
            <w:pPr>
              <w:spacing w:after="0"/>
              <w:rPr>
                <w:sz w:val="20"/>
                <w:szCs w:val="20"/>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256</w:t>
            </w:r>
          </w:p>
        </w:tc>
      </w:tr>
      <w:tr>
        <w:trPr>
          <w:trHeight w:val="243"/>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12</w:t>
            </w:r>
          </w:p>
        </w:tc>
      </w:tr>
      <w:tr>
        <w:trPr>
          <w:trHeight w:val="238"/>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Net Sales by reportable segment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5,806</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2,833</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1,169</w:t>
            </w:r>
          </w:p>
        </w:tc>
        <w:tc>
          <w:tcPr>
            <w:tcW w:w="2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9,808</w:t>
            </w:r>
          </w:p>
        </w:tc>
      </w:tr>
      <w:tr>
        <w:trPr>
          <w:trHeight w:val="20"/>
        </w:trPr>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09"/>
        </w:trPr>
        <w:tc>
          <w:tcPr>
            <w:tcW w:w="4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center"/>
              <w:ind w:right="213"/>
              <w:spacing w:after="0"/>
              <w:rPr>
                <w:sz w:val="20"/>
                <w:szCs w:val="20"/>
                <w:color w:val="auto"/>
              </w:rPr>
            </w:pPr>
            <w:r>
              <w:rPr>
                <w:rFonts w:ascii="Arial" w:cs="Arial" w:eastAsia="Arial" w:hAnsi="Arial"/>
                <w:sz w:val="14"/>
                <w:szCs w:val="14"/>
                <w:b w:val="1"/>
                <w:bCs w:val="1"/>
                <w:color w:val="auto"/>
                <w:w w:val="92"/>
              </w:rPr>
              <w:t>Six Months Ended June 30, 2022</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60"/>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jc w:val="center"/>
              <w:ind w:right="196"/>
              <w:spacing w:after="0" w:line="160" w:lineRule="exact"/>
              <w:rPr>
                <w:sz w:val="20"/>
                <w:szCs w:val="20"/>
                <w:color w:val="auto"/>
              </w:rPr>
            </w:pPr>
            <w:r>
              <w:rPr>
                <w:rFonts w:ascii="Arial" w:cs="Arial" w:eastAsia="Arial" w:hAnsi="Arial"/>
                <w:sz w:val="14"/>
                <w:szCs w:val="14"/>
                <w:b w:val="1"/>
                <w:bCs w:val="1"/>
                <w:color w:val="auto"/>
                <w:w w:val="95"/>
              </w:rPr>
              <w:t>Europe, Middle East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5"/>
        </w:trPr>
        <w:tc>
          <w:tcPr>
            <w:tcW w:w="40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Americas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3"/>
              </w:rPr>
              <w:t>and Africa</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Asia Pacific</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Total</w:t>
            </w:r>
          </w:p>
        </w:tc>
      </w:tr>
      <w:tr>
        <w:trPr>
          <w:trHeight w:val="237"/>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Tire unit sales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5,059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2,576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1,069</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8,704</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Other tire and related sales</w:t>
            </w:r>
          </w:p>
        </w:tc>
        <w:tc>
          <w:tcPr>
            <w:tcW w:w="260" w:type="dxa"/>
            <w:vAlign w:val="bottom"/>
          </w:tcPr>
          <w:p>
            <w:pPr>
              <w:spacing w:after="0"/>
              <w:rPr>
                <w:sz w:val="20"/>
                <w:szCs w:val="20"/>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ind w:right="56"/>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687</w:t>
            </w:r>
          </w:p>
        </w:tc>
      </w:tr>
      <w:tr>
        <w:trPr>
          <w:trHeight w:val="24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Retail services and service related sales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306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395</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Chemical sales</w:t>
            </w:r>
          </w:p>
        </w:tc>
        <w:tc>
          <w:tcPr>
            <w:tcW w:w="260" w:type="dxa"/>
            <w:vAlign w:val="bottom"/>
          </w:tcPr>
          <w:p>
            <w:pPr>
              <w:spacing w:after="0"/>
              <w:rPr>
                <w:sz w:val="20"/>
                <w:szCs w:val="20"/>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319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319</w:t>
            </w:r>
          </w:p>
        </w:tc>
      </w:tr>
      <w:tr>
        <w:trPr>
          <w:trHeight w:val="243"/>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15</w:t>
            </w:r>
          </w:p>
        </w:tc>
      </w:tr>
      <w:tr>
        <w:trPr>
          <w:trHeight w:val="239"/>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Net Sales by reportable segment</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73"/>
              <w:spacing w:after="0"/>
              <w:rPr>
                <w:sz w:val="20"/>
                <w:szCs w:val="20"/>
                <w:color w:val="auto"/>
              </w:rPr>
            </w:pPr>
            <w:r>
              <w:rPr>
                <w:rFonts w:ascii="Arial" w:cs="Arial" w:eastAsia="Arial" w:hAnsi="Arial"/>
                <w:sz w:val="18"/>
                <w:szCs w:val="18"/>
                <w:b w:val="1"/>
                <w:bCs w:val="1"/>
                <w:color w:val="auto"/>
              </w:rPr>
              <w:t>6,062</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tcPr>
          <w:p>
            <w:pPr>
              <w:jc w:val="right"/>
              <w:ind w:right="56"/>
              <w:spacing w:after="0"/>
              <w:rPr>
                <w:sz w:val="20"/>
                <w:szCs w:val="20"/>
                <w:color w:val="auto"/>
              </w:rPr>
            </w:pPr>
            <w:r>
              <w:rPr>
                <w:rFonts w:ascii="Arial" w:cs="Arial" w:eastAsia="Arial" w:hAnsi="Arial"/>
                <w:sz w:val="18"/>
                <w:szCs w:val="18"/>
                <w:b w:val="1"/>
                <w:bCs w:val="1"/>
                <w:color w:val="auto"/>
              </w:rPr>
              <w:t>2,923</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73"/>
              <w:spacing w:after="0"/>
              <w:rPr>
                <w:sz w:val="20"/>
                <w:szCs w:val="20"/>
                <w:color w:val="auto"/>
              </w:rPr>
            </w:pPr>
            <w:r>
              <w:rPr>
                <w:rFonts w:ascii="Arial" w:cs="Arial" w:eastAsia="Arial" w:hAnsi="Arial"/>
                <w:sz w:val="18"/>
                <w:szCs w:val="18"/>
                <w:b w:val="1"/>
                <w:bCs w:val="1"/>
                <w:color w:val="auto"/>
              </w:rPr>
              <w:t>1,135</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53"/>
              <w:spacing w:after="0"/>
              <w:rPr>
                <w:sz w:val="20"/>
                <w:szCs w:val="20"/>
                <w:color w:val="auto"/>
              </w:rPr>
            </w:pPr>
            <w:r>
              <w:rPr>
                <w:rFonts w:ascii="Arial" w:cs="Arial" w:eastAsia="Arial" w:hAnsi="Arial"/>
                <w:sz w:val="18"/>
                <w:szCs w:val="18"/>
                <w:b w:val="1"/>
                <w:bCs w:val="1"/>
                <w:color w:val="auto"/>
              </w:rPr>
              <w:t>10,120</w:t>
            </w:r>
          </w:p>
        </w:tc>
      </w:tr>
      <w:tr>
        <w:trPr>
          <w:trHeight w:val="20"/>
        </w:trPr>
        <w:tc>
          <w:tcPr>
            <w:tcW w:w="4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-4422775</wp:posOffset>
            </wp:positionV>
            <wp:extent cx="14605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6050" cy="18859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-4422775</wp:posOffset>
            </wp:positionV>
            <wp:extent cx="13716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-4422775</wp:posOffset>
            </wp:positionV>
            <wp:extent cx="13716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-2999740</wp:posOffset>
            </wp:positionV>
            <wp:extent cx="14605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050" cy="18859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-2999740</wp:posOffset>
            </wp:positionV>
            <wp:extent cx="13716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-2999740</wp:posOffset>
            </wp:positionV>
            <wp:extent cx="13716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-1593850</wp:posOffset>
            </wp:positionV>
            <wp:extent cx="14605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6050" cy="18859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-1593850</wp:posOffset>
            </wp:positionV>
            <wp:extent cx="13716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-1593850</wp:posOffset>
            </wp:positionV>
            <wp:extent cx="13716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-187960</wp:posOffset>
            </wp:positionV>
            <wp:extent cx="14605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6050" cy="18859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-187960</wp:posOffset>
            </wp:positionV>
            <wp:extent cx="13716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13716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188595"/>
                    </a:xfrm>
                    <a:prstGeom prst="rect">
                      <a:avLst/>
                    </a:prstGeom>
                    <a:noFill/>
                  </pic:spPr>
                </pic:pic>
              </a:graphicData>
            </a:graphic>
          </wp:anchor>
        </w:drawing>
      </w:r>
    </w:p>
    <w:p>
      <w:pPr>
        <w:spacing w:after="0" w:line="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Tire unit sales consist of consumer, commercial, farm and off-the-road tire sales, including the sale of new Company-branded tires through Company-owned retail channels. Other tire and related sales consist of aviation, race and motorcycle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$17 million and $19 million at June 30, 2023 and December 31, 2022, respectively. Deferred revenue included in Other Long Term Liabilities in the Consolidated Balance Sheets totaled $13 million and $15 million at June 30, 2023 and December 31, 2022, respectively. We recognize deferred revenue after we have transferred control of the goods or services to the customer and all revenue recognition criteria are met.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balance of deferred revenue related to contracts with customers, and changes during the six months ended June 30, 2023:</w:t>
      </w:r>
    </w:p>
    <w:p>
      <w:pPr>
        <w:spacing w:after="0" w:line="217" w:lineRule="exact"/>
        <w:rPr>
          <w:sz w:val="20"/>
          <w:szCs w:val="20"/>
          <w:color w:val="auto"/>
        </w:rPr>
      </w:pPr>
    </w:p>
    <w:tbl>
      <w:tblPr>
        <w:tblLayout w:type="fixed"/>
        <w:tblInd w:w="1120" w:type="dxa"/>
        <w:tblCellMar>
          <w:top w:w="0" w:type="dxa"/>
          <w:left w:w="0" w:type="dxa"/>
          <w:bottom w:w="0" w:type="dxa"/>
          <w:right w:w="0" w:type="dxa"/>
        </w:tblCellMar>
      </w:tblPr>
      <w:tr>
        <w:trPr>
          <w:trHeight w:val="181"/>
        </w:trPr>
        <w:tc>
          <w:tcPr>
            <w:tcW w:w="74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34</w:t>
            </w: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color w:val="auto"/>
              </w:rPr>
              <w:t>Revenue deferred during period</w:t>
            </w:r>
          </w:p>
        </w:tc>
        <w:tc>
          <w:tcPr>
            <w:tcW w:w="62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86</w:t>
            </w:r>
          </w:p>
        </w:tc>
      </w:tr>
      <w:tr>
        <w:trPr>
          <w:trHeight w:val="249"/>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recognized during period</w:t>
            </w:r>
          </w:p>
        </w:tc>
        <w:tc>
          <w:tcPr>
            <w:tcW w:w="6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(90 )</w:t>
            </w: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color w:val="auto"/>
              </w:rPr>
              <w:t>Impact of foreign currency translation</w:t>
            </w: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79"/>
        </w:trPr>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30</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COSTS ASSOCIATED WITH RATIONALIZATION PROGRAMS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maintain our global competitiveness, we have implemented rationalization actions over the past several years to reduce high-cost and excess manufacturing capacity and operating and administrative costs, and, more recently, related to the integration of Cooper Tire.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roll-forward of the liability balance between periods: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0" w:type="dxa"/>
            <w:vAlign w:val="bottom"/>
          </w:tcPr>
          <w:p>
            <w:pPr>
              <w:spacing w:after="0"/>
              <w:rPr>
                <w:sz w:val="15"/>
                <w:szCs w:val="15"/>
                <w:color w:val="auto"/>
              </w:rPr>
            </w:pPr>
          </w:p>
        </w:tc>
        <w:tc>
          <w:tcPr>
            <w:tcW w:w="1260" w:type="dxa"/>
            <w:vAlign w:val="bottom"/>
          </w:tcPr>
          <w:p>
            <w:pPr>
              <w:jc w:val="right"/>
              <w:ind w:right="79"/>
              <w:spacing w:after="0"/>
              <w:rPr>
                <w:sz w:val="20"/>
                <w:szCs w:val="20"/>
                <w:color w:val="auto"/>
              </w:rPr>
            </w:pPr>
            <w:r>
              <w:rPr>
                <w:rFonts w:ascii="Arial" w:cs="Arial" w:eastAsia="Arial" w:hAnsi="Arial"/>
                <w:sz w:val="14"/>
                <w:szCs w:val="14"/>
                <w:b w:val="1"/>
                <w:bCs w:val="1"/>
                <w:color w:val="auto"/>
              </w:rPr>
              <w:t>Associate-</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5"/>
        </w:trPr>
        <w:tc>
          <w:tcPr>
            <w:tcW w:w="56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Related Costs</w:t>
            </w:r>
          </w:p>
        </w:tc>
        <w:tc>
          <w:tcPr>
            <w:tcW w:w="4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 Costs</w:t>
            </w:r>
          </w:p>
        </w:tc>
        <w:tc>
          <w:tcPr>
            <w:tcW w:w="4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Total</w:t>
            </w:r>
          </w:p>
        </w:tc>
      </w:tr>
      <w:tr>
        <w:trPr>
          <w:trHeight w:val="237"/>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260" w:type="dxa"/>
            <w:vAlign w:val="bottom"/>
            <w:shd w:val="clear" w:color="auto" w:fill="CFF0FC"/>
          </w:tcPr>
          <w:p>
            <w:pPr>
              <w:jc w:val="right"/>
              <w:ind w:right="1079"/>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115</w:t>
            </w: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1056"/>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117</w:t>
            </w: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2023 Charges</w:t>
            </w:r>
          </w:p>
        </w:tc>
        <w:tc>
          <w:tcPr>
            <w:tcW w:w="126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110</w:t>
            </w:r>
          </w:p>
        </w:tc>
      </w:tr>
      <w:tr>
        <w:trPr>
          <w:trHeight w:val="221"/>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Incurred, net of foreign currency translation of $3 million and $0 million,</w:t>
            </w:r>
          </w:p>
        </w:tc>
        <w:tc>
          <w:tcPr>
            <w:tcW w:w="1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44"/>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respectively</w:t>
            </w:r>
          </w:p>
        </w:tc>
        <w:tc>
          <w:tcPr>
            <w:tcW w:w="12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(32 )</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(47 )</w:t>
            </w: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Reversed to the Statement of Operations</w:t>
            </w:r>
          </w:p>
        </w:tc>
        <w:tc>
          <w:tcPr>
            <w:tcW w:w="12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2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r>
      <w:tr>
        <w:trPr>
          <w:trHeight w:val="279"/>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260" w:type="dxa"/>
            <w:vAlign w:val="bottom"/>
            <w:tcBorders>
              <w:bottom w:val="single" w:sz="8" w:color="auto"/>
            </w:tcBorders>
            <w:shd w:val="clear" w:color="auto" w:fill="CFF0FC"/>
          </w:tcPr>
          <w:p>
            <w:pPr>
              <w:jc w:val="right"/>
              <w:ind w:right="1079"/>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159</w:t>
            </w:r>
          </w:p>
        </w:tc>
        <w:tc>
          <w:tcPr>
            <w:tcW w:w="20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ind w:right="1056"/>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15</w:t>
            </w:r>
          </w:p>
        </w:tc>
        <w:tc>
          <w:tcPr>
            <w:tcW w:w="2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-24765</wp:posOffset>
            </wp:positionV>
            <wp:extent cx="1289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1289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137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second quarter of 2023, we approved a plan to permanently reduce production capacity at our Fulda, Germany tire manufacturing facility (“Fulda”) by approximately 50% aligned with our goal to reduce our production cost per tire in Europe, Middle East and Africa (“EMEA”). The proposed plan includes approximately 550 job reductions at Fulda, consisting of 375 associates and 175 contracted positions. The plan remains subject to consultation with relevant employee representative bodies. We expect to substantially complete this rationalization plan by the end of 2024 and estimate total pre-tax charges associated with this action to be between $105 million and $115 million, of which $95 million to $105 million are expected to be cash charges primarily for associate-related and other exit costs, with the remainder representing non-cash charges primarily for accelerated depreciation and other asset-related charges. We accrued $62 million for this plan at June 30, 2023, primarily consisting of cash charges for associate-related exit costs. We expect to record approximately $10 million of pre-tax charges in the second half of 2023 and the majority of the remaining charges in 2024. The majority of the cash outflows associated with this plan are expected to occur in 2024.</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second quarter of 2023, we also approved a plan to reduce costs associated with our global operations and technology organization, which includes approximately 20 net headcount reductions and is expected to be substantially completed by the end of the first quarter of 2024. Total pre-tax charges are expected to be approximately $6 million, primarily consisting of cash charges for associate-related exit costs, which was accrued at June 30, 2023. Relevant portions of the rationalization plan remain subject to consultation with employee representative bodies.</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first quarter of 2023, we approved a plan designed to streamline our EMEA distribution network that will result in the eventual closure of our Philippsburg, Germany distribution center. The rationalization plan will lower our operating costs while maintaining or improving the existing service levels to our customers. Relevant portions of the rationalization plan remain subject to consultation with employee representative bodies. We have $17 million accrued for this plan at June 30, 2023, which is expected to be substantially paid during the first half of 2024.</w:t>
      </w:r>
    </w:p>
    <w:p>
      <w:pPr>
        <w:spacing w:after="0" w:line="6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first quarter of 2023, we also approved a plan in EMEA to reduce staffing levels and capacity at several manufacturing facilities commensurate with the decline in demand. We have $3 million accrued for this plan at June 30, 2023, which is expected to be substantially paid by the end of 2023.</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remainder of the accrual balance at June 30, 2023 is expected to be substantially utilized in the next 12 months and includes $37 million related to plans to reduce Selling, Administrative and General Expense ("SAG") headcount, $35 million related to the closure of Cooper Tire's Melksham, United Kingdom manufacturing facility ("Melksham"), $5 million related to the closed Amiens, France tire manufacturing facility, $3 million related to the integration of Cooper Tire, and various other plans to reduce headcount and improve operating efficiency.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net rationalization charges included in Income (Loss) before Income Taxes: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5"/>
                <w:szCs w:val="15"/>
                <w:color w:val="auto"/>
              </w:rPr>
            </w:pPr>
          </w:p>
        </w:tc>
      </w:tr>
      <w:tr>
        <w:trPr>
          <w:trHeight w:val="185"/>
        </w:trPr>
        <w:tc>
          <w:tcPr>
            <w:tcW w:w="60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r>
      <w:tr>
        <w:trPr>
          <w:trHeight w:val="237"/>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 Year Plans</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Associate Severance and Other Related Costs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68</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22</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75</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22</w:t>
            </w:r>
          </w:p>
        </w:tc>
      </w:tr>
      <w:tr>
        <w:trPr>
          <w:trHeight w:val="243"/>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Exit Costs</w:t>
            </w: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39"/>
        </w:trPr>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Current Year Plans - Net Charges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55"/>
              <w:spacing w:after="0"/>
              <w:rPr>
                <w:sz w:val="20"/>
                <w:szCs w:val="20"/>
                <w:color w:val="auto"/>
              </w:rPr>
            </w:pPr>
            <w:r>
              <w:rPr>
                <w:rFonts w:ascii="Arial" w:cs="Arial" w:eastAsia="Arial" w:hAnsi="Arial"/>
                <w:sz w:val="18"/>
                <w:szCs w:val="18"/>
                <w:b w:val="1"/>
                <w:bCs w:val="1"/>
                <w:color w:val="auto"/>
              </w:rPr>
              <w:t>68</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22</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5"/>
              <w:spacing w:after="0"/>
              <w:rPr>
                <w:sz w:val="20"/>
                <w:szCs w:val="20"/>
                <w:color w:val="auto"/>
              </w:rPr>
            </w:pPr>
            <w:r>
              <w:rPr>
                <w:rFonts w:ascii="Arial" w:cs="Arial" w:eastAsia="Arial" w:hAnsi="Arial"/>
                <w:sz w:val="18"/>
                <w:szCs w:val="18"/>
                <w:b w:val="1"/>
                <w:bCs w:val="1"/>
                <w:color w:val="auto"/>
              </w:rPr>
              <w:t>88</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22</w:t>
            </w:r>
          </w:p>
        </w:tc>
      </w:tr>
      <w:tr>
        <w:trPr>
          <w:trHeight w:val="247"/>
        </w:trPr>
        <w:tc>
          <w:tcPr>
            <w:tcW w:w="6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r>
      <w:tr>
        <w:trPr>
          <w:trHeight w:val="239"/>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Prior Year Plans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7"/>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Associate Severance and Other Related Costs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w:t>
            </w: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Other Exit Costs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w:t>
            </w:r>
          </w:p>
        </w:tc>
      </w:tr>
      <w:tr>
        <w:trPr>
          <w:trHeight w:val="239"/>
        </w:trPr>
        <w:tc>
          <w:tcPr>
            <w:tcW w:w="6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Prior Year Plans - Net Charges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4</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4</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16</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15</w:t>
            </w:r>
          </w:p>
        </w:tc>
      </w:tr>
      <w:tr>
        <w:trPr>
          <w:trHeight w:val="237"/>
        </w:trPr>
        <w:tc>
          <w:tcPr>
            <w:tcW w:w="6000" w:type="dxa"/>
            <w:vAlign w:val="bottom"/>
          </w:tcPr>
          <w:p>
            <w:pPr>
              <w:ind w:left="380"/>
              <w:spacing w:after="0"/>
              <w:rPr>
                <w:sz w:val="20"/>
                <w:szCs w:val="20"/>
                <w:color w:val="auto"/>
              </w:rPr>
            </w:pPr>
            <w:r>
              <w:rPr>
                <w:rFonts w:ascii="Arial" w:cs="Arial" w:eastAsia="Arial" w:hAnsi="Arial"/>
                <w:sz w:val="18"/>
                <w:szCs w:val="18"/>
                <w:b w:val="1"/>
                <w:bCs w:val="1"/>
                <w:color w:val="auto"/>
              </w:rPr>
              <w:t>Total Net Charges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72</w:t>
            </w:r>
          </w:p>
        </w:tc>
        <w:tc>
          <w:tcPr>
            <w:tcW w:w="1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26</w:t>
            </w:r>
          </w:p>
        </w:tc>
        <w:tc>
          <w:tcPr>
            <w:tcW w:w="1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104</w:t>
            </w:r>
          </w:p>
        </w:tc>
        <w:tc>
          <w:tcPr>
            <w:tcW w:w="1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37</w:t>
            </w:r>
          </w:p>
        </w:tc>
      </w:tr>
      <w:tr>
        <w:trPr>
          <w:trHeight w:val="20"/>
        </w:trPr>
        <w:tc>
          <w:tcPr>
            <w:tcW w:w="6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62"/>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Asset Write-offs (Recoveries) and Accelerated Depreciation, net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-1311275</wp:posOffset>
            </wp:positionV>
            <wp:extent cx="102870" cy="163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-1311275</wp:posOffset>
            </wp:positionV>
            <wp:extent cx="102870"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-1311275</wp:posOffset>
            </wp:positionV>
            <wp:extent cx="102870"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-368300</wp:posOffset>
            </wp:positionV>
            <wp:extent cx="10287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-368300</wp:posOffset>
            </wp:positionV>
            <wp:extent cx="10287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-368300</wp:posOffset>
            </wp:positionV>
            <wp:extent cx="10287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-25400</wp:posOffset>
            </wp:positionV>
            <wp:extent cx="1028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-8255</wp:posOffset>
            </wp:positionV>
            <wp:extent cx="1028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-25400</wp:posOffset>
            </wp:positionV>
            <wp:extent cx="1028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1028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1028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1028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Substantially all of the new charges for the three and six months ended June 30, 2023 and 2022 relate to future cash outflows. Net current year plan charges for the three months ended June 30, 2023 relate to the plan to reduce production capacity at Fulda and the plan to reduce costs associated with our global operations and technology organization. Net current year plan charges for the six months ended June 30, 2023 also include the plan to streamline our EMEA distribution network and the plan to reduce manufacturing staffing levels and capacity in EMEA. Net current year plan charges for the three and six months ended June 30, 2022 are primarily due to the integration of Cooper Tire.</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prior year plan charges for the three months ended June 30, 2023 include $4 million related to the closure of Melksham, $2 million related to the integration of Cooper Tire, $2 million related to a plan in South Africa, and reversals of $4 million for actions no longer needed for their originally intended purpose. Net prior year plan charges for the six months ended June 30, 2023 include $6 million related to the closure of Melksham, $4 million for various plans to reduce global SAG headcount, $4 million related to the integration of Cooper Tire, $3 million related to the permanent closure of our Gadsden, Alabama tire manufacturing facility ("Gadsden"), $2 million related to discontinued operations in Russia, and reversals of $6 million for actions no longer needed for their originally intended purpose. Net prior year plan charges for the three and six months ended June 30, 2022 included $4 million and $11 million, respectively, related to the permanent closure of Gadsden, $1 million and $6 million, respectively, related to the modernization of two of our tire manufacturing facilities in Germany, and reversals of $1 million and $2 million, respectively, for actions no longer needed for their originally intended purpose.</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Asset write-offs (recoveries) and accelerated depreciation for the three months ended June 30, 2023 primarily relate to $7 million for the integration of Cooper Tire and $4 million for the closure of Melksham. Asset write-offs (recoveries) and accelerated depreciation for the six months ended June 30, 2023 primarily relate to $15 million for the integration of Cooper Tire and $8 million for the closure of Melksham, partially offset by $10 million of recoveries of previously written-off accounts receivable and other assets in Russia.</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Ongoing rationalization plans had approximately $960 million in charges incurred prior to 2023 and approximately $60 million is expected to be incurred in future periods.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Approximately 700 associates will be released under plans initiated in 2023, of which approximately 50 were released through June 30, 2023. In the first six months of 2023, approximately 500 associates were released under plans initiated in prior years. Approximately 1,150 associates remain to be released under all ongoing rationalization plans.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OTHER (INCOME)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Six Months Ended</w:t>
            </w:r>
          </w:p>
        </w:tc>
      </w:tr>
      <w:tr>
        <w:trPr>
          <w:trHeight w:val="176"/>
        </w:trPr>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right"/>
              <w:ind w:right="530"/>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5"/>
                <w:szCs w:val="15"/>
                <w:color w:val="auto"/>
              </w:rPr>
            </w:pPr>
          </w:p>
        </w:tc>
      </w:tr>
      <w:tr>
        <w:trPr>
          <w:trHeight w:val="185"/>
        </w:trPr>
        <w:tc>
          <w:tcPr>
            <w:tcW w:w="60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6"/>
                <w:szCs w:val="16"/>
                <w:color w:val="auto"/>
              </w:rPr>
            </w:pPr>
          </w:p>
        </w:tc>
        <w:tc>
          <w:tcPr>
            <w:tcW w:w="940" w:type="dxa"/>
            <w:vAlign w:val="bottom"/>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r>
      <w:tr>
        <w:trPr>
          <w:trHeight w:val="237"/>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Non-service related pension and other postretirement benefits cost</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42</w:t>
            </w: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Financing fees and financial instruments expense</w:t>
            </w:r>
          </w:p>
        </w:tc>
        <w:tc>
          <w:tcPr>
            <w:tcW w:w="240" w:type="dxa"/>
            <w:vAlign w:val="bottom"/>
          </w:tcPr>
          <w:p>
            <w:pPr>
              <w:spacing w:after="0"/>
              <w:rPr>
                <w:sz w:val="20"/>
                <w:szCs w:val="20"/>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17</w:t>
            </w:r>
          </w:p>
        </w:tc>
      </w:tr>
      <w:tr>
        <w:trPr>
          <w:trHeight w:val="249"/>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foreign currency exchange (gains) losses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w:t>
            </w: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General and product liability expense - discontinued products</w:t>
            </w:r>
          </w:p>
        </w:tc>
        <w:tc>
          <w:tcPr>
            <w:tcW w:w="240" w:type="dxa"/>
            <w:vAlign w:val="bottom"/>
          </w:tcPr>
          <w:p>
            <w:pPr>
              <w:spacing w:after="0"/>
              <w:rPr>
                <w:sz w:val="20"/>
                <w:szCs w:val="20"/>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w:t>
            </w:r>
          </w:p>
        </w:tc>
      </w:tr>
      <w:tr>
        <w:trPr>
          <w:trHeight w:val="249"/>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Royalty income</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(17 )</w:t>
            </w: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Net (gains) losses on asset sales</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(60 )</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(98 )</w:t>
            </w:r>
          </w:p>
        </w:tc>
      </w:tr>
      <w:tr>
        <w:trPr>
          <w:trHeight w:val="249"/>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(18 )</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(11 )</w:t>
            </w: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Miscellaneous (income) expense</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w:t>
            </w:r>
          </w:p>
        </w:tc>
      </w:tr>
      <w:tr>
        <w:trPr>
          <w:trHeight w:val="279"/>
        </w:trPr>
        <w:tc>
          <w:tcPr>
            <w:tcW w:w="60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36</w:t>
            </w:r>
          </w:p>
        </w:tc>
        <w:tc>
          <w:tcPr>
            <w:tcW w:w="18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(65 )</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61</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-25400</wp:posOffset>
            </wp:positionV>
            <wp:extent cx="1028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-8255</wp:posOffset>
            </wp:positionV>
            <wp:extent cx="1028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-25400</wp:posOffset>
            </wp:positionV>
            <wp:extent cx="1028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1028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1028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1028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7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Pension expense for the three and six months ended June 30, 2023 includes the impact of higher interest rates as well as pension settlement charges of $36 million related to the termination of the Cooper Tire U.S. Salaried and Ireland defined benefit pension plans. Pension expense for the three and six months ended June 30, 2022 includes pension settlement charges of $18 million as a result of lump sum payments exceeding annual service and interest cost of the applicable plans. For further information, refer to Note to the Consolidated Financial Statements No. 10, Pension, Savings and Other Postretirement Benefit Plans.</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foreign currency exchange losses for the three and six months ended June 30, 2023 include $17 million and $19 million, respectively, related to the Turkish lira and $11 million and $19 million, respectively, related to the Argentine peso.</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gains on asset sales for the three and six months ended June 30, 2023 include a $59 million gain related to a sale and leaseback transaction for a warehouse in Americas. Cash proceeds, which were received during the second quarter of 2023, related to this transaction totaled $66 million. Leaseback terms for this location include a 5-year initial term with one 5-year renewal option. We have determined it is not probable that we will exercise the renewal option. This transaction resulted in the recognition of Operating Lease Right-of-Use Assets totaling $24 million. Net gains on asset sales for the three and six months ended June 30, 2022 include a $95 million gain related to a sale and leaseback transaction for certain consumer and commercial retail locations in Americas. Cash proceeds, which were received during the second quarter of 2022, related to this transaction totaled $108 million.</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for the three and six months ended June 30, 2023 includes interest income in Argentina of $10 million and $18 million, respectively.</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Miscellaneous (income) expense for the three and six months ended June 30, 2023 includes non-indemnified costs for product liability claims related to products manufactured by a formerly consolidated joint venture entity totaling $4 million and $15 million, respectively, and a $10 million loss related to the sale of a receivable in Argentina. Miscellaneous (income) expense for the six months ended June 30, 2023 also includes $11 million of income related to a favorable court decision setting aside a previous unfavorable verdict on intellectual property-related legal claims and $5 million of income related to the write-off of accumulated foreign currency translation in Russia.</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Expense also includes financing fees and financial instruments expense, which consists of commitment fees and charges incurred in connection with financing transactions; general and product liability expense - discontinued products, which consists of charges for claims against us related primarily to asbestos personal injury claims, net of probable insurance recoveries; and royalty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INCOME TAXES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second quarter of 2023, we recorded an income tax benefit of $2 million on a loss before income taxes of $210 million. For the first six months of 2023, we recorded an income tax benefit of $3 million on a loss before income taxes of $310 million. Income tax benefit for the three and six months ended June 30, 2023 includes net discrete tax expense of $2 million and $3 million, respectively.</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second quarter of 2022, we recorded income tax expense of $82 million on income before income taxes of $252 million. For the first six months of 2022, we recorded income tax expense of $120 million on income before income taxes of $386 million. Income tax expense for the three and six months ended June 30, 2022 includes net discrete tax expense of $14 million and $18 million, respectively. Discrete tax expense for the second quarter of 2022 includes a charge of $14 million to write off deferred tax assets related to tax loss carryforwards in the UK. Discrete tax expense for the first six months of 2022 also includes a charge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$11 million to establish a full valuation allowance on our net deferred tax assets in Russia, partially offset by a net benefit of $7 million for various other items.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 taxes based on overall estimated annual effective tax rates. The difference between our effective tax rate and the U.S. statutory rate of 21% for both the three and six months ended June 30, 2023 and three and six months ended June 30, 2022 primarily relates to losses in foreign jurisdictions in which no tax benefits are recorded and the discrete items noted above.</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evidence. We give operating results during the most recent three-year period a significant weight in our analysis. We typically only consider forecasts of future profitability when positive cumulative operating results exist in the most recent three-year period. We perform scheduling exercises to determine if sufficient taxable income of the appropriate character exists in the periods required in order to realize our deferred tax assets with limited lives (such as tax loss carryforwards and tax credits) prior to their expiration. We also consider prudent tax planning strategies (including an assessment of their feasibility) to accelerate taxable income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2023, we do not anticipate that the 15% corporate alternative minimum tax ("CAMT") under the Inflation Reduction Act of 2022 will apply to us due to the significant pandemic-driven losses we incurred in 2020. As allowed, we elected to not consider the estimated impact of potential future CAMT obligations for purposes of assessing valuation allowances on our deferred tax assets.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2023 and December 31, 2022, we had approximately $1.2 billion and $1.1 billion of U.S. federal, state and local net deferred tax assets, respectively, inclusive of valuation allowances totaling $26 million in each period primarily for state tax loss carryforwards with limited lives. Approximately $800 million of these U.S. net deferred tax assets have unlimited lives and approximately $400 million have limited lives and expire between 2023 and 2042.</w:t>
      </w:r>
    </w:p>
    <w:p>
      <w:pPr>
        <w:spacing w:after="0" w:line="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June 30, 2023 and December 31, 2022, our U.S. net deferred tax assets described above include approximately $240 million and $230 million, respectively, of foreign tax credits with limited lives. Our earnings and forecasts of future profitability, taking into consideration recent trends, along with three significant sources of foreign income, provide us sufficient positive evidence that we will be able to utilize these net foreign tax credits which expire through 2032.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accelerating income on cross border transactions, including sales of inventory or raw materials to our subsidiaries, reducing U.S. interest expense by, for example, reducing intercompany loans through repatriating current year earnings of foreign subsidiaries, and other financing transactions, all of which would increase our domestic profitability.</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consider our current forecasts of future profitability in assessing our ability to realize our deferred tax assets, including our foreign tax credits. These forecasts include the impact of recent trends, including various macroeconomic factors such as the impact of higher raw material, transportation, labor and energy costs, on our profitability, as well as the impact of tax planning strategies. These macroeconomic factors possess a high degree of volatility and can significantly impact our profitability. As such, there is a risk that future earnings will not be sufficient to fully utilize our U.S. net deferred tax assets, including our foreign tax credits. However, we believe our forecasts of future profitability along with the three significant sources of foreign income described above provide us sufficient positive, objectively verifiable evidence to conclude that it is more likely than not that, at June 30, 2023, our U.S. net deferred tax assets, including our foreign tax credits, will be fully utilized.</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June 30, 2023 and December 31, 2022, we also had approximately $1.3 billion and $1.2 billion of foreign net deferred tax assets, respectively, and related valuation allowances of approximately $1.1 billion and $1.0 billion, respectively.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$940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2023, changes to our unrecognized tax benefits did not, and for the full year of 2023 are not expected to, have a significant impact on our financial position or results of operations.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open to examination in the United States from 2021 onward and in Germany from 2018 onward. Generally, for our remaining tax jurisdictions, years from 2018 onward are still open to examination.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EARNINGS PER SHARE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common share are calculated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Six Months Ended</w:t>
            </w:r>
          </w:p>
        </w:tc>
      </w:tr>
      <w:tr>
        <w:trPr>
          <w:trHeight w:val="176"/>
        </w:trPr>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5"/>
                <w:szCs w:val="15"/>
                <w:color w:val="auto"/>
              </w:rPr>
            </w:pPr>
          </w:p>
        </w:tc>
      </w:tr>
      <w:tr>
        <w:trPr>
          <w:trHeight w:val="185"/>
        </w:trPr>
        <w:tc>
          <w:tcPr>
            <w:tcW w:w="600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r>
      <w:tr>
        <w:trPr>
          <w:trHeight w:val="236"/>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Earnings (loss) per share — basic:</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37"/>
        </w:trPr>
        <w:tc>
          <w:tcPr>
            <w:tcW w:w="6000" w:type="dxa"/>
            <w:vAlign w:val="bottom"/>
          </w:tcPr>
          <w:p>
            <w:pPr>
              <w:ind w:left="120"/>
              <w:spacing w:after="0"/>
              <w:rPr>
                <w:sz w:val="20"/>
                <w:szCs w:val="20"/>
                <w:color w:val="auto"/>
              </w:rPr>
            </w:pPr>
            <w:r>
              <w:rPr>
                <w:rFonts w:ascii="Arial" w:cs="Arial" w:eastAsia="Arial" w:hAnsi="Arial"/>
                <w:sz w:val="18"/>
                <w:szCs w:val="18"/>
                <w:color w:val="auto"/>
              </w:rPr>
              <w:t>Goodyear 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(208 )</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166</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(309 )</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262</w:t>
            </w:r>
          </w:p>
        </w:tc>
      </w:tr>
      <w:tr>
        <w:trPr>
          <w:trHeight w:val="20"/>
        </w:trPr>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60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285</w:t>
            </w:r>
          </w:p>
        </w:tc>
        <w:tc>
          <w:tcPr>
            <w:tcW w:w="1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284</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285</w:t>
            </w:r>
          </w:p>
        </w:tc>
        <w:tc>
          <w:tcPr>
            <w:tcW w:w="1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284</w:t>
            </w:r>
          </w:p>
        </w:tc>
      </w:tr>
      <w:tr>
        <w:trPr>
          <w:trHeight w:val="226"/>
        </w:trPr>
        <w:tc>
          <w:tcPr>
            <w:tcW w:w="6000" w:type="dxa"/>
            <w:vAlign w:val="bottom"/>
          </w:tcPr>
          <w:p>
            <w:pPr>
              <w:ind w:left="120"/>
              <w:spacing w:after="0"/>
              <w:rPr>
                <w:sz w:val="20"/>
                <w:szCs w:val="20"/>
                <w:color w:val="auto"/>
              </w:rPr>
            </w:pPr>
            <w:r>
              <w:rPr>
                <w:rFonts w:ascii="Arial" w:cs="Arial" w:eastAsia="Arial" w:hAnsi="Arial"/>
                <w:sz w:val="18"/>
                <w:szCs w:val="18"/>
                <w:b w:val="1"/>
                <w:bCs w:val="1"/>
                <w:color w:val="auto"/>
              </w:rPr>
              <w:t>Earnings (loss) per common share — basic</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(0.73 )</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0.58</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(1.08 )</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0.92</w:t>
            </w:r>
          </w:p>
        </w:tc>
      </w:tr>
      <w:tr>
        <w:trPr>
          <w:trHeight w:val="20"/>
        </w:trPr>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6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9"/>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Earnings (loss) per share — diluted:</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81"/>
        </w:trPr>
        <w:tc>
          <w:tcPr>
            <w:tcW w:w="6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Goodyear net income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(208 )</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166</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(309 )</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262</w:t>
            </w:r>
          </w:p>
        </w:tc>
      </w:tr>
      <w:tr>
        <w:trPr>
          <w:trHeight w:val="224"/>
        </w:trPr>
        <w:tc>
          <w:tcPr>
            <w:tcW w:w="600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285</w:t>
            </w:r>
          </w:p>
        </w:tc>
        <w:tc>
          <w:tcPr>
            <w:tcW w:w="18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284</w:t>
            </w:r>
          </w:p>
        </w:tc>
        <w:tc>
          <w:tcPr>
            <w:tcW w:w="1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285</w:t>
            </w:r>
          </w:p>
        </w:tc>
        <w:tc>
          <w:tcPr>
            <w:tcW w:w="18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284</w:t>
            </w:r>
          </w:p>
        </w:tc>
      </w:tr>
      <w:tr>
        <w:trPr>
          <w:trHeight w:val="243"/>
        </w:trPr>
        <w:tc>
          <w:tcPr>
            <w:tcW w:w="60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Dilutive effect of stock options and other dilutive securities</w:t>
            </w: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w:t>
            </w:r>
          </w:p>
        </w:tc>
      </w:tr>
      <w:tr>
        <w:trPr>
          <w:trHeight w:val="236"/>
        </w:trPr>
        <w:tc>
          <w:tcPr>
            <w:tcW w:w="6000" w:type="dxa"/>
            <w:vAlign w:val="bottom"/>
          </w:tcPr>
          <w:p>
            <w:pPr>
              <w:ind w:left="120"/>
              <w:spacing w:after="0"/>
              <w:rPr>
                <w:sz w:val="20"/>
                <w:szCs w:val="20"/>
                <w:color w:val="auto"/>
              </w:rPr>
            </w:pPr>
            <w:r>
              <w:rPr>
                <w:rFonts w:ascii="Arial" w:cs="Arial" w:eastAsia="Arial" w:hAnsi="Arial"/>
                <w:sz w:val="18"/>
                <w:szCs w:val="18"/>
                <w:color w:val="auto"/>
              </w:rPr>
              <w:t>Weighted average shares outstanding — diluted</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286</w:t>
            </w:r>
          </w:p>
        </w:tc>
      </w:tr>
      <w:tr>
        <w:trPr>
          <w:trHeight w:val="20"/>
        </w:trPr>
        <w:tc>
          <w:tcPr>
            <w:tcW w:w="6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66"/>
        </w:trPr>
        <w:tc>
          <w:tcPr>
            <w:tcW w:w="60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Earnings (loss) per common share — diluted</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(0.73 )</w:t>
            </w:r>
          </w:p>
        </w:tc>
        <w:tc>
          <w:tcPr>
            <w:tcW w:w="1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0.58</w:t>
            </w:r>
          </w:p>
        </w:tc>
        <w:tc>
          <w:tcPr>
            <w:tcW w:w="1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(1.08 )</w:t>
            </w:r>
          </w:p>
        </w:tc>
        <w:tc>
          <w:tcPr>
            <w:tcW w:w="1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0.91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-1370965</wp:posOffset>
            </wp:positionV>
            <wp:extent cx="1817370" cy="205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17370" cy="20574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-702310</wp:posOffset>
            </wp:positionV>
            <wp:extent cx="1817370"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17370" cy="17970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-367665</wp:posOffset>
            </wp:positionV>
            <wp:extent cx="102870"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-367665</wp:posOffset>
            </wp:positionV>
            <wp:extent cx="10287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-367665</wp:posOffset>
            </wp:positionV>
            <wp:extent cx="102870"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-24765</wp:posOffset>
            </wp:positionV>
            <wp:extent cx="1028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1028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1028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1028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1028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1028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Weighted average shares outstanding — diluted for the three and six months ended June 30, 2023 excludes the dilutive effect of approximately 2 million shares and 1 million shares, respectively, related primarily to options with exercise prices less than the average market price of our common shares (i.e., "in-the-money" options) and unvested restricted stock units, as their inclusion would have been anti-dilutive due to the Goodyear net loss. Additionally, weighted average shares outstanding — diluted for both the three and six months ended June 30, 2023 and the three and six months ended June 30, 2022 excludes approximately 2 million equivalent shares related to options with exercise prices greater than the average market price of our common shares (i.e., "underwater" options).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BUSINESS SEGMENTS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176"/>
        </w:trPr>
        <w:tc>
          <w:tcPr>
            <w:tcW w:w="6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5"/>
                <w:szCs w:val="15"/>
                <w:color w:val="auto"/>
              </w:rPr>
            </w:pPr>
          </w:p>
        </w:tc>
      </w:tr>
      <w:tr>
        <w:trPr>
          <w:trHeight w:val="185"/>
        </w:trPr>
        <w:tc>
          <w:tcPr>
            <w:tcW w:w="62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r>
      <w:tr>
        <w:trPr>
          <w:trHeight w:val="236"/>
        </w:trPr>
        <w:tc>
          <w:tcPr>
            <w:tcW w:w="6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Sales:</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r>
      <w:tr>
        <w:trPr>
          <w:trHeight w:val="237"/>
        </w:trPr>
        <w:tc>
          <w:tcPr>
            <w:tcW w:w="62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2,939</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3,147</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5,806</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6,062</w:t>
            </w:r>
          </w:p>
        </w:tc>
      </w:tr>
      <w:tr>
        <w:trPr>
          <w:trHeight w:val="249"/>
        </w:trPr>
        <w:tc>
          <w:tcPr>
            <w:tcW w:w="6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Europe, Middle East and Africa</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1,341</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1,497</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2,833</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2,923</w:t>
            </w:r>
          </w:p>
        </w:tc>
      </w:tr>
      <w:tr>
        <w:trPr>
          <w:trHeight w:val="237"/>
        </w:trPr>
        <w:tc>
          <w:tcPr>
            <w:tcW w:w="6220" w:type="dxa"/>
            <w:vAlign w:val="bottom"/>
          </w:tcPr>
          <w:p>
            <w:pPr>
              <w:ind w:left="120"/>
              <w:spacing w:after="0"/>
              <w:rPr>
                <w:sz w:val="20"/>
                <w:szCs w:val="20"/>
                <w:color w:val="auto"/>
              </w:rPr>
            </w:pPr>
            <w:r>
              <w:rPr>
                <w:rFonts w:ascii="Arial" w:cs="Arial" w:eastAsia="Arial" w:hAnsi="Arial"/>
                <w:sz w:val="18"/>
                <w:szCs w:val="18"/>
                <w:color w:val="auto"/>
              </w:rPr>
              <w:t>Asia Pacific</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587</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1,169</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1,135</w:t>
            </w:r>
          </w:p>
        </w:tc>
      </w:tr>
      <w:tr>
        <w:trPr>
          <w:trHeight w:val="278"/>
        </w:trPr>
        <w:tc>
          <w:tcPr>
            <w:tcW w:w="62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b w:val="1"/>
                <w:bCs w:val="1"/>
                <w:color w:val="auto"/>
              </w:rPr>
              <w:t>4,867</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5,212</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9,808</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10,120</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7"/>
        </w:trPr>
        <w:tc>
          <w:tcPr>
            <w:tcW w:w="6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Americas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103</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293</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182</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509</w:t>
            </w:r>
          </w:p>
        </w:tc>
      </w:tr>
      <w:tr>
        <w:trPr>
          <w:trHeight w:val="237"/>
        </w:trPr>
        <w:tc>
          <w:tcPr>
            <w:tcW w:w="6220" w:type="dxa"/>
            <w:vAlign w:val="bottom"/>
          </w:tcPr>
          <w:p>
            <w:pPr>
              <w:ind w:left="120"/>
              <w:spacing w:after="0"/>
              <w:rPr>
                <w:sz w:val="20"/>
                <w:szCs w:val="20"/>
                <w:color w:val="auto"/>
              </w:rPr>
            </w:pPr>
            <w:r>
              <w:rPr>
                <w:rFonts w:ascii="Arial" w:cs="Arial" w:eastAsia="Arial" w:hAnsi="Arial"/>
                <w:sz w:val="18"/>
                <w:szCs w:val="18"/>
                <w:color w:val="auto"/>
              </w:rPr>
              <w:t>Europe, Middle East and Africa</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(19 )</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(11 )</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111</w:t>
            </w:r>
          </w:p>
        </w:tc>
      </w:tr>
      <w:tr>
        <w:trPr>
          <w:trHeight w:val="243"/>
        </w:trPr>
        <w:tc>
          <w:tcPr>
            <w:tcW w:w="6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Asia Pacific</w:t>
            </w: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78</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47</w:t>
            </w:r>
          </w:p>
        </w:tc>
      </w:tr>
      <w:tr>
        <w:trPr>
          <w:trHeight w:val="239"/>
        </w:trPr>
        <w:tc>
          <w:tcPr>
            <w:tcW w:w="6220" w:type="dxa"/>
            <w:vAlign w:val="bottom"/>
          </w:tcPr>
          <w:p>
            <w:pPr>
              <w:ind w:left="300"/>
              <w:spacing w:after="0"/>
              <w:rPr>
                <w:sz w:val="20"/>
                <w:szCs w:val="20"/>
                <w:color w:val="auto"/>
              </w:rPr>
            </w:pPr>
            <w:r>
              <w:rPr>
                <w:rFonts w:ascii="Arial" w:cs="Arial" w:eastAsia="Arial" w:hAnsi="Arial"/>
                <w:sz w:val="18"/>
                <w:szCs w:val="18"/>
                <w:b w:val="1"/>
                <w:bCs w:val="1"/>
                <w:color w:val="auto"/>
              </w:rPr>
              <w:t>Total Segment 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73"/>
              <w:spacing w:after="0"/>
              <w:rPr>
                <w:sz w:val="20"/>
                <w:szCs w:val="20"/>
                <w:color w:val="auto"/>
              </w:rPr>
            </w:pPr>
            <w:r>
              <w:rPr>
                <w:rFonts w:ascii="Arial" w:cs="Arial" w:eastAsia="Arial" w:hAnsi="Arial"/>
                <w:sz w:val="18"/>
                <w:szCs w:val="18"/>
                <w:b w:val="1"/>
                <w:bCs w:val="1"/>
                <w:color w:val="auto"/>
              </w:rPr>
              <w:t>124</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b w:val="1"/>
                <w:bCs w:val="1"/>
                <w:color w:val="auto"/>
              </w:rPr>
              <w:t>364</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3"/>
              <w:spacing w:after="0"/>
              <w:rPr>
                <w:sz w:val="20"/>
                <w:szCs w:val="20"/>
                <w:color w:val="auto"/>
              </w:rPr>
            </w:pPr>
            <w:r>
              <w:rPr>
                <w:rFonts w:ascii="Arial" w:cs="Arial" w:eastAsia="Arial" w:hAnsi="Arial"/>
                <w:sz w:val="18"/>
                <w:szCs w:val="18"/>
                <w:b w:val="1"/>
                <w:bCs w:val="1"/>
                <w:color w:val="auto"/>
              </w:rPr>
              <w:t>249</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b w:val="1"/>
                <w:bCs w:val="1"/>
                <w:color w:val="auto"/>
              </w:rPr>
              <w:t>667</w:t>
            </w:r>
          </w:p>
        </w:tc>
      </w:tr>
      <w:tr>
        <w:trPr>
          <w:trHeight w:val="20"/>
        </w:trPr>
        <w:tc>
          <w:tcPr>
            <w:tcW w:w="6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6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37"/>
        </w:trPr>
        <w:tc>
          <w:tcPr>
            <w:tcW w:w="6220" w:type="dxa"/>
            <w:vAlign w:val="bottom"/>
          </w:tcPr>
          <w:p>
            <w:pPr>
              <w:ind w:left="200"/>
              <w:spacing w:after="0"/>
              <w:rPr>
                <w:sz w:val="20"/>
                <w:szCs w:val="20"/>
                <w:color w:val="auto"/>
              </w:rPr>
            </w:pPr>
            <w:r>
              <w:rPr>
                <w:rFonts w:ascii="Arial" w:cs="Arial" w:eastAsia="Arial" w:hAnsi="Arial"/>
                <w:sz w:val="18"/>
                <w:szCs w:val="18"/>
                <w:color w:val="auto"/>
              </w:rPr>
              <w:t>Rationalizations (Note 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72</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26</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104</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37</w:t>
            </w:r>
          </w:p>
        </w:tc>
      </w:tr>
      <w:tr>
        <w:trPr>
          <w:trHeight w:val="249"/>
        </w:trPr>
        <w:tc>
          <w:tcPr>
            <w:tcW w:w="6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214</w:t>
            </w:r>
          </w:p>
        </w:tc>
      </w:tr>
      <w:tr>
        <w:trPr>
          <w:trHeight w:val="237"/>
        </w:trPr>
        <w:tc>
          <w:tcPr>
            <w:tcW w:w="6220" w:type="dxa"/>
            <w:vAlign w:val="bottom"/>
          </w:tcPr>
          <w:p>
            <w:pPr>
              <w:ind w:left="200"/>
              <w:spacing w:after="0"/>
              <w:rPr>
                <w:sz w:val="20"/>
                <w:szCs w:val="20"/>
                <w:color w:val="auto"/>
              </w:rPr>
            </w:pPr>
            <w:r>
              <w:rPr>
                <w:rFonts w:ascii="Arial" w:cs="Arial" w:eastAsia="Arial" w:hAnsi="Arial"/>
                <w:sz w:val="18"/>
                <w:szCs w:val="18"/>
                <w:color w:val="auto"/>
              </w:rPr>
              <w:t>Other (income) expense (Note 4)</w:t>
            </w:r>
          </w:p>
        </w:tc>
        <w:tc>
          <w:tcPr>
            <w:tcW w:w="220" w:type="dxa"/>
            <w:vAlign w:val="bottom"/>
          </w:tcPr>
          <w:p>
            <w:pPr>
              <w:spacing w:after="0"/>
              <w:rPr>
                <w:sz w:val="20"/>
                <w:szCs w:val="20"/>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21"/>
        </w:trPr>
        <w:tc>
          <w:tcPr>
            <w:tcW w:w="6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Asset write-offs (recoveries) and accelerated depreciation,</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44"/>
        </w:trPr>
        <w:tc>
          <w:tcPr>
            <w:tcW w:w="6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(Note 3)</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37"/>
        </w:trPr>
        <w:tc>
          <w:tcPr>
            <w:tcW w:w="6220" w:type="dxa"/>
            <w:vAlign w:val="bottom"/>
          </w:tcPr>
          <w:p>
            <w:pPr>
              <w:ind w:left="200"/>
              <w:spacing w:after="0"/>
              <w:rPr>
                <w:sz w:val="20"/>
                <w:szCs w:val="20"/>
                <w:color w:val="auto"/>
              </w:rPr>
            </w:pPr>
            <w:r>
              <w:rPr>
                <w:rFonts w:ascii="Arial" w:cs="Arial" w:eastAsia="Arial" w:hAnsi="Arial"/>
                <w:sz w:val="18"/>
                <w:szCs w:val="18"/>
                <w:color w:val="auto"/>
              </w:rPr>
              <w:t>Corporate incentive compensation plans</w:t>
            </w:r>
          </w:p>
        </w:tc>
        <w:tc>
          <w:tcPr>
            <w:tcW w:w="220" w:type="dxa"/>
            <w:vAlign w:val="bottom"/>
          </w:tcPr>
          <w:p>
            <w:pPr>
              <w:spacing w:after="0"/>
              <w:rPr>
                <w:sz w:val="20"/>
                <w:szCs w:val="20"/>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40</w:t>
            </w:r>
          </w:p>
        </w:tc>
      </w:tr>
      <w:tr>
        <w:trPr>
          <w:trHeight w:val="249"/>
        </w:trPr>
        <w:tc>
          <w:tcPr>
            <w:tcW w:w="6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Retained expenses of divested operations</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w:t>
            </w:r>
          </w:p>
        </w:tc>
      </w:tr>
      <w:tr>
        <w:trPr>
          <w:trHeight w:val="243"/>
        </w:trPr>
        <w:tc>
          <w:tcPr>
            <w:tcW w:w="6220" w:type="dxa"/>
            <w:vAlign w:val="bottom"/>
          </w:tcPr>
          <w:p>
            <w:pPr>
              <w:ind w:left="200"/>
              <w:spacing w:after="0" w:line="243" w:lineRule="exact"/>
              <w:rPr>
                <w:sz w:val="20"/>
                <w:szCs w:val="20"/>
                <w:color w:val="auto"/>
              </w:rPr>
            </w:pPr>
            <w:r>
              <w:rPr>
                <w:rFonts w:ascii="Arial" w:cs="Arial" w:eastAsia="Arial" w:hAnsi="Arial"/>
                <w:sz w:val="18"/>
                <w:szCs w:val="18"/>
                <w:color w:val="auto"/>
              </w:rPr>
              <w:t>Other</w:t>
            </w:r>
            <w:r>
              <w:rPr>
                <w:rFonts w:ascii="Arial" w:cs="Arial" w:eastAsia="Arial" w:hAnsi="Arial"/>
                <w:sz w:val="24"/>
                <w:szCs w:val="24"/>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43</w:t>
            </w:r>
          </w:p>
        </w:tc>
      </w:tr>
      <w:tr>
        <w:trPr>
          <w:trHeight w:val="272"/>
        </w:trPr>
        <w:tc>
          <w:tcPr>
            <w:tcW w:w="62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(210 )</w:t>
            </w:r>
          </w:p>
        </w:tc>
        <w:tc>
          <w:tcPr>
            <w:tcW w:w="1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252</w:t>
            </w:r>
          </w:p>
        </w:tc>
        <w:tc>
          <w:tcPr>
            <w:tcW w:w="1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(310 )</w:t>
            </w:r>
          </w:p>
        </w:tc>
        <w:tc>
          <w:tcPr>
            <w:tcW w:w="1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386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-2390775</wp:posOffset>
            </wp:positionV>
            <wp:extent cx="1757680" cy="1803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57680" cy="18034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-1748155</wp:posOffset>
            </wp:positionV>
            <wp:extent cx="10287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-1748155</wp:posOffset>
            </wp:positionV>
            <wp:extent cx="10287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-1748155</wp:posOffset>
            </wp:positionV>
            <wp:extent cx="111760"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760" cy="18859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1028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1028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1028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1028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1117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1117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33" w:lineRule="exact"/>
        <w:rPr>
          <w:sz w:val="20"/>
          <w:szCs w:val="20"/>
          <w:color w:val="auto"/>
        </w:rPr>
      </w:pPr>
    </w:p>
    <w:p>
      <w:pPr>
        <w:ind w:left="760" w:hanging="752"/>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for the three and six months ended June 30, 2023 includes $14 million related to the insurance deductible for the severe weather event in Tupelo, Mississippi.</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Rationalizations, as described in Note to the Consolidated Financial Statements No. 3, Costs Associated with Rationalization Programs, net (gains) losses on asset sales, as described in Note to the Consolidated Financial Statements No. 4, Other (Income) Expense, and asset write-offs (recoveries) and accelerated depreciation were not charged to the strategic business units ("SBUs") for performance evaluation purposes but were attributable to the SBUs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6"/>
        </w:trPr>
        <w:tc>
          <w:tcPr>
            <w:tcW w:w="6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2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6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Rationalizations:</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3</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8</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9"/>
        </w:trPr>
        <w:tc>
          <w:tcPr>
            <w:tcW w:w="6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Europe, Middle East and Africa</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6220" w:type="dxa"/>
            <w:vAlign w:val="bottom"/>
          </w:tcPr>
          <w:p>
            <w:pPr>
              <w:ind w:left="120"/>
              <w:spacing w:after="0"/>
              <w:rPr>
                <w:sz w:val="20"/>
                <w:szCs w:val="20"/>
                <w:color w:val="auto"/>
              </w:rPr>
            </w:pPr>
            <w:r>
              <w:rPr>
                <w:rFonts w:ascii="Arial" w:cs="Arial" w:eastAsia="Arial" w:hAnsi="Arial"/>
                <w:sz w:val="18"/>
                <w:szCs w:val="18"/>
                <w:color w:val="auto"/>
              </w:rPr>
              <w:t>Asia Pacific</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9"/>
        </w:trPr>
        <w:tc>
          <w:tcPr>
            <w:tcW w:w="62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b w:val="1"/>
                <w:bCs w:val="1"/>
                <w:color w:val="auto"/>
              </w:rPr>
              <w:t>Total Segment Rationalizations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b w:val="1"/>
                <w:bCs w:val="1"/>
                <w:color w:val="auto"/>
              </w:rPr>
              <w:t>67</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21</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99</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21"/>
        </w:trPr>
        <w:tc>
          <w:tcPr>
            <w:tcW w:w="622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9"/>
        </w:trPr>
        <w:tc>
          <w:tcPr>
            <w:tcW w:w="62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b w:val="1"/>
                <w:bCs w:val="1"/>
                <w:color w:val="auto"/>
              </w:rPr>
              <w:t>Total Rationalizations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b w:val="1"/>
                <w:bCs w:val="1"/>
                <w:color w:val="auto"/>
              </w:rPr>
              <w:t>72</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26</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104</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160"/>
        </w:trPr>
        <w:tc>
          <w:tcPr>
            <w:tcW w:w="6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(Gains) Losses on Asset Sales:</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(60 )</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(95 )</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(62 )</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79"/>
        </w:trPr>
        <w:tc>
          <w:tcPr>
            <w:tcW w:w="6220" w:type="dxa"/>
            <w:vAlign w:val="bottom"/>
            <w:tcBorders>
              <w:top w:val="single" w:sz="8" w:color="CFF0FC"/>
              <w:bottom w:val="single" w:sz="8" w:color="CFF0FC"/>
            </w:tcBorders>
            <w:shd w:val="clear" w:color="auto" w:fill="CFF0FC"/>
          </w:tcPr>
          <w:p>
            <w:pPr>
              <w:ind w:left="300"/>
              <w:spacing w:after="0"/>
              <w:rPr>
                <w:sz w:val="20"/>
                <w:szCs w:val="20"/>
                <w:color w:val="auto"/>
              </w:rPr>
            </w:pPr>
            <w:r>
              <w:rPr>
                <w:rFonts w:ascii="Arial" w:cs="Arial" w:eastAsia="Arial" w:hAnsi="Arial"/>
                <w:sz w:val="18"/>
                <w:szCs w:val="18"/>
                <w:b w:val="1"/>
                <w:bCs w:val="1"/>
                <w:color w:val="auto"/>
              </w:rPr>
              <w:t>Total Segment Net (Gains) Losses on Asset Sales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(60 )</w:t>
            </w:r>
          </w:p>
        </w:tc>
        <w:tc>
          <w:tcPr>
            <w:tcW w:w="160" w:type="dxa"/>
            <w:vAlign w:val="bottom"/>
            <w:tcBorders>
              <w:top w:val="single" w:sz="8" w:color="CFF0FC"/>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(95 )</w:t>
            </w:r>
          </w:p>
        </w:tc>
        <w:tc>
          <w:tcPr>
            <w:tcW w:w="160" w:type="dxa"/>
            <w:vAlign w:val="bottom"/>
            <w:tcBorders>
              <w:top w:val="single" w:sz="8" w:color="CFF0FC"/>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(62 )</w:t>
            </w:r>
          </w:p>
        </w:tc>
        <w:tc>
          <w:tcPr>
            <w:tcW w:w="180" w:type="dxa"/>
            <w:vAlign w:val="bottom"/>
            <w:tcBorders>
              <w:top w:val="single" w:sz="8" w:color="CFF0FC"/>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(98 )</w:t>
            </w:r>
          </w:p>
        </w:tc>
        <w:tc>
          <w:tcPr>
            <w:tcW w:w="0" w:type="dxa"/>
            <w:vAlign w:val="bottom"/>
          </w:tcPr>
          <w:p>
            <w:pPr>
              <w:spacing w:after="0"/>
              <w:rPr>
                <w:sz w:val="1"/>
                <w:szCs w:val="1"/>
                <w:color w:val="auto"/>
              </w:rPr>
            </w:pPr>
          </w:p>
        </w:tc>
      </w:tr>
      <w:tr>
        <w:trPr>
          <w:trHeight w:val="160"/>
        </w:trPr>
        <w:tc>
          <w:tcPr>
            <w:tcW w:w="6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 Write-offs (Recoveries) and Accelerated Depreciation, net:</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7</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15</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Europe, Middle East and Africa</w:t>
            </w: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6220" w:type="dxa"/>
            <w:vAlign w:val="bottom"/>
          </w:tcPr>
          <w:p>
            <w:pPr>
              <w:ind w:left="300"/>
              <w:spacing w:after="0"/>
              <w:rPr>
                <w:sz w:val="20"/>
                <w:szCs w:val="20"/>
                <w:color w:val="auto"/>
              </w:rPr>
            </w:pPr>
            <w:r>
              <w:rPr>
                <w:rFonts w:ascii="Arial" w:cs="Arial" w:eastAsia="Arial" w:hAnsi="Arial"/>
                <w:sz w:val="18"/>
                <w:szCs w:val="18"/>
                <w:b w:val="1"/>
                <w:bCs w:val="1"/>
                <w:color w:val="auto"/>
                <w:w w:val="91"/>
              </w:rPr>
              <w:t>Total Segment Asset Write-offs (Recoveries) and Accelerated Depreciation,</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11</w:t>
            </w:r>
          </w:p>
        </w:tc>
        <w:tc>
          <w:tcPr>
            <w:tcW w:w="38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13</w:t>
            </w:r>
          </w:p>
        </w:tc>
        <w:tc>
          <w:tcPr>
            <w:tcW w:w="40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7"/>
        </w:trPr>
        <w:tc>
          <w:tcPr>
            <w:tcW w:w="6220" w:type="dxa"/>
            <w:vAlign w:val="bottom"/>
          </w:tcPr>
          <w:p>
            <w:pPr>
              <w:ind w:left="300"/>
              <w:spacing w:after="0"/>
              <w:rPr>
                <w:sz w:val="20"/>
                <w:szCs w:val="20"/>
                <w:color w:val="auto"/>
              </w:rPr>
            </w:pPr>
            <w:r>
              <w:rPr>
                <w:rFonts w:ascii="Arial" w:cs="Arial" w:eastAsia="Arial" w:hAnsi="Arial"/>
                <w:sz w:val="18"/>
                <w:szCs w:val="18"/>
                <w:b w:val="1"/>
                <w:bCs w:val="1"/>
                <w:color w:val="auto"/>
              </w:rPr>
              <w:t>net</w:t>
            </w:r>
          </w:p>
        </w:tc>
        <w:tc>
          <w:tcPr>
            <w:tcW w:w="2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-1851025</wp:posOffset>
            </wp:positionV>
            <wp:extent cx="1757680"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57680" cy="18859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-1508125</wp:posOffset>
            </wp:positionV>
            <wp:extent cx="175768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57680" cy="13716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-1062355</wp:posOffset>
            </wp:positionV>
            <wp:extent cx="1757680" cy="3003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57680" cy="3003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-299720</wp:posOffset>
            </wp:positionV>
            <wp:extent cx="102870" cy="3003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2870" cy="3003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-299720</wp:posOffset>
            </wp:positionV>
            <wp:extent cx="102870" cy="3003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870" cy="3003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-299720</wp:posOffset>
            </wp:positionV>
            <wp:extent cx="111760" cy="3003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760" cy="3003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FINANCING ARRANGEMENTS AND DERIVATIVE FINANCIAL INSTRUMENTS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June 30, 2023, we had total credit arrangements of $11,809 million, of which $3,133 million were unused. At that date, approximately 29% of our debt was at variable interest rates averaging 6.45%.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Notes Payable and Overdrafts, Long Term Debt and Finance Leases due Within One Year and Short Term Financing Arrangements</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At June 30, 2023, we had short term committed and uncommitted credit arrangements totaling $861 million, of which $284 million were unused. These arrangements are available primarily to certain of our foreign subsidiaries through various banks at quoted market interest rates.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amounts due within one year:</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00" w:type="dxa"/>
            <w:vAlign w:val="bottom"/>
          </w:tcPr>
          <w:p>
            <w:pPr>
              <w:jc w:val="right"/>
              <w:ind w:right="95"/>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0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300" w:type="dxa"/>
            <w:vAlign w:val="bottom"/>
            <w:gridSpan w:val="2"/>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tcPr>
          <w:p>
            <w:pPr>
              <w:jc w:val="right"/>
              <w:ind w:right="87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Chinese credit facilities</w:t>
            </w:r>
          </w:p>
        </w:tc>
        <w:tc>
          <w:tcPr>
            <w:tcW w:w="190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ind w:right="1215"/>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20" w:type="dxa"/>
            <w:vAlign w:val="bottom"/>
          </w:tcPr>
          <w:p>
            <w:pPr>
              <w:ind w:left="120"/>
              <w:spacing w:after="0"/>
              <w:rPr>
                <w:sz w:val="20"/>
                <w:szCs w:val="20"/>
                <w:color w:val="auto"/>
              </w:rPr>
            </w:pPr>
            <w:r>
              <w:rPr>
                <w:rFonts w:ascii="Arial" w:cs="Arial" w:eastAsia="Arial" w:hAnsi="Arial"/>
                <w:sz w:val="18"/>
                <w:szCs w:val="18"/>
                <w:color w:val="auto"/>
              </w:rPr>
              <w:t>Other foreign and domestic debt</w:t>
            </w:r>
          </w:p>
        </w:tc>
        <w:tc>
          <w:tcPr>
            <w:tcW w:w="190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524</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Notes Payable and Overdrafts</w:t>
            </w:r>
          </w:p>
        </w:tc>
        <w:tc>
          <w:tcPr>
            <w:tcW w:w="190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auto"/>
            </w:tcBorders>
            <w:shd w:val="clear" w:color="auto" w:fill="CFF0FC"/>
          </w:tcPr>
          <w:p>
            <w:pPr>
              <w:jc w:val="right"/>
              <w:ind w:right="1215"/>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539</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b w:val="1"/>
                <w:bCs w:val="1"/>
                <w:color w:val="auto"/>
              </w:rPr>
              <w:t>395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020" w:type="dxa"/>
            <w:vAlign w:val="bottom"/>
          </w:tcPr>
          <w:p>
            <w:pPr>
              <w:ind w:left="120"/>
              <w:spacing w:after="0"/>
              <w:rPr>
                <w:sz w:val="20"/>
                <w:szCs w:val="20"/>
                <w:color w:val="auto"/>
              </w:rPr>
            </w:pPr>
            <w:r>
              <w:rPr>
                <w:rFonts w:ascii="Arial" w:cs="Arial" w:eastAsia="Arial" w:hAnsi="Arial"/>
                <w:sz w:val="18"/>
                <w:szCs w:val="18"/>
                <w:color w:val="auto"/>
              </w:rPr>
              <w:t>Weighted average interest rate</w:t>
            </w:r>
          </w:p>
        </w:tc>
        <w:tc>
          <w:tcPr>
            <w:tcW w:w="19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6.15 %</w:t>
            </w: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5.75 %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020" w:type="dxa"/>
            <w:vAlign w:val="bottom"/>
            <w:shd w:val="clear" w:color="auto" w:fill="CFF0FC"/>
          </w:tcPr>
          <w:p>
            <w:pPr>
              <w:spacing w:after="0"/>
              <w:rPr>
                <w:sz w:val="21"/>
                <w:szCs w:val="21"/>
                <w:color w:val="auto"/>
              </w:rPr>
            </w:pPr>
          </w:p>
        </w:tc>
        <w:tc>
          <w:tcPr>
            <w:tcW w:w="3300" w:type="dxa"/>
            <w:vAlign w:val="bottom"/>
            <w:gridSpan w:val="2"/>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20" w:type="dxa"/>
            <w:vAlign w:val="bottom"/>
          </w:tcPr>
          <w:p>
            <w:pPr>
              <w:ind w:left="120"/>
              <w:spacing w:after="0"/>
              <w:rPr>
                <w:sz w:val="20"/>
                <w:szCs w:val="20"/>
                <w:color w:val="auto"/>
              </w:rPr>
            </w:pPr>
            <w:r>
              <w:rPr>
                <w:rFonts w:ascii="Arial" w:cs="Arial" w:eastAsia="Arial" w:hAnsi="Arial"/>
                <w:sz w:val="18"/>
                <w:szCs w:val="18"/>
                <w:color w:val="auto"/>
              </w:rPr>
              <w:t>Chinese credit facilities</w:t>
            </w:r>
          </w:p>
        </w:tc>
        <w:tc>
          <w:tcPr>
            <w:tcW w:w="3300" w:type="dxa"/>
            <w:vAlign w:val="bottom"/>
            <w:gridSpan w:val="2"/>
          </w:tcPr>
          <w:p>
            <w:pPr>
              <w:jc w:val="right"/>
              <w:ind w:right="1215"/>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Other foreign and domestic debt (including finance leases)</w:t>
            </w:r>
          </w:p>
        </w:tc>
        <w:tc>
          <w:tcPr>
            <w:tcW w:w="19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156</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Long Term Debt and Finance Leases due Within One Year</w:t>
            </w:r>
          </w:p>
        </w:tc>
        <w:tc>
          <w:tcPr>
            <w:tcW w:w="1900" w:type="dxa"/>
            <w:vAlign w:val="bottom"/>
          </w:tcPr>
          <w:p>
            <w:pPr>
              <w:spacing w:after="0"/>
              <w:rPr>
                <w:sz w:val="20"/>
                <w:szCs w:val="20"/>
                <w:color w:val="auto"/>
              </w:rPr>
            </w:pPr>
          </w:p>
        </w:tc>
        <w:tc>
          <w:tcPr>
            <w:tcW w:w="1400" w:type="dxa"/>
            <w:vAlign w:val="bottom"/>
            <w:tcBorders>
              <w:bottom w:val="single" w:sz="8" w:color="auto"/>
            </w:tcBorders>
          </w:tcPr>
          <w:p>
            <w:pPr>
              <w:jc w:val="right"/>
              <w:ind w:right="1215"/>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244</w:t>
            </w:r>
          </w:p>
        </w:tc>
        <w:tc>
          <w:tcPr>
            <w:tcW w:w="2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Weighted average interest rate</w:t>
            </w:r>
          </w:p>
        </w:tc>
        <w:tc>
          <w:tcPr>
            <w:tcW w:w="19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4.19 %</w:t>
            </w: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Total obligations due within one year</w:t>
            </w:r>
          </w:p>
        </w:tc>
        <w:tc>
          <w:tcPr>
            <w:tcW w:w="3300" w:type="dxa"/>
            <w:vAlign w:val="bottom"/>
            <w:gridSpan w:val="2"/>
          </w:tcPr>
          <w:p>
            <w:pPr>
              <w:jc w:val="right"/>
              <w:ind w:right="1215"/>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783</w:t>
            </w:r>
          </w:p>
        </w:tc>
        <w:tc>
          <w:tcPr>
            <w:tcW w:w="2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Pr>
          <w:p>
            <w:pPr>
              <w:jc w:val="right"/>
              <w:ind w:right="73"/>
              <w:spacing w:after="0"/>
              <w:rPr>
                <w:sz w:val="20"/>
                <w:szCs w:val="20"/>
                <w:color w:val="auto"/>
              </w:rPr>
            </w:pPr>
            <w:r>
              <w:rPr>
                <w:rFonts w:ascii="Arial" w:cs="Arial" w:eastAsia="Arial" w:hAnsi="Arial"/>
                <w:sz w:val="18"/>
                <w:szCs w:val="18"/>
                <w:b w:val="1"/>
                <w:bCs w:val="1"/>
                <w:color w:val="auto"/>
              </w:rPr>
              <w:t>623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900" w:type="dxa"/>
            <w:vAlign w:val="bottom"/>
            <w:vMerge w:val="restart"/>
          </w:tcPr>
          <w:p>
            <w:pPr>
              <w:jc w:val="right"/>
              <w:ind w:right="1115"/>
              <w:spacing w:after="0"/>
              <w:rPr>
                <w:sz w:val="20"/>
                <w:szCs w:val="20"/>
                <w:color w:val="auto"/>
              </w:rPr>
            </w:pPr>
            <w:r>
              <w:rPr>
                <w:rFonts w:ascii="Arial" w:cs="Arial" w:eastAsia="Arial" w:hAnsi="Arial"/>
                <w:sz w:val="18"/>
                <w:szCs w:val="18"/>
                <w:color w:val="auto"/>
              </w:rPr>
              <w:t>14</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02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-1662430</wp:posOffset>
            </wp:positionV>
            <wp:extent cx="120015" cy="1797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0015" cy="1797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-1019175</wp:posOffset>
            </wp:positionV>
            <wp:extent cx="120015"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-676275</wp:posOffset>
            </wp:positionV>
            <wp:extent cx="120015"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 Term Debt and Finance Leases and Financing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we had long term credit arrangements totaling $10,948 million, of which $2,849 million were unused.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long term debt and finance leases, net of unamortized discounts, and interest rates: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June 30, 2023</w:t>
            </w: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5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0"/>
        </w:trPr>
        <w:tc>
          <w:tcPr>
            <w:tcW w:w="4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left="348"/>
              <w:spacing w:after="0" w:line="160" w:lineRule="exact"/>
              <w:rPr>
                <w:sz w:val="20"/>
                <w:szCs w:val="20"/>
                <w:color w:val="auto"/>
              </w:rPr>
            </w:pPr>
            <w:r>
              <w:rPr>
                <w:rFonts w:ascii="Arial" w:cs="Arial" w:eastAsia="Arial" w:hAnsi="Arial"/>
                <w:sz w:val="14"/>
                <w:szCs w:val="14"/>
                <w:b w:val="1"/>
                <w:bCs w:val="1"/>
                <w:color w:val="auto"/>
                <w:w w:val="94"/>
              </w:rPr>
              <w:t>Interest</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left="328"/>
              <w:spacing w:after="0" w:line="160" w:lineRule="exact"/>
              <w:rPr>
                <w:sz w:val="20"/>
                <w:szCs w:val="20"/>
                <w:color w:val="auto"/>
              </w:rPr>
            </w:pPr>
            <w:r>
              <w:rPr>
                <w:rFonts w:ascii="Arial" w:cs="Arial" w:eastAsia="Arial" w:hAnsi="Arial"/>
                <w:sz w:val="14"/>
                <w:szCs w:val="14"/>
                <w:b w:val="1"/>
                <w:bCs w:val="1"/>
                <w:color w:val="auto"/>
                <w:w w:val="94"/>
              </w:rPr>
              <w:t>Interest</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5"/>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2"/>
              </w:rPr>
              <w:t>Rate</w:t>
            </w: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Rate</w:t>
            </w:r>
          </w:p>
        </w:tc>
        <w:tc>
          <w:tcPr>
            <w:tcW w:w="5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Notes:</w:t>
            </w: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540" w:type="dxa"/>
            <w:vAlign w:val="bottom"/>
          </w:tcPr>
          <w:p>
            <w:pPr>
              <w:ind w:left="120"/>
              <w:spacing w:after="0"/>
              <w:rPr>
                <w:sz w:val="20"/>
                <w:szCs w:val="20"/>
                <w:color w:val="auto"/>
              </w:rPr>
            </w:pPr>
            <w:r>
              <w:rPr>
                <w:rFonts w:ascii="Arial" w:cs="Arial" w:eastAsia="Arial" w:hAnsi="Arial"/>
                <w:sz w:val="18"/>
                <w:szCs w:val="18"/>
                <w:color w:val="auto"/>
              </w:rPr>
              <w:t>9.5% due 2025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801</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60" w:type="dxa"/>
            <w:vAlign w:val="bottom"/>
            <w:gridSpan w:val="3"/>
          </w:tcPr>
          <w:p>
            <w:pPr>
              <w:jc w:val="right"/>
              <w:ind w:right="759"/>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802</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4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5% due 2026</w:t>
            </w:r>
          </w:p>
        </w:tc>
        <w:tc>
          <w:tcPr>
            <w:tcW w:w="2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540" w:type="dxa"/>
            <w:vAlign w:val="bottom"/>
          </w:tcPr>
          <w:p>
            <w:pPr>
              <w:ind w:left="120"/>
              <w:spacing w:after="0"/>
              <w:rPr>
                <w:sz w:val="20"/>
                <w:szCs w:val="20"/>
                <w:color w:val="auto"/>
              </w:rPr>
            </w:pPr>
            <w:r>
              <w:rPr>
                <w:rFonts w:ascii="Arial" w:cs="Arial" w:eastAsia="Arial" w:hAnsi="Arial"/>
                <w:sz w:val="18"/>
                <w:szCs w:val="18"/>
                <w:color w:val="auto"/>
              </w:rPr>
              <w:t>4.875% due 2027</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4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7.625% due 2027</w:t>
            </w:r>
          </w:p>
        </w:tc>
        <w:tc>
          <w:tcPr>
            <w:tcW w:w="2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540" w:type="dxa"/>
            <w:vAlign w:val="bottom"/>
          </w:tcPr>
          <w:p>
            <w:pPr>
              <w:ind w:left="120"/>
              <w:spacing w:after="0"/>
              <w:rPr>
                <w:sz w:val="20"/>
                <w:szCs w:val="20"/>
                <w:color w:val="auto"/>
              </w:rPr>
            </w:pPr>
            <w:r>
              <w:rPr>
                <w:rFonts w:ascii="Arial" w:cs="Arial" w:eastAsia="Arial" w:hAnsi="Arial"/>
                <w:sz w:val="18"/>
                <w:szCs w:val="18"/>
                <w:color w:val="auto"/>
              </w:rPr>
              <w:t>7% due 2028</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4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2.75% Euro Notes due 2028</w:t>
            </w:r>
          </w:p>
        </w:tc>
        <w:tc>
          <w:tcPr>
            <w:tcW w:w="2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436</w:t>
            </w: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540" w:type="dxa"/>
            <w:vAlign w:val="bottom"/>
          </w:tcPr>
          <w:p>
            <w:pPr>
              <w:ind w:left="120"/>
              <w:spacing w:after="0"/>
              <w:rPr>
                <w:sz w:val="20"/>
                <w:szCs w:val="20"/>
                <w:color w:val="auto"/>
              </w:rPr>
            </w:pPr>
            <w:r>
              <w:rPr>
                <w:rFonts w:ascii="Arial" w:cs="Arial" w:eastAsia="Arial" w:hAnsi="Arial"/>
                <w:sz w:val="18"/>
                <w:szCs w:val="18"/>
                <w:color w:val="auto"/>
              </w:rPr>
              <w:t>5% due 2029</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850</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850</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4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5.25% due April 2031</w:t>
            </w:r>
          </w:p>
        </w:tc>
        <w:tc>
          <w:tcPr>
            <w:tcW w:w="2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540" w:type="dxa"/>
            <w:vAlign w:val="bottom"/>
          </w:tcPr>
          <w:p>
            <w:pPr>
              <w:ind w:left="120"/>
              <w:spacing w:after="0"/>
              <w:rPr>
                <w:sz w:val="20"/>
                <w:szCs w:val="20"/>
                <w:color w:val="auto"/>
              </w:rPr>
            </w:pPr>
            <w:r>
              <w:rPr>
                <w:rFonts w:ascii="Arial" w:cs="Arial" w:eastAsia="Arial" w:hAnsi="Arial"/>
                <w:sz w:val="18"/>
                <w:szCs w:val="18"/>
                <w:color w:val="auto"/>
              </w:rPr>
              <w:t>5.25% due July 2031</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4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5.625% due 2033</w:t>
            </w:r>
          </w:p>
        </w:tc>
        <w:tc>
          <w:tcPr>
            <w:tcW w:w="2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4"/>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Credit Facilities:</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2"/>
        </w:trPr>
        <w:tc>
          <w:tcPr>
            <w:tcW w:w="4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First lien revolving credit facility due 2026</w:t>
            </w:r>
          </w:p>
        </w:tc>
        <w:tc>
          <w:tcPr>
            <w:tcW w:w="2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665</w:t>
            </w: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6.47 %</w:t>
            </w:r>
          </w:p>
        </w:tc>
        <w:tc>
          <w:tcPr>
            <w:tcW w:w="940" w:type="dxa"/>
            <w:vAlign w:val="bottom"/>
            <w:shd w:val="clear" w:color="auto" w:fill="CFF0FC"/>
          </w:tcPr>
          <w:p>
            <w:pPr>
              <w:spacing w:after="0"/>
              <w:rPr>
                <w:sz w:val="21"/>
                <w:szCs w:val="21"/>
                <w:color w:val="auto"/>
              </w:rPr>
            </w:pPr>
          </w:p>
        </w:tc>
        <w:tc>
          <w:tcPr>
            <w:tcW w:w="1720" w:type="dxa"/>
            <w:vAlign w:val="bottom"/>
            <w:gridSpan w:val="3"/>
            <w:shd w:val="clear" w:color="auto" w:fill="CFF0FC"/>
          </w:tcPr>
          <w:p>
            <w:pPr>
              <w:jc w:val="right"/>
              <w:ind w:right="12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0"/>
        </w:trPr>
        <w:tc>
          <w:tcPr>
            <w:tcW w:w="4540" w:type="dxa"/>
            <w:vAlign w:val="bottom"/>
          </w:tcPr>
          <w:p>
            <w:pPr>
              <w:ind w:left="120"/>
              <w:spacing w:after="0"/>
              <w:rPr>
                <w:sz w:val="20"/>
                <w:szCs w:val="20"/>
                <w:color w:val="auto"/>
              </w:rPr>
            </w:pPr>
            <w:r>
              <w:rPr>
                <w:rFonts w:ascii="Arial" w:cs="Arial" w:eastAsia="Arial" w:hAnsi="Arial"/>
                <w:sz w:val="18"/>
                <w:szCs w:val="18"/>
                <w:color w:val="auto"/>
              </w:rPr>
              <w:t>European revolving credit facility due 2028</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512</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4.79 %</w:t>
            </w:r>
          </w:p>
        </w:tc>
        <w:tc>
          <w:tcPr>
            <w:tcW w:w="940" w:type="dxa"/>
            <w:vAlign w:val="bottom"/>
          </w:tcPr>
          <w:p>
            <w:pPr>
              <w:spacing w:after="0"/>
              <w:rPr>
                <w:sz w:val="20"/>
                <w:szCs w:val="20"/>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374</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2"/>
              </w:rPr>
              <w:t>3.39 %</w:t>
            </w:r>
          </w:p>
        </w:tc>
        <w:tc>
          <w:tcPr>
            <w:tcW w:w="20" w:type="dxa"/>
            <w:vAlign w:val="bottom"/>
          </w:tcPr>
          <w:p>
            <w:pPr>
              <w:spacing w:after="0"/>
              <w:rPr>
                <w:sz w:val="20"/>
                <w:szCs w:val="20"/>
                <w:color w:val="auto"/>
              </w:rPr>
            </w:pPr>
          </w:p>
        </w:tc>
      </w:tr>
      <w:tr>
        <w:trPr>
          <w:trHeight w:val="256"/>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Pan-European accounts receivable facility</w:t>
            </w:r>
          </w:p>
        </w:tc>
        <w:tc>
          <w:tcPr>
            <w:tcW w:w="26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5.34 %</w:t>
            </w:r>
          </w:p>
        </w:tc>
        <w:tc>
          <w:tcPr>
            <w:tcW w:w="94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3.77 %</w:t>
            </w:r>
          </w:p>
        </w:tc>
        <w:tc>
          <w:tcPr>
            <w:tcW w:w="20" w:type="dxa"/>
            <w:vAlign w:val="bottom"/>
          </w:tcPr>
          <w:p>
            <w:pPr>
              <w:spacing w:after="0"/>
              <w:rPr>
                <w:sz w:val="22"/>
                <w:szCs w:val="22"/>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Mexican credit facility</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7.14 %</w:t>
            </w:r>
          </w:p>
        </w:tc>
        <w:tc>
          <w:tcPr>
            <w:tcW w:w="940" w:type="dxa"/>
            <w:vAlign w:val="bottom"/>
          </w:tcPr>
          <w:p>
            <w:pPr>
              <w:spacing w:after="0"/>
              <w:rPr>
                <w:sz w:val="20"/>
                <w:szCs w:val="20"/>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2"/>
              </w:rPr>
              <w:t>6.29 %</w:t>
            </w:r>
          </w:p>
        </w:tc>
        <w:tc>
          <w:tcPr>
            <w:tcW w:w="20" w:type="dxa"/>
            <w:vAlign w:val="bottom"/>
          </w:tcPr>
          <w:p>
            <w:pPr>
              <w:spacing w:after="0"/>
              <w:rPr>
                <w:sz w:val="20"/>
                <w:szCs w:val="20"/>
                <w:color w:val="auto"/>
              </w:rPr>
            </w:pPr>
          </w:p>
        </w:tc>
      </w:tr>
      <w:tr>
        <w:trPr>
          <w:trHeight w:val="256"/>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Chinese credit facilities</w:t>
            </w:r>
          </w:p>
        </w:tc>
        <w:tc>
          <w:tcPr>
            <w:tcW w:w="26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3.97 %</w:t>
            </w:r>
          </w:p>
        </w:tc>
        <w:tc>
          <w:tcPr>
            <w:tcW w:w="94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4.23 %</w:t>
            </w:r>
          </w:p>
        </w:tc>
        <w:tc>
          <w:tcPr>
            <w:tcW w:w="20" w:type="dxa"/>
            <w:vAlign w:val="bottom"/>
          </w:tcPr>
          <w:p>
            <w:pPr>
              <w:spacing w:after="0"/>
              <w:rPr>
                <w:sz w:val="22"/>
                <w:szCs w:val="22"/>
                <w:color w:val="auto"/>
              </w:rPr>
            </w:pPr>
          </w:p>
        </w:tc>
      </w:tr>
      <w:tr>
        <w:trPr>
          <w:trHeight w:val="243"/>
        </w:trPr>
        <w:tc>
          <w:tcPr>
            <w:tcW w:w="4540" w:type="dxa"/>
            <w:vAlign w:val="bottom"/>
          </w:tcPr>
          <w:p>
            <w:pPr>
              <w:ind w:left="20"/>
              <w:spacing w:after="0" w:line="243" w:lineRule="exact"/>
              <w:rPr>
                <w:sz w:val="20"/>
                <w:szCs w:val="20"/>
                <w:color w:val="auto"/>
              </w:rPr>
            </w:pPr>
            <w:r>
              <w:rPr>
                <w:rFonts w:ascii="Arial" w:cs="Arial" w:eastAsia="Arial" w:hAnsi="Arial"/>
                <w:sz w:val="18"/>
                <w:szCs w:val="18"/>
                <w:color w:val="auto"/>
              </w:rPr>
              <w:t>Other foreign and domestic debt</w:t>
            </w:r>
            <w:r>
              <w:rPr>
                <w:rFonts w:ascii="Arial" w:cs="Arial" w:eastAsia="Arial" w:hAnsi="Arial"/>
                <w:sz w:val="26"/>
                <w:szCs w:val="26"/>
                <w:color w:val="auto"/>
                <w:vertAlign w:val="superscript"/>
              </w:rPr>
              <w:t>(1)</w:t>
            </w: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647</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7.33 %</w:t>
            </w: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650</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6"/>
              </w:rPr>
              <w:t>6.58 %</w:t>
            </w:r>
          </w:p>
        </w:tc>
      </w:tr>
      <w:tr>
        <w:trPr>
          <w:trHeight w:val="237"/>
        </w:trPr>
        <w:tc>
          <w:tcPr>
            <w:tcW w:w="45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88"/>
              </w:rPr>
              <w:t>8,058</w:t>
            </w: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84"/>
              </w:rPr>
              <w:t>7,286</w:t>
            </w: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Unamortized deferred financing fees</w:t>
            </w: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(41 )</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(46 )</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5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88"/>
              </w:rPr>
              <w:t>8,017</w:t>
            </w: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84"/>
              </w:rPr>
              <w:t>7,240</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540" w:type="dxa"/>
            <w:vAlign w:val="bottom"/>
          </w:tcPr>
          <w:p>
            <w:pPr>
              <w:ind w:left="20"/>
              <w:spacing w:after="0" w:line="243" w:lineRule="exact"/>
              <w:rPr>
                <w:sz w:val="20"/>
                <w:szCs w:val="20"/>
                <w:color w:val="auto"/>
              </w:rPr>
            </w:pPr>
            <w:r>
              <w:rPr>
                <w:rFonts w:ascii="Arial" w:cs="Arial" w:eastAsia="Arial" w:hAnsi="Arial"/>
                <w:sz w:val="18"/>
                <w:szCs w:val="18"/>
                <w:color w:val="auto"/>
              </w:rPr>
              <w:t>Finance lease obligations</w:t>
            </w:r>
            <w:r>
              <w:rPr>
                <w:rFonts w:ascii="Arial" w:cs="Arial" w:eastAsia="Arial" w:hAnsi="Arial"/>
                <w:sz w:val="24"/>
                <w:szCs w:val="24"/>
                <w:color w:val="auto"/>
                <w:vertAlign w:val="superscript"/>
              </w:rPr>
              <w:t>(2)</w:t>
            </w: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5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88"/>
              </w:rPr>
              <w:t>8,271</w:t>
            </w: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84"/>
              </w:rPr>
              <w:t>7,495</w:t>
            </w: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Less portion due within one year</w:t>
            </w: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(244 )</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(228 )</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9"/>
        </w:trPr>
        <w:tc>
          <w:tcPr>
            <w:tcW w:w="45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88"/>
              </w:rPr>
              <w:t>8,027</w:t>
            </w:r>
          </w:p>
        </w:tc>
        <w:tc>
          <w:tcPr>
            <w:tcW w:w="1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gridSpan w:val="2"/>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84"/>
              </w:rPr>
              <w:t>7,267</w:t>
            </w:r>
          </w:p>
        </w:tc>
        <w:tc>
          <w:tcPr>
            <w:tcW w:w="1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-24765</wp:posOffset>
            </wp:positionV>
            <wp:extent cx="85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-7620</wp:posOffset>
            </wp:positionV>
            <wp:extent cx="857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85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85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36"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Interest rates are weighted average interest rates primarily related to various foreign credit facilities with customary terms and conditions.</w:t>
      </w:r>
    </w:p>
    <w:p>
      <w:pPr>
        <w:spacing w:after="0" w:line="74" w:lineRule="exact"/>
        <w:rPr>
          <w:rFonts w:ascii="Arial" w:cs="Arial" w:eastAsia="Arial" w:hAnsi="Arial"/>
          <w:sz w:val="17"/>
          <w:szCs w:val="17"/>
          <w:color w:val="auto"/>
        </w:rPr>
      </w:pPr>
    </w:p>
    <w:p>
      <w:pPr>
        <w:ind w:left="760" w:right="20" w:hanging="752"/>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no non-cash financing additions during the six months ended June 30, 2023, and $20 million of non-cash financing additions during the twelve months ended December 31,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we had $5,566 million of outstanding notes, compared to $5,560 million at December 31,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$2.75 billion Amended and Restated First Lien Revolving Credit Facility due 2026</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w:t>
      </w:r>
    </w:p>
    <w:p>
      <w:pPr>
        <w:spacing w:after="0" w:line="62"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June 30, 2023, our borrowing base was above the facility's stated amount of $2.75 billion.</w:t>
      </w:r>
    </w:p>
    <w:p>
      <w:pPr>
        <w:sectPr>
          <w:pgSz w:w="11900" w:h="16838" w:orient="portrait"/>
          <w:cols w:equalWidth="0" w:num="1">
            <w:col w:w="11260"/>
          </w:cols>
          <w:pgMar w:left="320" w:top="125" w:right="31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The facility also has customary defaults, including a cross-default to material indebtedness of Goodyear and our subsidiaries.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Available Cash (as defined in the facility) plus the availability under the facility is greater than $750 million, amounts drawn under the facility will bear interest, at our option, at (i) 125 basis points over SOFR or (ii) 25 basis points over an alternate base rate (the higher of (a) the prime rate, (b) the federal funds effective rate or the overnight bank funding rate plus 50 basis points or (c) SOFR for a one month interest period plus 100 basis points). If Available Cash plus the availability under the facility is equal to or less than $750 million, then amounts drawn under the facility will bear interest, at our option, at</w:t>
      </w:r>
    </w:p>
    <w:p>
      <w:pPr>
        <w:spacing w:after="0" w:line="1" w:lineRule="exact"/>
        <w:rPr>
          <w:sz w:val="20"/>
          <w:szCs w:val="20"/>
          <w:color w:val="auto"/>
        </w:rPr>
      </w:pPr>
    </w:p>
    <w:p>
      <w:pPr>
        <w:ind w:firstLine="8"/>
        <w:spacing w:after="0" w:line="290" w:lineRule="auto"/>
        <w:tabs>
          <w:tab w:leader="none" w:pos="230" w:val="left"/>
        </w:tabs>
        <w:numPr>
          <w:ilvl w:val="0"/>
          <w:numId w:val="3"/>
        </w:numPr>
        <w:rPr>
          <w:rFonts w:ascii="Arial" w:cs="Arial" w:eastAsia="Arial" w:hAnsi="Arial"/>
          <w:sz w:val="17"/>
          <w:szCs w:val="17"/>
          <w:color w:val="auto"/>
        </w:rPr>
      </w:pPr>
      <w:r>
        <w:rPr>
          <w:rFonts w:ascii="Arial" w:cs="Arial" w:eastAsia="Arial" w:hAnsi="Arial"/>
          <w:sz w:val="17"/>
          <w:szCs w:val="17"/>
          <w:color w:val="auto"/>
        </w:rPr>
        <w:t>150 basis points over SOFR or (ii) 50 basis points over an alternate base rate. Based on our current liquidity, amounts drawn under this facility bear interest at SOFR plus 125 basis points. Undrawn amounts under the facility will be subject to an annual commitment fee of 25 basis points.</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2023, we had $665 million of borrowings and $3 million of letters of credit issued under the revolving credit facility. At December 31, 2022, we had no borrowings and $3 million of letters of credit issued under the revolving credit facility.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€800 million Amended and Restated Senior Secured European Revolving Credit Facility due 2028</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amended and restated European revolving credit facility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GEBV and certain of its subsidiaries in the United Kingdom, Luxembourg, France and Germany provide guarantees to support the facility. 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first lien revolving credit facility described above also provide unsecured guarantees in support of the facility.</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2021. The facility also has customary defaults, including a cross-default to material indebtedness of Goodyear and our subsidiaries.</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2023, there were $196 million (€180 million) of borrowings outstanding under the German tranche, $316 million (€290 million) of borrowings outstanding under the all-borrower tranche and no letters of credit outstanding under the European revolving credit facility. At December 31, 2022, there were no borrowings outstanding under the German tranche, $374 million (€350 million) of borrowings outstanding under the all-borrower tranche and no letters of credit outstanding under the European revolving credit facility.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 Facilities (On-Balance Sheet)</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current period ending October 18, 2023, the designated maximum amount of the facility is €300 million.</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18, 2023.</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2023, the amounts available and utilized under this program totaled $238 million (€218 million). At December 31, 2022, the amounts available and utilized under this program totaled $267 million (€250 million). The program does not qualify for sale accounting, and accordingly, these amounts are included in Long Term Debt and Finance Leases.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description of the collateral securing the credit facilities described above as well as the covenants applicable to them, refer to Note to the Consolidated Financial Statements No. 16, Financing Arrangements and Derivative Financial Instruments, in our 2022 Form 10-K.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Factoring Facilities (Off-Balance Sheet)</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sold certain of our trade receivables under off-balance sheet programs. For these programs, we have concluded that there is generally no risk of loss to us from non-payment of the sold receivables. At June 30, 2023, the gross amount of receivables sold was $683 million, compared to $744 million at December 31,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Foreign Credit Facilities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Mexican subsidiary and a U.S. subsidiary have a revolving credit facility in Mexico. At June 30, 2023 and December 31, 2022, the amounts available and utilized under this facility were $200 million. The facility ultimately matures on November 22, 2024, has covenants relating to the Mexican and U.S. subsidiaries, and has customary representations and warranties and defaults relating to the Mexican and U.S. subsidiaries’ ability to perform their respective obligations under the facility.</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Chinese subsidiaries have several financing arrangements in China. These facilities contain covenants relating to these Chinese subsidiaries and have customary representations and warranties and defaults relating to these Chinese subsidiaries' ability to perform their respective obligations under these facilities. These facilities are also available for other off-balance sheet utilization, such as letters of credit and bank acceptances.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total amounts available and utilized under the Chinese financing arrangements: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tcPr>
          <w:p>
            <w:pPr>
              <w:jc w:val="right"/>
              <w:ind w:right="734"/>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right"/>
              <w:ind w:right="57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69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2022</w:t>
            </w:r>
          </w:p>
        </w:tc>
      </w:tr>
      <w:tr>
        <w:trPr>
          <w:trHeight w:val="272"/>
        </w:trPr>
        <w:tc>
          <w:tcPr>
            <w:tcW w:w="6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available</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819</w:t>
            </w:r>
          </w:p>
        </w:tc>
        <w:tc>
          <w:tcPr>
            <w:tcW w:w="2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72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b w:val="1"/>
                <w:bCs w:val="1"/>
                <w:color w:val="auto"/>
              </w:rPr>
              <w:t>852</w:t>
            </w:r>
          </w:p>
        </w:tc>
      </w:tr>
      <w:tr>
        <w:trPr>
          <w:trHeight w:val="222"/>
        </w:trPr>
        <w:tc>
          <w:tcPr>
            <w:tcW w:w="6980" w:type="dxa"/>
            <w:vAlign w:val="bottom"/>
          </w:tcPr>
          <w:p>
            <w:pPr>
              <w:ind w:left="20"/>
              <w:spacing w:after="0"/>
              <w:rPr>
                <w:sz w:val="20"/>
                <w:szCs w:val="20"/>
                <w:color w:val="auto"/>
              </w:rPr>
            </w:pPr>
            <w:r>
              <w:rPr>
                <w:rFonts w:ascii="Arial" w:cs="Arial" w:eastAsia="Arial" w:hAnsi="Arial"/>
                <w:sz w:val="18"/>
                <w:szCs w:val="18"/>
                <w:color w:val="auto"/>
              </w:rPr>
              <w:t>Amounts utilized:</w:t>
            </w:r>
          </w:p>
        </w:tc>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49"/>
        </w:trPr>
        <w:tc>
          <w:tcPr>
            <w:tcW w:w="6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Notes Payable and Overdrafts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15</w:t>
            </w:r>
          </w:p>
        </w:tc>
        <w:tc>
          <w:tcPr>
            <w:tcW w:w="5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26</w:t>
            </w:r>
          </w:p>
        </w:tc>
      </w:tr>
      <w:tr>
        <w:trPr>
          <w:trHeight w:val="237"/>
        </w:trPr>
        <w:tc>
          <w:tcPr>
            <w:tcW w:w="6980" w:type="dxa"/>
            <w:vAlign w:val="bottom"/>
          </w:tcPr>
          <w:p>
            <w:pPr>
              <w:ind w:left="120"/>
              <w:spacing w:after="0"/>
              <w:rPr>
                <w:sz w:val="20"/>
                <w:szCs w:val="20"/>
                <w:color w:val="auto"/>
              </w:rPr>
            </w:pPr>
            <w:r>
              <w:rPr>
                <w:rFonts w:ascii="Arial" w:cs="Arial" w:eastAsia="Arial" w:hAnsi="Arial"/>
                <w:sz w:val="18"/>
                <w:szCs w:val="18"/>
                <w:color w:val="auto"/>
              </w:rPr>
              <w:t>Long Term Debt due Within One Year</w:t>
            </w:r>
          </w:p>
        </w:tc>
        <w:tc>
          <w:tcPr>
            <w:tcW w:w="380" w:type="dxa"/>
            <w:vAlign w:val="bottom"/>
          </w:tcPr>
          <w:p>
            <w:pPr>
              <w:spacing w:after="0"/>
              <w:rPr>
                <w:sz w:val="20"/>
                <w:szCs w:val="20"/>
                <w:color w:val="auto"/>
              </w:rPr>
            </w:pPr>
          </w:p>
        </w:tc>
        <w:tc>
          <w:tcPr>
            <w:tcW w:w="1640" w:type="dxa"/>
            <w:vAlign w:val="bottom"/>
          </w:tcPr>
          <w:p>
            <w:pPr>
              <w:jc w:val="right"/>
              <w:ind w:right="54"/>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ind w:right="74"/>
              <w:spacing w:after="0"/>
              <w:rPr>
                <w:sz w:val="20"/>
                <w:szCs w:val="20"/>
                <w:color w:val="auto"/>
              </w:rPr>
            </w:pPr>
            <w:r>
              <w:rPr>
                <w:rFonts w:ascii="Arial" w:cs="Arial" w:eastAsia="Arial" w:hAnsi="Arial"/>
                <w:sz w:val="18"/>
                <w:szCs w:val="18"/>
                <w:color w:val="auto"/>
              </w:rPr>
              <w:t>136</w:t>
            </w:r>
          </w:p>
        </w:tc>
      </w:tr>
      <w:tr>
        <w:trPr>
          <w:trHeight w:val="249"/>
        </w:trPr>
        <w:tc>
          <w:tcPr>
            <w:tcW w:w="6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Long Term Debt</w:t>
            </w:r>
          </w:p>
        </w:tc>
        <w:tc>
          <w:tcPr>
            <w:tcW w:w="3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99</w:t>
            </w:r>
          </w:p>
        </w:tc>
      </w:tr>
      <w:tr>
        <w:trPr>
          <w:trHeight w:val="237"/>
        </w:trPr>
        <w:tc>
          <w:tcPr>
            <w:tcW w:w="6980" w:type="dxa"/>
            <w:vAlign w:val="bottom"/>
          </w:tcPr>
          <w:p>
            <w:pPr>
              <w:ind w:left="120"/>
              <w:spacing w:after="0"/>
              <w:rPr>
                <w:sz w:val="20"/>
                <w:szCs w:val="20"/>
                <w:color w:val="auto"/>
              </w:rPr>
            </w:pPr>
            <w:r>
              <w:rPr>
                <w:rFonts w:ascii="Arial" w:cs="Arial" w:eastAsia="Arial" w:hAnsi="Arial"/>
                <w:sz w:val="18"/>
                <w:szCs w:val="18"/>
                <w:color w:val="auto"/>
              </w:rPr>
              <w:t>Letters of credit, bank acceptances and other utilization</w:t>
            </w:r>
          </w:p>
        </w:tc>
        <w:tc>
          <w:tcPr>
            <w:tcW w:w="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75</w:t>
            </w:r>
          </w:p>
        </w:tc>
      </w:tr>
      <w:tr>
        <w:trPr>
          <w:trHeight w:val="278"/>
        </w:trPr>
        <w:tc>
          <w:tcPr>
            <w:tcW w:w="6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Total utilized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309</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72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b w:val="1"/>
                <w:bCs w:val="1"/>
                <w:color w:val="auto"/>
              </w:rPr>
              <w:t>336</w:t>
            </w:r>
          </w:p>
        </w:tc>
      </w:tr>
      <w:tr>
        <w:trPr>
          <w:trHeight w:val="228"/>
        </w:trPr>
        <w:tc>
          <w:tcPr>
            <w:tcW w:w="6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43"/>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Maturities</w:t>
            </w:r>
          </w:p>
        </w:tc>
        <w:tc>
          <w:tcPr>
            <w:tcW w:w="3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8/23-8/25</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1/23-8/25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-1294130</wp:posOffset>
            </wp:positionV>
            <wp:extent cx="128905" cy="1797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8905" cy="17970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-334010</wp:posOffset>
            </wp:positionV>
            <wp:extent cx="128905" cy="1803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8905" cy="180340"/>
                    </a:xfrm>
                    <a:prstGeom prst="rect">
                      <a:avLst/>
                    </a:prstGeom>
                    <a:noFill/>
                  </pic:spPr>
                </pic:pic>
              </a:graphicData>
            </a:graphic>
          </wp:anchor>
        </w:drawing>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these facilities can only be used to finance the expansion of one of our manufacturing facilities in China and, at June 30, 2023, the unused amount available under these facilities was $60 million, compared to $63 million at December 31,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Contracts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fair values for foreign currency hedge contracts that do not meet the criteria to be accounted for as cash flow hedging instruments: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60" w:type="dxa"/>
            <w:vAlign w:val="bottom"/>
          </w:tcPr>
          <w:p>
            <w:pPr>
              <w:spacing w:after="0"/>
              <w:rPr>
                <w:sz w:val="15"/>
                <w:szCs w:val="15"/>
                <w:color w:val="auto"/>
              </w:rPr>
            </w:pPr>
          </w:p>
        </w:tc>
        <w:tc>
          <w:tcPr>
            <w:tcW w:w="1440" w:type="dxa"/>
            <w:vAlign w:val="bottom"/>
          </w:tcPr>
          <w:p>
            <w:pPr>
              <w:jc w:val="center"/>
              <w:ind w:left="402"/>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right"/>
              <w:ind w:right="579"/>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69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4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2022</w:t>
            </w:r>
          </w:p>
        </w:tc>
      </w:tr>
      <w:tr>
        <w:trPr>
          <w:trHeight w:val="236"/>
        </w:trPr>
        <w:tc>
          <w:tcPr>
            <w:tcW w:w="6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Fair Values — Current asset (liability):</w:t>
            </w:r>
          </w:p>
        </w:tc>
        <w:tc>
          <w:tcPr>
            <w:tcW w:w="14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r>
      <w:tr>
        <w:trPr>
          <w:trHeight w:val="237"/>
        </w:trPr>
        <w:tc>
          <w:tcPr>
            <w:tcW w:w="696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1440" w:type="dxa"/>
            <w:vAlign w:val="bottom"/>
          </w:tcPr>
          <w:p>
            <w:pPr>
              <w:jc w:val="right"/>
              <w:ind w:right="126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79"/>
              <w:spacing w:after="0"/>
              <w:rPr>
                <w:sz w:val="20"/>
                <w:szCs w:val="20"/>
                <w:color w:val="auto"/>
              </w:rPr>
            </w:pPr>
            <w:r>
              <w:rPr>
                <w:rFonts w:ascii="Arial" w:cs="Arial" w:eastAsia="Arial" w:hAnsi="Arial"/>
                <w:sz w:val="18"/>
                <w:szCs w:val="18"/>
                <w:color w:val="auto"/>
              </w:rPr>
              <w:t>4</w:t>
            </w:r>
          </w:p>
        </w:tc>
      </w:tr>
      <w:tr>
        <w:trPr>
          <w:trHeight w:val="249"/>
        </w:trPr>
        <w:tc>
          <w:tcPr>
            <w:tcW w:w="6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current liabilities</w:t>
            </w:r>
          </w:p>
        </w:tc>
        <w:tc>
          <w:tcPr>
            <w:tcW w:w="14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r>
    </w:tbl>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2023 and December 31, 2022, these outstanding foreign currency derivatives had notional amounts of $1,365 million and $1,197 million, respectively, and were primarily related to intercompany loans. Other (Income) Expense included net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transaction gains on derivatives of $6 million and $4 million for the three and six months ended June 30, 2023. Other (Income) Expense included net transaction gains on derivatives of $24 million and $34 million for the three and six months ended June 30, 2022, respectively. These amounts were substantially offset in Other (Income) Expense by the effect of changing exchange rates on the underlying currency exposures.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fair values for foreign currency hedge contracts that meet the criteria to be accounted for as cash flow hedging instruments: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00" w:type="dxa"/>
            <w:vAlign w:val="bottom"/>
          </w:tcPr>
          <w:p>
            <w:pPr>
              <w:spacing w:after="0"/>
              <w:rPr>
                <w:sz w:val="15"/>
                <w:szCs w:val="15"/>
                <w:color w:val="auto"/>
              </w:rPr>
            </w:pPr>
          </w:p>
        </w:tc>
        <w:tc>
          <w:tcPr>
            <w:tcW w:w="1460" w:type="dxa"/>
            <w:vAlign w:val="bottom"/>
          </w:tcPr>
          <w:p>
            <w:pPr>
              <w:jc w:val="center"/>
              <w:ind w:left="362"/>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Pr>
          <w:p>
            <w:pPr>
              <w:jc w:val="right"/>
              <w:ind w:right="579"/>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0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4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2022</w:t>
            </w:r>
          </w:p>
        </w:tc>
      </w:tr>
      <w:tr>
        <w:trPr>
          <w:trHeight w:val="237"/>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Fair Values — Current asset (liability):</w:t>
            </w:r>
          </w:p>
        </w:tc>
        <w:tc>
          <w:tcPr>
            <w:tcW w:w="14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r>
      <w:tr>
        <w:trPr>
          <w:trHeight w:val="237"/>
        </w:trPr>
        <w:tc>
          <w:tcPr>
            <w:tcW w:w="700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1460" w:type="dxa"/>
            <w:vAlign w:val="bottom"/>
          </w:tcPr>
          <w:p>
            <w:pPr>
              <w:jc w:val="right"/>
              <w:ind w:right="1262"/>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9"/>
              <w:spacing w:after="0"/>
              <w:rPr>
                <w:sz w:val="20"/>
                <w:szCs w:val="20"/>
                <w:color w:val="auto"/>
              </w:rPr>
            </w:pPr>
            <w:r>
              <w:rPr>
                <w:rFonts w:ascii="Arial" w:cs="Arial" w:eastAsia="Arial" w:hAnsi="Arial"/>
                <w:sz w:val="18"/>
                <w:szCs w:val="18"/>
                <w:color w:val="auto"/>
              </w:rPr>
              <w:t>1</w:t>
            </w:r>
          </w:p>
        </w:tc>
      </w:tr>
      <w:tr>
        <w:trPr>
          <w:trHeight w:val="249"/>
        </w:trPr>
        <w:tc>
          <w:tcPr>
            <w:tcW w:w="7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current liabilities</w:t>
            </w:r>
          </w:p>
        </w:tc>
        <w:tc>
          <w:tcPr>
            <w:tcW w:w="14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r>
    </w:tbl>
    <w:p>
      <w:pPr>
        <w:spacing w:after="0" w:line="10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June 30, 2023 and December 31, 2022, these outstanding foreign currency derivatives had notional amounts of $75 million and $71 million, respectively, and primarily related to U.S. dollar denominated intercompany transactions. Based on our current forecasts, we believe that it is probable that the underlying hedge transactions will occur within an appropriate time frame in order to continue to qualify for cash flow hedge accounting treatment.</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classification of changes in fair values of foreign currency contracts that meet the criteria to be accounted for as cash flow hedging instruments (before tax and minority):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jc w:val="right"/>
              <w:ind w:right="596"/>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jc w:val="right"/>
              <w:ind w:right="676"/>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5"/>
                <w:szCs w:val="15"/>
                <w:color w:val="auto"/>
              </w:rPr>
            </w:pPr>
          </w:p>
        </w:tc>
      </w:tr>
      <w:tr>
        <w:trPr>
          <w:trHeight w:val="185"/>
        </w:trPr>
        <w:tc>
          <w:tcPr>
            <w:tcW w:w="60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r>
      <w:tr>
        <w:trPr>
          <w:trHeight w:val="209"/>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Amount of gains (losses) deferred to Accumulated Other Comprehensive Loss</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44"/>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(2 )   $</w:t>
            </w:r>
          </w:p>
        </w:tc>
        <w:tc>
          <w:tcPr>
            <w:tcW w:w="94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3</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(4 )   $</w:t>
            </w:r>
          </w:p>
        </w:tc>
        <w:tc>
          <w:tcPr>
            <w:tcW w:w="9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w:t>
            </w:r>
          </w:p>
        </w:tc>
      </w:tr>
      <w:tr>
        <w:trPr>
          <w:trHeight w:val="215"/>
        </w:trPr>
        <w:tc>
          <w:tcPr>
            <w:tcW w:w="6000" w:type="dxa"/>
            <w:vAlign w:val="bottom"/>
          </w:tcPr>
          <w:p>
            <w:pPr>
              <w:ind w:left="20"/>
              <w:spacing w:after="0"/>
              <w:rPr>
                <w:sz w:val="20"/>
                <w:szCs w:val="20"/>
                <w:color w:val="auto"/>
              </w:rPr>
            </w:pPr>
            <w:r>
              <w:rPr>
                <w:rFonts w:ascii="Arial" w:cs="Arial" w:eastAsia="Arial" w:hAnsi="Arial"/>
                <w:sz w:val="18"/>
                <w:szCs w:val="18"/>
                <w:color w:val="auto"/>
              </w:rPr>
              <w:t>Reclassification adjustment for amounts recognized in Cost of Goods Sold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("CGS")</w:t>
            </w:r>
          </w:p>
        </w:tc>
        <w:tc>
          <w:tcPr>
            <w:tcW w:w="240" w:type="dxa"/>
            <w:vAlign w:val="bottom"/>
          </w:tcPr>
          <w:p>
            <w:pPr>
              <w:spacing w:after="0"/>
              <w:rPr>
                <w:sz w:val="20"/>
                <w:szCs w:val="20"/>
                <w:color w:val="auto"/>
              </w:rPr>
            </w:pPr>
          </w:p>
        </w:tc>
        <w:tc>
          <w:tcPr>
            <w:tcW w:w="13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(1 )</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estimated net amount of deferred losses at June 30, 2023 that are expected to be reclassified to earnings within the next twelve months is $4 million.</w:t>
      </w:r>
    </w:p>
    <w:p>
      <w:pPr>
        <w:spacing w:after="0" w:line="14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information about assets and liabilities recorded at fair value on the Consolidated Balance Sheets at June 30,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jc w:val="right"/>
              <w:ind w:right="273"/>
              <w:spacing w:after="0"/>
              <w:rPr>
                <w:sz w:val="20"/>
                <w:szCs w:val="20"/>
                <w:color w:val="auto"/>
              </w:rPr>
            </w:pPr>
            <w:r>
              <w:rPr>
                <w:rFonts w:ascii="Arial" w:cs="Arial" w:eastAsia="Arial" w:hAnsi="Arial"/>
                <w:sz w:val="14"/>
                <w:szCs w:val="14"/>
                <w:b w:val="1"/>
                <w:bCs w:val="1"/>
                <w:color w:val="auto"/>
                <w:w w:val="98"/>
              </w:rPr>
              <w:t>Total Carrying Value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w w:val="92"/>
              </w:rPr>
              <w:t>Quoted Prices in Active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vMerge w:val="restart"/>
          </w:tcPr>
          <w:p>
            <w:pPr>
              <w:jc w:val="center"/>
              <w:ind w:right="213"/>
              <w:spacing w:after="0"/>
              <w:rPr>
                <w:sz w:val="20"/>
                <w:szCs w:val="20"/>
                <w:color w:val="auto"/>
              </w:rPr>
            </w:pPr>
            <w:r>
              <w:rPr>
                <w:rFonts w:ascii="Arial" w:cs="Arial" w:eastAsia="Arial" w:hAnsi="Arial"/>
                <w:sz w:val="14"/>
                <w:szCs w:val="14"/>
                <w:b w:val="1"/>
                <w:bCs w:val="1"/>
                <w:color w:val="auto"/>
                <w:w w:val="95"/>
              </w:rPr>
              <w:t>Significant Other</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4"/>
          </w:tcPr>
          <w:p>
            <w:pPr>
              <w:ind w:left="380"/>
              <w:spacing w:after="0"/>
              <w:rPr>
                <w:sz w:val="20"/>
                <w:szCs w:val="20"/>
                <w:color w:val="auto"/>
              </w:rPr>
            </w:pPr>
            <w:r>
              <w:rPr>
                <w:rFonts w:ascii="Arial" w:cs="Arial" w:eastAsia="Arial" w:hAnsi="Arial"/>
                <w:sz w:val="14"/>
                <w:szCs w:val="14"/>
                <w:b w:val="1"/>
                <w:bCs w:val="1"/>
                <w:color w:val="auto"/>
                <w:w w:val="92"/>
              </w:rPr>
              <w:t>Significant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in the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4"/>
          </w:tcPr>
          <w:p>
            <w:pPr>
              <w:jc w:val="center"/>
              <w:ind w:right="73"/>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5"/>
          </w:tcPr>
          <w:p>
            <w:pPr>
              <w:jc w:val="center"/>
              <w:ind w:right="93"/>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5"/>
          </w:tcPr>
          <w:p>
            <w:pPr>
              <w:jc w:val="center"/>
              <w:ind w:right="93"/>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4"/>
          </w:tcPr>
          <w:p>
            <w:pPr>
              <w:jc w:val="center"/>
              <w:ind w:right="73"/>
              <w:spacing w:after="0" w:line="149" w:lineRule="exact"/>
              <w:rPr>
                <w:sz w:val="20"/>
                <w:szCs w:val="20"/>
                <w:color w:val="auto"/>
              </w:rPr>
            </w:pPr>
            <w:r>
              <w:rPr>
                <w:rFonts w:ascii="Arial" w:cs="Arial" w:eastAsia="Arial" w:hAnsi="Arial"/>
                <w:sz w:val="14"/>
                <w:szCs w:val="14"/>
                <w:b w:val="1"/>
                <w:bCs w:val="1"/>
                <w:color w:val="auto"/>
                <w:w w:val="90"/>
              </w:rPr>
              <w:t>Assets/Liabilities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4"/>
          </w:tcPr>
          <w:p>
            <w:pPr>
              <w:jc w:val="center"/>
              <w:ind w:right="193"/>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gridSpan w:val="3"/>
          </w:tcPr>
          <w:p>
            <w:pPr>
              <w:jc w:val="center"/>
              <w:ind w:right="10"/>
              <w:spacing w:after="0" w:line="149" w:lineRule="exact"/>
              <w:rPr>
                <w:sz w:val="20"/>
                <w:szCs w:val="20"/>
                <w:color w:val="auto"/>
              </w:rPr>
            </w:pPr>
            <w:r>
              <w:rPr>
                <w:rFonts w:ascii="Arial" w:cs="Arial" w:eastAsia="Arial" w:hAnsi="Arial"/>
                <w:sz w:val="14"/>
                <w:szCs w:val="14"/>
                <w:b w:val="1"/>
                <w:bCs w:val="1"/>
                <w:color w:val="auto"/>
                <w:w w:val="95"/>
              </w:rPr>
              <w:t>Inputs</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center"/>
              <w:ind w:right="93"/>
              <w:spacing w:after="0"/>
              <w:rPr>
                <w:sz w:val="20"/>
                <w:szCs w:val="20"/>
                <w:color w:val="auto"/>
              </w:rPr>
            </w:pPr>
            <w:r>
              <w:rPr>
                <w:rFonts w:ascii="Arial" w:cs="Arial" w:eastAsia="Arial" w:hAnsi="Arial"/>
                <w:sz w:val="14"/>
                <w:szCs w:val="14"/>
                <w:b w:val="1"/>
                <w:bCs w:val="1"/>
                <w:color w:val="auto"/>
                <w:w w:val="86"/>
              </w:rPr>
              <w:t>Balance Sheets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4"/>
                <w:szCs w:val="14"/>
                <w:b w:val="1"/>
                <w:bCs w:val="1"/>
                <w:color w:val="auto"/>
                <w:w w:val="94"/>
              </w:rPr>
              <w:t>(Level 1)</w:t>
            </w: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4"/>
                <w:szCs w:val="14"/>
                <w:b w:val="1"/>
                <w:bCs w:val="1"/>
                <w:color w:val="auto"/>
                <w:w w:val="94"/>
              </w:rPr>
              <w:t>(Level 2)</w:t>
            </w:r>
          </w:p>
        </w:tc>
        <w:tc>
          <w:tcPr>
            <w:tcW w:w="6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center"/>
              <w:ind w:left="398"/>
              <w:spacing w:after="0"/>
              <w:rPr>
                <w:sz w:val="20"/>
                <w:szCs w:val="20"/>
                <w:color w:val="auto"/>
              </w:rPr>
            </w:pPr>
            <w:r>
              <w:rPr>
                <w:rFonts w:ascii="Arial" w:cs="Arial" w:eastAsia="Arial" w:hAnsi="Arial"/>
                <w:sz w:val="14"/>
                <w:szCs w:val="14"/>
                <w:b w:val="1"/>
                <w:bCs w:val="1"/>
                <w:color w:val="auto"/>
                <w:w w:val="94"/>
              </w:rPr>
              <w:t>(Level 3)</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9"/>
              <w:spacing w:after="0"/>
              <w:rPr>
                <w:sz w:val="20"/>
                <w:szCs w:val="20"/>
                <w:color w:val="auto"/>
              </w:rPr>
            </w:pPr>
            <w:r>
              <w:rPr>
                <w:rFonts w:ascii="Arial" w:cs="Arial" w:eastAsia="Arial" w:hAnsi="Arial"/>
                <w:sz w:val="18"/>
                <w:szCs w:val="18"/>
                <w:color w:val="auto"/>
              </w:rPr>
              <w:t>23</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 Exchange Contracts</w:t>
            </w:r>
          </w:p>
        </w:tc>
        <w:tc>
          <w:tcPr>
            <w:tcW w:w="1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53"/>
              <w:spacing w:after="0"/>
              <w:rPr>
                <w:sz w:val="20"/>
                <w:szCs w:val="20"/>
                <w:color w:val="auto"/>
              </w:rPr>
            </w:pPr>
            <w:r>
              <w:rPr>
                <w:rFonts w:ascii="Arial" w:cs="Arial" w:eastAsia="Arial" w:hAnsi="Arial"/>
                <w:sz w:val="18"/>
                <w:szCs w:val="18"/>
                <w:b w:val="1"/>
                <w:bCs w:val="1"/>
                <w:color w:val="auto"/>
              </w:rPr>
              <w:t>13</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9"/>
              <w:spacing w:after="0"/>
              <w:rPr>
                <w:sz w:val="20"/>
                <w:szCs w:val="20"/>
                <w:color w:val="auto"/>
              </w:rPr>
            </w:pPr>
            <w:r>
              <w:rPr>
                <w:rFonts w:ascii="Arial" w:cs="Arial" w:eastAsia="Arial" w:hAnsi="Arial"/>
                <w:sz w:val="18"/>
                <w:szCs w:val="18"/>
                <w:b w:val="1"/>
                <w:bCs w:val="1"/>
                <w:color w:val="auto"/>
              </w:rPr>
              <w:t>23</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b w:val="1"/>
                <w:bCs w:val="1"/>
                <w:color w:val="auto"/>
              </w:rPr>
              <w:t>8</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58"/>
              <w:spacing w:after="0"/>
              <w:rPr>
                <w:sz w:val="20"/>
                <w:szCs w:val="20"/>
                <w:color w:val="auto"/>
              </w:rPr>
            </w:pPr>
            <w:r>
              <w:rPr>
                <w:rFonts w:ascii="Arial" w:cs="Arial" w:eastAsia="Arial" w:hAnsi="Arial"/>
                <w:sz w:val="18"/>
                <w:szCs w:val="18"/>
                <w:b w:val="1"/>
                <w:bCs w:val="1"/>
                <w:color w:val="auto"/>
              </w:rPr>
              <w:t>11</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53"/>
              <w:spacing w:after="0"/>
              <w:rPr>
                <w:sz w:val="20"/>
                <w:szCs w:val="20"/>
                <w:color w:val="auto"/>
              </w:rPr>
            </w:pPr>
            <w:r>
              <w:rPr>
                <w:rFonts w:ascii="Arial" w:cs="Arial" w:eastAsia="Arial" w:hAnsi="Arial"/>
                <w:sz w:val="18"/>
                <w:szCs w:val="18"/>
                <w:b w:val="1"/>
                <w:bCs w:val="1"/>
                <w:color w:val="auto"/>
              </w:rPr>
              <w:t>5</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ind w:left="380"/>
              <w:spacing w:after="0"/>
              <w:rPr>
                <w:sz w:val="20"/>
                <w:szCs w:val="20"/>
                <w:color w:val="auto"/>
              </w:rPr>
            </w:pPr>
            <w:r>
              <w:rPr>
                <w:rFonts w:ascii="Arial" w:cs="Arial" w:eastAsia="Arial" w:hAnsi="Arial"/>
                <w:sz w:val="18"/>
                <w:szCs w:val="18"/>
                <w:b w:val="1"/>
                <w:bCs w:val="1"/>
                <w:color w:val="auto"/>
                <w:w w:val="88"/>
              </w:rPr>
              <w:t>—</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 Exchange Contracts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at Fair Value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53"/>
              <w:spacing w:after="0"/>
              <w:rPr>
                <w:sz w:val="20"/>
                <w:szCs w:val="20"/>
                <w:color w:val="auto"/>
              </w:rPr>
            </w:pPr>
            <w:r>
              <w:rPr>
                <w:rFonts w:ascii="Arial" w:cs="Arial" w:eastAsia="Arial" w:hAnsi="Arial"/>
                <w:sz w:val="18"/>
                <w:szCs w:val="18"/>
                <w:b w:val="1"/>
                <w:bCs w:val="1"/>
                <w:color w:val="auto"/>
              </w:rPr>
              <w:t>13</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9"/>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58"/>
              <w:spacing w:after="0"/>
              <w:rPr>
                <w:sz w:val="20"/>
                <w:szCs w:val="20"/>
                <w:color w:val="auto"/>
              </w:rPr>
            </w:pPr>
            <w:r>
              <w:rPr>
                <w:rFonts w:ascii="Arial" w:cs="Arial" w:eastAsia="Arial" w:hAnsi="Arial"/>
                <w:sz w:val="18"/>
                <w:szCs w:val="18"/>
                <w:b w:val="1"/>
                <w:bCs w:val="1"/>
                <w:color w:val="auto"/>
              </w:rPr>
              <w:t>26</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53"/>
              <w:spacing w:after="0"/>
              <w:rPr>
                <w:sz w:val="20"/>
                <w:szCs w:val="20"/>
                <w:color w:val="auto"/>
              </w:rPr>
            </w:pPr>
            <w:r>
              <w:rPr>
                <w:rFonts w:ascii="Arial" w:cs="Arial" w:eastAsia="Arial" w:hAnsi="Arial"/>
                <w:sz w:val="18"/>
                <w:szCs w:val="18"/>
                <w:b w:val="1"/>
                <w:bCs w:val="1"/>
                <w:color w:val="auto"/>
              </w:rPr>
              <w:t>13</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ind w:left="380"/>
              <w:spacing w:after="0"/>
              <w:rPr>
                <w:sz w:val="20"/>
                <w:szCs w:val="20"/>
                <w:color w:val="auto"/>
              </w:rPr>
            </w:pPr>
            <w:r>
              <w:rPr>
                <w:rFonts w:ascii="Arial" w:cs="Arial" w:eastAsia="Arial" w:hAnsi="Arial"/>
                <w:sz w:val="18"/>
                <w:szCs w:val="18"/>
                <w:b w:val="1"/>
                <w:bCs w:val="1"/>
                <w:color w:val="auto"/>
                <w:w w:val="88"/>
              </w:rPr>
              <w:t>—</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-839470</wp:posOffset>
            </wp:positionV>
            <wp:extent cx="85725"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-839470</wp:posOffset>
            </wp:positionV>
            <wp:extent cx="85725"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-839470</wp:posOffset>
            </wp:positionV>
            <wp:extent cx="85725"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-839470</wp:posOffset>
            </wp:positionV>
            <wp:extent cx="85725"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-839470</wp:posOffset>
            </wp:positionV>
            <wp:extent cx="85725" cy="1885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-839470</wp:posOffset>
            </wp:positionV>
            <wp:extent cx="85725" cy="1885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-839470</wp:posOffset>
            </wp:positionV>
            <wp:extent cx="93980"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-187960</wp:posOffset>
            </wp:positionV>
            <wp:extent cx="85725" cy="1885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-187960</wp:posOffset>
            </wp:positionV>
            <wp:extent cx="85725"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-187960</wp:posOffset>
            </wp:positionV>
            <wp:extent cx="85725" cy="1885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-187960</wp:posOffset>
            </wp:positionV>
            <wp:extent cx="85725" cy="188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-187960</wp:posOffset>
            </wp:positionV>
            <wp:extent cx="85725" cy="188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-187960</wp:posOffset>
            </wp:positionV>
            <wp:extent cx="85725"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-187960</wp:posOffset>
            </wp:positionV>
            <wp:extent cx="93980"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supplemental fair value information about long term fixed rate and variable rate debt, excluding finance leases, at June 30, 2023 and December 31, 2022:</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60" w:type="dxa"/>
            <w:vAlign w:val="bottom"/>
          </w:tcPr>
          <w:p>
            <w:pPr>
              <w:spacing w:after="0"/>
              <w:rPr>
                <w:sz w:val="15"/>
                <w:szCs w:val="15"/>
                <w:color w:val="auto"/>
              </w:rPr>
            </w:pPr>
          </w:p>
        </w:tc>
        <w:tc>
          <w:tcPr>
            <w:tcW w:w="1340" w:type="dxa"/>
            <w:vAlign w:val="bottom"/>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right"/>
              <w:ind w:right="57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69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56"/>
              <w:spacing w:after="0"/>
              <w:rPr>
                <w:sz w:val="20"/>
                <w:szCs w:val="20"/>
                <w:color w:val="auto"/>
              </w:rPr>
            </w:pPr>
            <w:r>
              <w:rPr>
                <w:rFonts w:ascii="Arial" w:cs="Arial" w:eastAsia="Arial" w:hAnsi="Arial"/>
                <w:sz w:val="14"/>
                <w:szCs w:val="14"/>
                <w:b w:val="1"/>
                <w:bCs w:val="1"/>
                <w:color w:val="auto"/>
              </w:rPr>
              <w:t>2022</w:t>
            </w:r>
          </w:p>
        </w:tc>
      </w:tr>
      <w:tr>
        <w:trPr>
          <w:trHeight w:val="237"/>
        </w:trPr>
        <w:tc>
          <w:tcPr>
            <w:tcW w:w="6960" w:type="dxa"/>
            <w:vAlign w:val="bottom"/>
            <w:shd w:val="clear" w:color="auto" w:fill="CFF0FC"/>
          </w:tcPr>
          <w:p>
            <w:pPr>
              <w:ind w:left="20"/>
              <w:spacing w:after="0" w:line="236" w:lineRule="exact"/>
              <w:rPr>
                <w:sz w:val="20"/>
                <w:szCs w:val="20"/>
                <w:color w:val="auto"/>
              </w:rPr>
            </w:pPr>
            <w:r>
              <w:rPr>
                <w:rFonts w:ascii="Arial" w:cs="Arial" w:eastAsia="Arial" w:hAnsi="Arial"/>
                <w:sz w:val="18"/>
                <w:szCs w:val="18"/>
                <w:b w:val="1"/>
                <w:bCs w:val="1"/>
                <w:color w:val="auto"/>
              </w:rPr>
              <w:t>Fixed Rate Debt:</w:t>
            </w:r>
            <w:r>
              <w:rPr>
                <w:rFonts w:ascii="Arial" w:cs="Arial" w:eastAsia="Arial" w:hAnsi="Arial"/>
                <w:sz w:val="24"/>
                <w:szCs w:val="24"/>
                <w:b w:val="1"/>
                <w:bCs w:val="1"/>
                <w:color w:val="auto"/>
                <w:vertAlign w:val="superscript"/>
              </w:rPr>
              <w:t>(1)</w:t>
            </w:r>
          </w:p>
        </w:tc>
        <w:tc>
          <w:tcPr>
            <w:tcW w:w="13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Carrying amount — liability</w:t>
            </w:r>
          </w:p>
        </w:tc>
        <w:tc>
          <w:tcPr>
            <w:tcW w:w="1340" w:type="dxa"/>
            <w:vAlign w:val="bottom"/>
          </w:tcPr>
          <w:p>
            <w:pPr>
              <w:jc w:val="right"/>
              <w:ind w:right="1159"/>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5,768</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76"/>
              <w:spacing w:after="0"/>
              <w:rPr>
                <w:sz w:val="20"/>
                <w:szCs w:val="20"/>
                <w:color w:val="auto"/>
              </w:rPr>
            </w:pPr>
            <w:r>
              <w:rPr>
                <w:rFonts w:ascii="Arial" w:cs="Arial" w:eastAsia="Arial" w:hAnsi="Arial"/>
                <w:sz w:val="18"/>
                <w:szCs w:val="18"/>
                <w:color w:val="auto"/>
              </w:rPr>
              <w:t>5,766</w:t>
            </w:r>
          </w:p>
        </w:tc>
      </w:tr>
      <w:tr>
        <w:trPr>
          <w:trHeight w:val="249"/>
        </w:trPr>
        <w:tc>
          <w:tcPr>
            <w:tcW w:w="6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 liability</w:t>
            </w:r>
          </w:p>
        </w:tc>
        <w:tc>
          <w:tcPr>
            <w:tcW w:w="134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5,395</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5,198</w:t>
            </w:r>
          </w:p>
        </w:tc>
      </w:tr>
      <w:tr>
        <w:trPr>
          <w:trHeight w:val="243"/>
        </w:trPr>
        <w:tc>
          <w:tcPr>
            <w:tcW w:w="6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3"/>
        </w:trPr>
        <w:tc>
          <w:tcPr>
            <w:tcW w:w="696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b w:val="1"/>
                <w:bCs w:val="1"/>
                <w:color w:val="auto"/>
              </w:rPr>
              <w:t>Variable Rate Debt:</w:t>
            </w:r>
            <w:r>
              <w:rPr>
                <w:rFonts w:ascii="Arial" w:cs="Arial" w:eastAsia="Arial" w:hAnsi="Arial"/>
                <w:sz w:val="24"/>
                <w:szCs w:val="24"/>
                <w:b w:val="1"/>
                <w:bCs w:val="1"/>
                <w:color w:val="auto"/>
                <w:vertAlign w:val="superscript"/>
              </w:rPr>
              <w:t>(1)</w:t>
            </w:r>
          </w:p>
        </w:tc>
        <w:tc>
          <w:tcPr>
            <w:tcW w:w="13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Carrying amount — liability</w:t>
            </w:r>
          </w:p>
        </w:tc>
        <w:tc>
          <w:tcPr>
            <w:tcW w:w="1340" w:type="dxa"/>
            <w:vAlign w:val="bottom"/>
          </w:tcPr>
          <w:p>
            <w:pPr>
              <w:jc w:val="right"/>
              <w:ind w:right="1159"/>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2,249</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76"/>
              <w:spacing w:after="0"/>
              <w:rPr>
                <w:sz w:val="20"/>
                <w:szCs w:val="20"/>
                <w:color w:val="auto"/>
              </w:rPr>
            </w:pPr>
            <w:r>
              <w:rPr>
                <w:rFonts w:ascii="Arial" w:cs="Arial" w:eastAsia="Arial" w:hAnsi="Arial"/>
                <w:sz w:val="18"/>
                <w:szCs w:val="18"/>
                <w:color w:val="auto"/>
              </w:rPr>
              <w:t>1,474</w:t>
            </w:r>
          </w:p>
        </w:tc>
      </w:tr>
      <w:tr>
        <w:trPr>
          <w:trHeight w:val="249"/>
        </w:trPr>
        <w:tc>
          <w:tcPr>
            <w:tcW w:w="6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 liability</w:t>
            </w:r>
          </w:p>
        </w:tc>
        <w:tc>
          <w:tcPr>
            <w:tcW w:w="134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2,191</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1,437</w:t>
            </w:r>
          </w:p>
        </w:tc>
      </w:tr>
    </w:tbl>
    <w:p>
      <w:pPr>
        <w:spacing w:after="0" w:line="40" w:lineRule="exact"/>
        <w:rPr>
          <w:sz w:val="20"/>
          <w:szCs w:val="20"/>
          <w:color w:val="auto"/>
        </w:rPr>
      </w:pPr>
    </w:p>
    <w:p>
      <w:pPr>
        <w:jc w:val="both"/>
        <w:ind w:left="760" w:hanging="752"/>
        <w:spacing w:after="0" w:line="26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Notes Payable and Overdrafts of $539 million and $395 million at June 30, 2023 and December 31, 2022, respectively, of which $190 million and $217 million, respectively, are at fixed rates and $349 million and $178 million, respectively, are at variable rates. The carrying value of Notes Payable and Overdrafts approximates fair value due to the short term nature of the facilities.</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Long term debt with fair values of $5,151 million and $4,946 million at June 30, 2023 and December 31, 2022, respectively, were estimated using quoted Level 1 market prices. The carrying value of the remaining debt was based upon internal estimates of fair value derived from market prices for similar debt.</w:t>
      </w:r>
    </w:p>
    <w:p>
      <w:pPr>
        <w:spacing w:after="0" w:line="120" w:lineRule="exact"/>
        <w:rPr>
          <w:sz w:val="20"/>
          <w:szCs w:val="20"/>
          <w:color w:val="auto"/>
        </w:rPr>
      </w:pPr>
    </w:p>
    <w:p>
      <w:pPr>
        <w:ind w:right="4420"/>
        <w:spacing w:after="0" w:line="391" w:lineRule="auto"/>
        <w:rPr>
          <w:sz w:val="20"/>
          <w:szCs w:val="20"/>
          <w:color w:val="auto"/>
        </w:rPr>
      </w:pPr>
      <w:r>
        <w:rPr>
          <w:rFonts w:ascii="Arial" w:cs="Arial" w:eastAsia="Arial" w:hAnsi="Arial"/>
          <w:sz w:val="18"/>
          <w:szCs w:val="18"/>
          <w:b w:val="1"/>
          <w:bCs w:val="1"/>
          <w:u w:val="single" w:color="auto"/>
          <w:color w:val="auto"/>
        </w:rPr>
        <w:t xml:space="preserve">NOTE 10. PENSION, SAVINGS AND OTHER POSTRETIREMENT BENEFIT PLANS </w:t>
      </w:r>
      <w:r>
        <w:rPr>
          <w:rFonts w:ascii="Arial" w:cs="Arial" w:eastAsia="Arial" w:hAnsi="Arial"/>
          <w:sz w:val="18"/>
          <w:szCs w:val="18"/>
          <w:color w:val="auto"/>
        </w:rPr>
        <w:t>We provide employees with defined benefit pension or defined contribution savings plans. Defined benefit pension cost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w w:val="95"/>
              </w:rPr>
              <w:t>U.S.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w w:val="95"/>
              </w:rPr>
              <w:t>U.S.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60"/>
        </w:trPr>
        <w:tc>
          <w:tcPr>
            <w:tcW w:w="45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4"/>
          </w:tcPr>
          <w:p>
            <w:pPr>
              <w:jc w:val="right"/>
              <w:ind w:right="592"/>
              <w:spacing w:after="0" w:line="160" w:lineRule="exact"/>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4"/>
          </w:tcPr>
          <w:p>
            <w:pPr>
              <w:jc w:val="right"/>
              <w:ind w:right="672"/>
              <w:spacing w:after="0" w:line="160" w:lineRule="exact"/>
              <w:rPr>
                <w:sz w:val="20"/>
                <w:szCs w:val="20"/>
                <w:color w:val="auto"/>
              </w:rPr>
            </w:pPr>
            <w:r>
              <w:rPr>
                <w:rFonts w:ascii="Arial" w:cs="Arial" w:eastAsia="Arial" w:hAnsi="Arial"/>
                <w:sz w:val="14"/>
                <w:szCs w:val="14"/>
                <w:b w:val="1"/>
                <w:bCs w:val="1"/>
                <w:color w:val="auto"/>
              </w:rPr>
              <w:t>Six Months Ended</w:t>
            </w:r>
          </w:p>
        </w:tc>
      </w:tr>
      <w:tr>
        <w:trPr>
          <w:trHeight w:val="176"/>
        </w:trPr>
        <w:tc>
          <w:tcPr>
            <w:tcW w:w="4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5"/>
                <w:szCs w:val="15"/>
                <w:color w:val="auto"/>
              </w:rPr>
            </w:pPr>
          </w:p>
        </w:tc>
      </w:tr>
      <w:tr>
        <w:trPr>
          <w:trHeight w:val="185"/>
        </w:trPr>
        <w:tc>
          <w:tcPr>
            <w:tcW w:w="45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r>
      <w:tr>
        <w:trPr>
          <w:trHeight w:val="236"/>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cost</w:t>
            </w:r>
          </w:p>
        </w:tc>
        <w:tc>
          <w:tcPr>
            <w:tcW w:w="14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w:t>
            </w: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60</w:t>
            </w:r>
          </w:p>
        </w:tc>
      </w:tr>
      <w:tr>
        <w:trPr>
          <w:trHeight w:val="249"/>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return on plan assets</w:t>
            </w:r>
          </w:p>
        </w:tc>
        <w:tc>
          <w:tcPr>
            <w:tcW w:w="1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(53 )</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(105 )</w:t>
            </w: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rPr>
              <w:t>Amortization of net losses</w:t>
            </w:r>
          </w:p>
        </w:tc>
        <w:tc>
          <w:tcPr>
            <w:tcW w:w="1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51</w:t>
            </w:r>
          </w:p>
        </w:tc>
      </w:tr>
      <w:tr>
        <w:trPr>
          <w:trHeight w:val="24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periodic pension cost</w:t>
            </w:r>
          </w:p>
        </w:tc>
        <w:tc>
          <w:tcPr>
            <w:tcW w:w="14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jc w:val="right"/>
              <w:ind w:right="57"/>
              <w:spacing w:after="0"/>
              <w:rPr>
                <w:sz w:val="20"/>
                <w:szCs w:val="20"/>
                <w:color w:val="auto"/>
              </w:rPr>
            </w:pPr>
            <w:r>
              <w:rPr>
                <w:rFonts w:ascii="Arial" w:cs="Arial" w:eastAsia="Arial" w:hAnsi="Arial"/>
                <w:sz w:val="18"/>
                <w:szCs w:val="18"/>
                <w:b w:val="1"/>
                <w:bCs w:val="1"/>
                <w:color w:val="auto"/>
              </w:rPr>
              <w:t>18</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jc w:val="right"/>
              <w:ind w:right="57"/>
              <w:spacing w:after="0"/>
              <w:rPr>
                <w:sz w:val="20"/>
                <w:szCs w:val="20"/>
                <w:color w:val="auto"/>
              </w:rPr>
            </w:pPr>
            <w:r>
              <w:rPr>
                <w:rFonts w:ascii="Arial" w:cs="Arial" w:eastAsia="Arial" w:hAnsi="Arial"/>
                <w:sz w:val="18"/>
                <w:szCs w:val="18"/>
                <w:b w:val="1"/>
                <w:bCs w:val="1"/>
                <w:color w:val="auto"/>
              </w:rPr>
              <w:t>36</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13</w:t>
            </w: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rPr>
              <w:t>Net curtailments/settlements/termination benefits</w:t>
            </w:r>
          </w:p>
        </w:tc>
        <w:tc>
          <w:tcPr>
            <w:tcW w:w="1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w:t>
            </w:r>
          </w:p>
        </w:tc>
      </w:tr>
      <w:tr>
        <w:trPr>
          <w:trHeight w:val="279"/>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defined benefit pension cost</w:t>
            </w:r>
          </w:p>
        </w:tc>
        <w:tc>
          <w:tcPr>
            <w:tcW w:w="14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b w:val="1"/>
                <w:bCs w:val="1"/>
                <w:color w:val="auto"/>
              </w:rPr>
              <w:t>51</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23</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b w:val="1"/>
                <w:bCs w:val="1"/>
                <w:color w:val="auto"/>
              </w:rPr>
              <w:t>69</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31</w:t>
            </w:r>
          </w:p>
        </w:tc>
      </w:tr>
      <w:tr>
        <w:trPr>
          <w:trHeight w:val="633"/>
        </w:trPr>
        <w:tc>
          <w:tcPr>
            <w:tcW w:w="4560" w:type="dxa"/>
            <w:vAlign w:val="bottom"/>
          </w:tcPr>
          <w:p>
            <w:pPr>
              <w:spacing w:after="0"/>
              <w:rPr>
                <w:sz w:val="24"/>
                <w:szCs w:val="24"/>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01"/>
        </w:trPr>
        <w:tc>
          <w:tcPr>
            <w:tcW w:w="45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-513715</wp:posOffset>
            </wp:positionV>
            <wp:extent cx="1028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-496570</wp:posOffset>
            </wp:positionV>
            <wp:extent cx="1028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-513715</wp:posOffset>
            </wp:positionV>
            <wp:extent cx="1028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-496570</wp:posOffset>
            </wp:positionV>
            <wp:extent cx="1028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-513715</wp:posOffset>
            </wp:positionV>
            <wp:extent cx="1028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-496570</wp:posOffset>
            </wp:positionV>
            <wp:extent cx="1028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Non-U.S.</w:t>
            </w:r>
          </w:p>
        </w:tc>
        <w:tc>
          <w:tcPr>
            <w:tcW w:w="9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Non-U.S.</w:t>
            </w:r>
          </w:p>
        </w:tc>
        <w:tc>
          <w:tcPr>
            <w:tcW w:w="940" w:type="dxa"/>
            <w:vAlign w:val="bottom"/>
            <w:tcBorders>
              <w:bottom w:val="single" w:sz="8" w:color="auto"/>
            </w:tcBorders>
          </w:tcPr>
          <w:p>
            <w:pPr>
              <w:spacing w:after="0"/>
              <w:rPr>
                <w:sz w:val="16"/>
                <w:szCs w:val="16"/>
                <w:color w:val="auto"/>
              </w:rPr>
            </w:pPr>
          </w:p>
        </w:tc>
      </w:tr>
      <w:tr>
        <w:trPr>
          <w:trHeight w:val="160"/>
        </w:trPr>
        <w:tc>
          <w:tcPr>
            <w:tcW w:w="6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4"/>
          </w:tcPr>
          <w:p>
            <w:pPr>
              <w:jc w:val="right"/>
              <w:ind w:right="592"/>
              <w:spacing w:after="0" w:line="160" w:lineRule="exact"/>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4"/>
          </w:tcPr>
          <w:p>
            <w:pPr>
              <w:jc w:val="right"/>
              <w:ind w:right="672"/>
              <w:spacing w:after="0" w:line="160" w:lineRule="exact"/>
              <w:rPr>
                <w:sz w:val="20"/>
                <w:szCs w:val="20"/>
                <w:color w:val="auto"/>
              </w:rPr>
            </w:pPr>
            <w:r>
              <w:rPr>
                <w:rFonts w:ascii="Arial" w:cs="Arial" w:eastAsia="Arial" w:hAnsi="Arial"/>
                <w:sz w:val="14"/>
                <w:szCs w:val="14"/>
                <w:b w:val="1"/>
                <w:bCs w:val="1"/>
                <w:color w:val="auto"/>
              </w:rPr>
              <w:t>Six Months Ended</w:t>
            </w:r>
          </w:p>
        </w:tc>
      </w:tr>
      <w:tr>
        <w:trPr>
          <w:trHeight w:val="175"/>
        </w:trPr>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5"/>
                <w:szCs w:val="15"/>
                <w:color w:val="auto"/>
              </w:rPr>
            </w:pPr>
          </w:p>
        </w:tc>
      </w:tr>
      <w:tr>
        <w:trPr>
          <w:trHeight w:val="185"/>
        </w:trPr>
        <w:tc>
          <w:tcPr>
            <w:tcW w:w="60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r>
      <w:tr>
        <w:trPr>
          <w:trHeight w:val="237"/>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w:t>
            </w: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0"/>
                <w:szCs w:val="20"/>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32</w:t>
            </w:r>
          </w:p>
        </w:tc>
      </w:tr>
      <w:tr>
        <w:trPr>
          <w:trHeight w:val="249"/>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(35 )</w:t>
            </w: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tcPr>
          <w:p>
            <w:pPr>
              <w:spacing w:after="0"/>
              <w:rPr>
                <w:sz w:val="20"/>
                <w:szCs w:val="20"/>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w:t>
            </w:r>
          </w:p>
        </w:tc>
      </w:tr>
      <w:tr>
        <w:trPr>
          <w:trHeight w:val="243"/>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Amortization of net losses</w:t>
            </w: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11</w:t>
            </w:r>
          </w:p>
        </w:tc>
      </w:tr>
      <w:tr>
        <w:trPr>
          <w:trHeight w:val="238"/>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Net periodic pension cost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56"/>
              <w:spacing w:after="0"/>
              <w:rPr>
                <w:sz w:val="20"/>
                <w:szCs w:val="20"/>
                <w:color w:val="auto"/>
              </w:rPr>
            </w:pPr>
            <w:r>
              <w:rPr>
                <w:rFonts w:ascii="Arial" w:cs="Arial" w:eastAsia="Arial" w:hAnsi="Arial"/>
                <w:sz w:val="18"/>
                <w:szCs w:val="18"/>
                <w:b w:val="1"/>
                <w:bCs w:val="1"/>
                <w:color w:val="auto"/>
              </w:rPr>
              <w:t>13</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11</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6"/>
              <w:spacing w:after="0"/>
              <w:rPr>
                <w:sz w:val="20"/>
                <w:szCs w:val="20"/>
                <w:color w:val="auto"/>
              </w:rPr>
            </w:pPr>
            <w:r>
              <w:rPr>
                <w:rFonts w:ascii="Arial" w:cs="Arial" w:eastAsia="Arial" w:hAnsi="Arial"/>
                <w:sz w:val="18"/>
                <w:szCs w:val="18"/>
                <w:b w:val="1"/>
                <w:bCs w:val="1"/>
                <w:color w:val="auto"/>
              </w:rPr>
              <w:t>27</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21</w:t>
            </w:r>
          </w:p>
        </w:tc>
      </w:tr>
      <w:tr>
        <w:trPr>
          <w:trHeight w:val="241"/>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curtailments/settlements/termination benefits</w:t>
            </w: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38"/>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Total defined benefit pension cost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56"/>
              <w:spacing w:after="0"/>
              <w:rPr>
                <w:sz w:val="20"/>
                <w:szCs w:val="20"/>
                <w:color w:val="auto"/>
              </w:rPr>
            </w:pPr>
            <w:r>
              <w:rPr>
                <w:rFonts w:ascii="Arial" w:cs="Arial" w:eastAsia="Arial" w:hAnsi="Arial"/>
                <w:sz w:val="18"/>
                <w:szCs w:val="18"/>
                <w:b w:val="1"/>
                <w:bCs w:val="1"/>
                <w:color w:val="auto"/>
              </w:rPr>
              <w:t>16</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11</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6"/>
              <w:spacing w:after="0"/>
              <w:rPr>
                <w:sz w:val="20"/>
                <w:szCs w:val="20"/>
                <w:color w:val="auto"/>
              </w:rPr>
            </w:pPr>
            <w:r>
              <w:rPr>
                <w:rFonts w:ascii="Arial" w:cs="Arial" w:eastAsia="Arial" w:hAnsi="Arial"/>
                <w:sz w:val="18"/>
                <w:szCs w:val="18"/>
                <w:b w:val="1"/>
                <w:bCs w:val="1"/>
                <w:color w:val="auto"/>
              </w:rPr>
              <w:t>30</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21</w:t>
            </w:r>
          </w:p>
        </w:tc>
      </w:tr>
      <w:tr>
        <w:trPr>
          <w:trHeight w:val="20"/>
        </w:trPr>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-505460</wp:posOffset>
            </wp:positionV>
            <wp:extent cx="102870" cy="1631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-505460</wp:posOffset>
            </wp:positionV>
            <wp:extent cx="102870" cy="1631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-505460</wp:posOffset>
            </wp:positionV>
            <wp:extent cx="102870" cy="1631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-187960</wp:posOffset>
            </wp:positionV>
            <wp:extent cx="102870"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-187960</wp:posOffset>
            </wp:positionV>
            <wp:extent cx="102870"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-187960</wp:posOffset>
            </wp:positionV>
            <wp:extent cx="102870"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2870" cy="188595"/>
                    </a:xfrm>
                    <a:prstGeom prst="rect">
                      <a:avLst/>
                    </a:prstGeom>
                    <a:noFill/>
                  </pic:spPr>
                </pic:pic>
              </a:graphicData>
            </a:graphic>
          </wp:anchor>
        </w:drawing>
      </w:r>
    </w:p>
    <w:p>
      <w:pPr>
        <w:spacing w:after="0" w:line="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Service cost is recorded in CGS or SAG. Other components of net periodic pension cost are recorded in Other (Income) Expense. Net curtailments, settlements and termination benefits, if any, are recorded in Other (Income) Expense or Rationalizations if related to a rationalization plan.</w:t>
      </w:r>
    </w:p>
    <w:p>
      <w:pPr>
        <w:spacing w:after="0" w:line="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second quarter of 2023, we settled all plan benefits of the Cooper Tire U.S. Salaried defined benefit pension plan, with lump sum payments to electing participants and the purchase of a group annuity contract. After settlement, we currently estimate that excess plan assets of approximately $18 million will be used to fund future obligations associated with our U.S. Salaried defined contribution savings plan. During the second quarter of 2023, we also settled all plan benefits of the Ireland defined benefit pension plan. In the second quarter and first six months of 2023, pension settlement charges of $36 million were recorded in Other (Income) Expense in conjunction with the termination of these plans.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second quarter and first six months of 2022, pension settlement charges of $18 million were recorded in Other (Income) Expense. The settlement charges resulted from total lump sum payments exceeding annual service and interest cost of the applicable plans.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May 1, 2023, our Canadian salaried pension plan was frozen to future accruals for participants who met defined age and service criteria, and replaced with employer contributions to a defined contribution savings plan.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provide certain U.S. employees and employees at certain non-U.S. subsidiaries with health care benefits or life insurance benefits upon retirement. Other postretirement benefits expense for the three months ended June 30, 2023 and 2022 was $2 million and $4 million, respectively, and for the six months ended June 30, 2023 and 2022 was $4 million and $8 million, respectively.</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contribute $25 million to $50 million to our funded non-U.S. pension plans in 2023. For the three and six months ended June 30, 2023, we contributed $11 million and $22 million, respectively, to our non-U.S. plans.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expense recognized for our contributions to defined contribution savings plans for the three months ended June 30, 2023 and 2022 was $32 million and $31 million, respectively, and for the six months ended June 30, 2023 and 2022 was $67 million and $66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STOCK COMPENSATION PLANS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granted 1.1 million restricted stock units and 0.4 million performance share units during the six months ended June 30, 2023 under our stock compensation plans. We measure the fair value of grants of restricted stock units and performance share units based primarily on the closing market price of a share of our common stock on the date of the grant, modified as appropriate to take into account the features of such grants. The weighted average fair value per share was $11.25 for restricted stock units and $11.48 for performance share units granted during the six months ended June 30, 2023.</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recognized stock-based compensation expense of $11 million and $16 million during the three and six months ended June 30, 2023, respectively. At June 30, 2023, unearned compensation cost related to the unvested portion of all stock-based awards was approximately $25 million and is expected to be recognized over the remaining vesting period of the respective grants, through the first quarter of 2026. We recognized stock-based compensation expense of $8 million and $13 million during the three and six months ended June 30, 2022,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COMMITMENTS AND CONTINGENT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recorded liabilities totaling $79 million and $80 million at June 30, 2023 and December 31, 2022, respectively, for anticipated costs related to various environmental matters, primarily the remediation of numerous waste disposal sites and certain properties sold by us. Of these amounts, $23 million and $20 million were included in Other Current Liabilities at June 30, 2023 and December 31, 2022, respectively.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Workers’ Compensation</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recorded liabilities, on a discounted basis, totaling $188 million and $187 million for anticipated costs related to workers’ compensation at June 30, 2023 and December 31, 2022, respectively. Of these amounts, $33 million and $37 million were included in Current Liabilities as part of Compensation and Benefits at June 30, 2023 and December 31, 2022,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At June 30, 2023 and December 31, 2022, the liability was discounted using a risk-free rate of return. At June 30, 2023, we estimate that it is reasonably possible that the liability could exceed our recorded amounts by approximately $25 million.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Product Liability and Other Litigation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recorded liabilities for both asserted and unasserted claims totaling $442 million and $412 million, including related legal fees expected to be incurred, for potential product liability and other tort claims, including asbestos claims, at June 30, 2023 and December 31, 2022, respectively. Of these amounts, $49 million and $39 million were included in Other Current Liabilities at June 30, 2023 and December 31, 2022, respectively. The amounts recorded were estimated based on an assessment of potential liability using an analysis of available information with respect to pending claims, historical experience and, where available, recent and current trends. Based upon that assessment, at June 30, 2023,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recorded an indemnification asset within Accounts Receivable of $1 million and within Other Assets of $20 million for Sumitomo Rubber Industries, Ltd.'s ("SRI") obligation to indemnify us for certain product liability claims related to products manufactured by a formerly consolidated joint venture entity, subject to certain caps and restrictions.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Asbestos. </w:t>
      </w:r>
      <w:r>
        <w:rPr>
          <w:rFonts w:ascii="Arial" w:cs="Arial" w:eastAsia="Arial" w:hAnsi="Arial"/>
          <w:sz w:val="17"/>
          <w:szCs w:val="17"/>
          <w:color w:val="auto"/>
        </w:rPr>
        <w:t>We are a defendant in numerous lawsuits alleging various asbestos-related personal injuries purported to result from alleged exposure to asbestos</w:t>
      </w:r>
      <w:r>
        <w:rPr>
          <w:rFonts w:ascii="Arial" w:cs="Arial" w:eastAsia="Arial" w:hAnsi="Arial"/>
          <w:sz w:val="17"/>
          <w:szCs w:val="17"/>
          <w:b w:val="1"/>
          <w:bCs w:val="1"/>
          <w:color w:val="auto"/>
        </w:rPr>
        <w:t xml:space="preserve"> </w:t>
      </w:r>
      <w:r>
        <w:rPr>
          <w:rFonts w:ascii="Arial" w:cs="Arial" w:eastAsia="Arial" w:hAnsi="Arial"/>
          <w:sz w:val="17"/>
          <w:szCs w:val="17"/>
          <w:color w:val="auto"/>
        </w:rPr>
        <w:t>in certain products manufactured by us or present in certain of our facilities. Typically, these lawsuits have been brought against multiple defendants in state and federal courts. To date, we have disposed of approximately 158,200 claims by defending, obtaining the dismissal thereof, or entering into a settlement. The sum of our accrued asbestos-related liability and gross payments to date, including legal costs, by us and our insurers totaled approximately $578 million through June 30, 2023 and $570 million through December 31, 2022.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 summary of recent approximate asbestos claims activity follows. Because claims are often filed and disposed of by settlement or dismissal in large numbers, the amount and timing of filings, settlements and dismissals and the number of open claims during a particular period can fluctuate significantly.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tcPr>
          <w:p>
            <w:pPr>
              <w:jc w:val="right"/>
              <w:ind w:right="435"/>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tcPr>
          <w:p>
            <w:pPr>
              <w:jc w:val="right"/>
              <w:ind w:right="635"/>
              <w:spacing w:after="0"/>
              <w:rPr>
                <w:sz w:val="20"/>
                <w:szCs w:val="20"/>
                <w:color w:val="auto"/>
              </w:rPr>
            </w:pPr>
            <w:r>
              <w:rPr>
                <w:rFonts w:ascii="Arial" w:cs="Arial" w:eastAsia="Arial" w:hAnsi="Arial"/>
                <w:sz w:val="14"/>
                <w:szCs w:val="14"/>
                <w:b w:val="1"/>
                <w:bCs w:val="1"/>
                <w:color w:val="auto"/>
              </w:rPr>
              <w:t>Year Ended</w:t>
            </w:r>
          </w:p>
        </w:tc>
      </w:tr>
      <w:tr>
        <w:trPr>
          <w:trHeight w:val="185"/>
        </w:trPr>
        <w:tc>
          <w:tcPr>
            <w:tcW w:w="69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December 31, 2022</w:t>
            </w:r>
          </w:p>
        </w:tc>
      </w:tr>
      <w:tr>
        <w:trPr>
          <w:trHeight w:val="237"/>
        </w:trPr>
        <w:tc>
          <w:tcPr>
            <w:tcW w:w="6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Pending claims, beginning of period</w:t>
            </w:r>
          </w:p>
        </w:tc>
        <w:tc>
          <w:tcPr>
            <w:tcW w:w="240" w:type="dxa"/>
            <w:vAlign w:val="bottom"/>
            <w:shd w:val="clear" w:color="auto" w:fill="CFF0FC"/>
          </w:tcPr>
          <w:p>
            <w:pPr>
              <w:spacing w:after="0"/>
              <w:rPr>
                <w:sz w:val="20"/>
                <w:szCs w:val="20"/>
                <w:color w:val="auto"/>
              </w:rPr>
            </w:pPr>
          </w:p>
        </w:tc>
        <w:tc>
          <w:tcPr>
            <w:tcW w:w="180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37,200</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0" w:type="dxa"/>
            <w:vAlign w:val="bottom"/>
            <w:shd w:val="clear" w:color="auto" w:fill="CFF0FC"/>
          </w:tcPr>
          <w:p>
            <w:pPr>
              <w:jc w:val="right"/>
              <w:ind w:right="75"/>
              <w:spacing w:after="0"/>
              <w:rPr>
                <w:sz w:val="20"/>
                <w:szCs w:val="20"/>
                <w:color w:val="auto"/>
              </w:rPr>
            </w:pPr>
            <w:r>
              <w:rPr>
                <w:rFonts w:ascii="Arial" w:cs="Arial" w:eastAsia="Arial" w:hAnsi="Arial"/>
                <w:sz w:val="18"/>
                <w:szCs w:val="18"/>
                <w:b w:val="1"/>
                <w:bCs w:val="1"/>
                <w:color w:val="auto"/>
              </w:rPr>
              <w:t>38,200</w:t>
            </w: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New claims filed</w:t>
            </w:r>
          </w:p>
        </w:tc>
        <w:tc>
          <w:tcPr>
            <w:tcW w:w="240" w:type="dxa"/>
            <w:vAlign w:val="bottom"/>
          </w:tcPr>
          <w:p>
            <w:pPr>
              <w:spacing w:after="0"/>
              <w:rPr>
                <w:sz w:val="20"/>
                <w:szCs w:val="20"/>
                <w:color w:val="auto"/>
              </w:rPr>
            </w:pPr>
          </w:p>
        </w:tc>
        <w:tc>
          <w:tcPr>
            <w:tcW w:w="1800" w:type="dxa"/>
            <w:vAlign w:val="bottom"/>
          </w:tcPr>
          <w:p>
            <w:pPr>
              <w:jc w:val="right"/>
              <w:ind w:right="55"/>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75"/>
              <w:spacing w:after="0"/>
              <w:rPr>
                <w:sz w:val="20"/>
                <w:szCs w:val="20"/>
                <w:color w:val="auto"/>
              </w:rPr>
            </w:pPr>
            <w:r>
              <w:rPr>
                <w:rFonts w:ascii="Arial" w:cs="Arial" w:eastAsia="Arial" w:hAnsi="Arial"/>
                <w:sz w:val="18"/>
                <w:szCs w:val="18"/>
                <w:color w:val="auto"/>
              </w:rPr>
              <w:t>900</w:t>
            </w:r>
          </w:p>
        </w:tc>
      </w:tr>
      <w:tr>
        <w:trPr>
          <w:trHeight w:val="243"/>
        </w:trPr>
        <w:tc>
          <w:tcPr>
            <w:tcW w:w="6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Claims settled/dismissed</w:t>
            </w:r>
          </w:p>
        </w:tc>
        <w:tc>
          <w:tcPr>
            <w:tcW w:w="24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(600 )</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(1,900 )</w:t>
            </w:r>
          </w:p>
        </w:tc>
      </w:tr>
      <w:tr>
        <w:trPr>
          <w:trHeight w:val="238"/>
        </w:trPr>
        <w:tc>
          <w:tcPr>
            <w:tcW w:w="6960" w:type="dxa"/>
            <w:vAlign w:val="bottom"/>
          </w:tcPr>
          <w:p>
            <w:pPr>
              <w:ind w:left="20"/>
              <w:spacing w:after="0"/>
              <w:rPr>
                <w:sz w:val="20"/>
                <w:szCs w:val="20"/>
                <w:color w:val="auto"/>
              </w:rPr>
            </w:pPr>
            <w:r>
              <w:rPr>
                <w:rFonts w:ascii="Arial" w:cs="Arial" w:eastAsia="Arial" w:hAnsi="Arial"/>
                <w:sz w:val="18"/>
                <w:szCs w:val="18"/>
                <w:b w:val="1"/>
                <w:bCs w:val="1"/>
                <w:color w:val="auto"/>
              </w:rPr>
              <w:t>Pending claims, end of period</w:t>
            </w: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37,000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37,200</w:t>
            </w:r>
          </w:p>
        </w:tc>
      </w:tr>
      <w:tr>
        <w:trPr>
          <w:trHeight w:val="20"/>
        </w:trPr>
        <w:tc>
          <w:tcPr>
            <w:tcW w:w="6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68"/>
        </w:trPr>
        <w:tc>
          <w:tcPr>
            <w:tcW w:w="6960" w:type="dxa"/>
            <w:vAlign w:val="bottom"/>
            <w:tcBorders>
              <w:bottom w:val="single" w:sz="8" w:color="CFF0FC"/>
            </w:tcBorders>
            <w:shd w:val="clear" w:color="auto" w:fill="CFF0FC"/>
          </w:tcPr>
          <w:p>
            <w:pPr>
              <w:ind w:left="20"/>
              <w:spacing w:after="0" w:line="228" w:lineRule="exact"/>
              <w:rPr>
                <w:sz w:val="20"/>
                <w:szCs w:val="20"/>
                <w:color w:val="auto"/>
              </w:rPr>
            </w:pPr>
            <w:r>
              <w:rPr>
                <w:rFonts w:ascii="Arial" w:cs="Arial" w:eastAsia="Arial" w:hAnsi="Arial"/>
                <w:sz w:val="18"/>
                <w:szCs w:val="18"/>
                <w:color w:val="auto"/>
              </w:rPr>
              <w:t>Payments</w:t>
            </w:r>
            <w:r>
              <w:rPr>
                <w:rFonts w:ascii="Arial" w:cs="Arial" w:eastAsia="Arial" w:hAnsi="Arial"/>
                <w:sz w:val="24"/>
                <w:szCs w:val="24"/>
                <w:color w:val="auto"/>
                <w:vertAlign w:val="superscript"/>
              </w:rPr>
              <w:t>(1)</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-367665</wp:posOffset>
            </wp:positionV>
            <wp:extent cx="128905"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12890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12890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 w:lineRule="exact"/>
        <w:rPr>
          <w:sz w:val="20"/>
          <w:szCs w:val="20"/>
          <w:color w:val="auto"/>
        </w:rPr>
      </w:pPr>
    </w:p>
    <w:p>
      <w:pPr>
        <w:ind w:left="760" w:hanging="75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cash payments made during the period by us and our insurers for asbestos litigation defense and claim resolution.</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$124 million and $125 million at June 30, 2023 and December 31, 2022, respectively.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with respect to such policies when we determine that recovery is probable and we can reasonably estimate the amount of a particular recovery.</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recorded an insurance receivable related to asbestos claims of $69 million and $70 million at June 30, 2023 and December 31, 2022, respectively. We expect that approximately 55% of asbestos claim related losses would be recoverable through insurance during the ten-year period covered by the estimated liability. Of these amounts, $11 million was included in Current Assets as part of Accounts Receivable at both June 30, 2023 and December 31, 2022. The recorded receivable consists of an amount we expect to collect under coverage-in-place agreements with certain primary and excess insurance carriers as well as an amount we believe is probable of recovery from certain of our other excess insurance carriers.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at December 31, 2022, we had approximately $530 million in excess level policy limits applicable to indemnity and defense costs for asbestos products claims under coverage-in-place agreements. We also had additional unsettled excess level policy limits potentially applicable to such costs. In addition, we had coverage under certain primary policies for indemnity and defense costs for asbestos products claims under remaining aggregate limits pursuant to a coverage-in-place agreement, as well as coverage for indemnity and defense costs for asbestos premises claims pursuant to coverage-in-place agreements.</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 exposure), alleged date of first exposure to our products or premises and disease alleged. Recoveries may also be limited by insurer insolvencies or financial difficulties. Depending upon the nature of these characteristics or events, as well as the resolution of certain legal issues, some portion of the insurance may not be accessible by us.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 and the estimates are revised, if necessary. Based on currently available information, management believes that the ultimate outcome of these matters, individually and in the aggregate, will not have a material adverse effect on our financial position or overall trends in results of operations.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Matters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 to the extent the settlement amount is lower than recorded liabilities and, in the case of an income tax settlement, would result in a reduction in our effective tax rate in the period of resolution.</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Company applies consistent transfer pricing policies and practices globally, supports transfer prices through economic studies, seeks advance pricing agreements and joint audits to the extent possible and believes its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Binding Commitments and Guarantees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off-balance sheet financial guarantees and other commitments totaling $32 million at both June 30, 2023 and December 31, 2022. We issue guarantees to financial institutions or other entities on behalf of certain of our affiliates, lessors or customers. We generally do not require collateral in connection with the issuance of these guarantees.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2015, as a result of the dissolution of the global alliance with SRI, we issued a guarantee of $46 million to an insurance company related to SRI's obligation to pay certain outstanding workers' compensation claims of a formerly consolidated joint venture entity. As of June 30, 2023, this guarantee amount has been reduced to $17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our performance under these guarantees is triggered by non-payment or another specified event, we would be obligated to make payment to the financial institution or the other entity, and would typically have recourse to the affiliate, lessor, customer or SRI, as applicable. We are unable to estimate the extent to which our lessors’, customers’ or SRI's assets would be adequate to recover any payments made by us under the related guarantees.</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an agreement to provide a revolving loan commitment to TireHub of up to $100 million. At June 30, 2023 and December 31, 2022, $82 million and $17 million was drawn on this commitment,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CAPITAL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may repurchase shares delivered to us by employees as payment for the exercise price of stock options and the withholding taxes due upon the exercise of stock options or the vesting or payment of stock awards. During the first six months of 2023, we did not repurchase any shares from employees.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changes in AOCL, by component, for the six months ended June 30, 2023 and 2022, after tax and minority interest.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202"/>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Unrecognized</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6"/>
              </w:rPr>
              <w:t>Unrealized Gains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Net Actuarial</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center"/>
              <w:ind w:left="122"/>
              <w:spacing w:after="0"/>
              <w:rPr>
                <w:sz w:val="20"/>
                <w:szCs w:val="20"/>
                <w:color w:val="auto"/>
              </w:rPr>
            </w:pPr>
            <w:r>
              <w:rPr>
                <w:rFonts w:ascii="Arial" w:cs="Arial" w:eastAsia="Arial" w:hAnsi="Arial"/>
                <w:sz w:val="14"/>
                <w:szCs w:val="14"/>
                <w:b w:val="1"/>
                <w:bCs w:val="1"/>
                <w:color w:val="auto"/>
                <w:w w:val="97"/>
              </w:rPr>
              <w:t>Deferred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22"/>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Losses and</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22"/>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11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(Losses) from</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Prior Service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left="122"/>
              <w:spacing w:after="0" w:line="149" w:lineRule="exact"/>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00" w:type="dxa"/>
            <w:vAlign w:val="bottom"/>
          </w:tcPr>
          <w:p>
            <w:pPr>
              <w:ind w:left="20"/>
              <w:spacing w:after="0"/>
              <w:rPr>
                <w:sz w:val="20"/>
                <w:szCs w:val="20"/>
                <w:color w:val="auto"/>
              </w:rPr>
            </w:pPr>
            <w:r>
              <w:rPr>
                <w:rFonts w:ascii="Arial" w:cs="Arial" w:eastAsia="Arial" w:hAnsi="Arial"/>
                <w:sz w:val="14"/>
                <w:szCs w:val="14"/>
                <w:i w:val="1"/>
                <w:iCs w:val="1"/>
                <w:color w:val="auto"/>
              </w:rPr>
              <w:t>(In millions) Income (Loss)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02"/>
              <w:spacing w:after="0"/>
              <w:rPr>
                <w:sz w:val="20"/>
                <w:szCs w:val="20"/>
                <w:color w:val="auto"/>
              </w:rPr>
            </w:pPr>
            <w:r>
              <w:rPr>
                <w:rFonts w:ascii="Arial" w:cs="Arial" w:eastAsia="Arial" w:hAnsi="Arial"/>
                <w:sz w:val="14"/>
                <w:szCs w:val="14"/>
                <w:b w:val="1"/>
                <w:bCs w:val="1"/>
                <w:color w:val="auto"/>
                <w:w w:val="93"/>
              </w:rPr>
              <w:t>Adjustment</w:t>
            </w:r>
          </w:p>
        </w:tc>
        <w:tc>
          <w:tcPr>
            <w:tcW w:w="140" w:type="dxa"/>
            <w:vAlign w:val="bottom"/>
          </w:tcPr>
          <w:p>
            <w:pPr>
              <w:spacing w:after="0"/>
              <w:rPr>
                <w:sz w:val="16"/>
                <w:szCs w:val="16"/>
                <w:color w:val="auto"/>
              </w:rPr>
            </w:pPr>
          </w:p>
        </w:tc>
        <w:tc>
          <w:tcPr>
            <w:tcW w:w="940" w:type="dxa"/>
            <w:vAlign w:val="bottom"/>
            <w:tcBorders>
              <w:bottom w:val="single" w:sz="8" w:color="auto"/>
            </w:tcBorders>
            <w:gridSpan w:val="3"/>
          </w:tcPr>
          <w:p>
            <w:pPr>
              <w:jc w:val="center"/>
              <w:ind w:left="99"/>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7"/>
              </w:rPr>
              <w:t>Costs</w:t>
            </w: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7"/>
              </w:rPr>
              <w:t>Gains (Losses)</w:t>
            </w: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(1,663 )</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(2,215 )</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(3,875 )</w:t>
            </w:r>
          </w:p>
        </w:tc>
        <w:tc>
          <w:tcPr>
            <w:tcW w:w="0" w:type="dxa"/>
            <w:vAlign w:val="bottom"/>
          </w:tcPr>
          <w:p>
            <w:pPr>
              <w:spacing w:after="0"/>
              <w:rPr>
                <w:sz w:val="1"/>
                <w:szCs w:val="1"/>
                <w:color w:val="auto"/>
              </w:rPr>
            </w:pPr>
          </w:p>
        </w:tc>
      </w:tr>
      <w:tr>
        <w:trPr>
          <w:trHeight w:val="215"/>
        </w:trPr>
        <w:tc>
          <w:tcPr>
            <w:tcW w:w="4300" w:type="dxa"/>
            <w:vAlign w:val="bottom"/>
          </w:tcPr>
          <w:p>
            <w:pPr>
              <w:ind w:left="12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00" w:type="dxa"/>
            <w:vAlign w:val="bottom"/>
          </w:tcPr>
          <w:p>
            <w:pPr>
              <w:ind w:left="12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20"/>
                <w:szCs w:val="20"/>
                <w:color w:val="auto"/>
              </w:rPr>
            </w:pPr>
          </w:p>
        </w:tc>
        <w:tc>
          <w:tcPr>
            <w:tcW w:w="1120" w:type="dxa"/>
            <w:vAlign w:val="bottom"/>
            <w:gridSpan w:val="2"/>
          </w:tcPr>
          <w:p>
            <w:pPr>
              <w:jc w:val="right"/>
              <w:ind w:right="62"/>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1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(4 )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2"/>
        </w:trPr>
        <w:tc>
          <w:tcPr>
            <w:tcW w:w="4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40" w:type="dxa"/>
            <w:vAlign w:val="bottom"/>
            <w:vMerge w:val="restart"/>
            <w:shd w:val="clear" w:color="auto" w:fill="CFF0FC"/>
          </w:tcPr>
          <w:p>
            <w:pPr>
              <w:jc w:val="right"/>
              <w:ind w:right="6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3"/>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69</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vMerge w:val="restart"/>
            <w:shd w:val="clear" w:color="auto" w:fill="CFF0FC"/>
          </w:tcPr>
          <w:p>
            <w:pPr>
              <w:jc w:val="right"/>
              <w:ind w:right="5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gridSpan w:val="3"/>
            <w:vMerge w:val="continue"/>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gridSpan w:val="2"/>
            <w:vMerge w:val="continue"/>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(1,632 )</w:t>
            </w:r>
          </w:p>
        </w:tc>
        <w:tc>
          <w:tcPr>
            <w:tcW w:w="14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3"/>
          </w:tcPr>
          <w:p>
            <w:pPr>
              <w:jc w:val="right"/>
              <w:spacing w:after="0"/>
              <w:rPr>
                <w:sz w:val="20"/>
                <w:szCs w:val="20"/>
                <w:color w:val="auto"/>
              </w:rPr>
            </w:pPr>
            <w:r>
              <w:rPr>
                <w:rFonts w:ascii="Arial" w:cs="Arial" w:eastAsia="Arial" w:hAnsi="Arial"/>
                <w:sz w:val="18"/>
                <w:szCs w:val="18"/>
                <w:b w:val="1"/>
                <w:bCs w:val="1"/>
                <w:color w:val="auto"/>
              </w:rPr>
              <w:t>(2,135 )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6"/>
              </w:rPr>
              <w:t>(2 )</w:t>
            </w:r>
          </w:p>
        </w:tc>
        <w:tc>
          <w:tcPr>
            <w:tcW w:w="40" w:type="dxa"/>
            <w:vAlign w:val="bottom"/>
          </w:tcPr>
          <w:p>
            <w:pPr>
              <w:spacing w:after="0"/>
              <w:rPr>
                <w:sz w:val="20"/>
                <w:szCs w:val="20"/>
                <w:color w:val="auto"/>
              </w:rPr>
            </w:pPr>
          </w:p>
        </w:tc>
        <w:tc>
          <w:tcPr>
            <w:tcW w:w="36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(3,768 )</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vMerge w:val="restart"/>
          </w:tcPr>
          <w:p>
            <w:pPr>
              <w:jc w:val="center"/>
              <w:ind w:right="59"/>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0"/>
              </w:rPr>
              <w:t>Unrecognized</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6"/>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Net Actuarial</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rPr>
              <w:t>Deferred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gridSpan w:val="3"/>
          </w:tcPr>
          <w:p>
            <w:pPr>
              <w:jc w:val="center"/>
              <w:ind w:right="59"/>
              <w:spacing w:after="0" w:line="149" w:lineRule="exact"/>
              <w:rPr>
                <w:sz w:val="20"/>
                <w:szCs w:val="20"/>
                <w:color w:val="auto"/>
              </w:rPr>
            </w:pPr>
            <w:r>
              <w:rPr>
                <w:rFonts w:ascii="Arial" w:cs="Arial" w:eastAsia="Arial" w:hAnsi="Arial"/>
                <w:sz w:val="14"/>
                <w:szCs w:val="14"/>
                <w:b w:val="1"/>
                <w:bCs w:val="1"/>
                <w:color w:val="auto"/>
                <w:w w:val="97"/>
              </w:rPr>
              <w:t>Currency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5"/>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Losses and</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gridSpan w:val="3"/>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6"/>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Prior Service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tcPr>
          <w:p>
            <w:pPr>
              <w:jc w:val="right"/>
              <w:ind w:right="262"/>
              <w:spacing w:after="0" w:line="149" w:lineRule="exact"/>
              <w:rPr>
                <w:sz w:val="20"/>
                <w:szCs w:val="20"/>
                <w:color w:val="auto"/>
              </w:rPr>
            </w:pPr>
            <w:r>
              <w:rPr>
                <w:rFonts w:ascii="Arial" w:cs="Arial" w:eastAsia="Arial" w:hAnsi="Arial"/>
                <w:sz w:val="14"/>
                <w:szCs w:val="14"/>
                <w:b w:val="1"/>
                <w:bCs w:val="1"/>
                <w:color w:val="auto"/>
              </w:rPr>
              <w:t>Derivative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00" w:type="dxa"/>
            <w:vAlign w:val="bottom"/>
          </w:tcPr>
          <w:p>
            <w:pPr>
              <w:ind w:left="20"/>
              <w:spacing w:after="0"/>
              <w:rPr>
                <w:sz w:val="20"/>
                <w:szCs w:val="20"/>
                <w:color w:val="auto"/>
              </w:rPr>
            </w:pPr>
            <w:r>
              <w:rPr>
                <w:rFonts w:ascii="Arial" w:cs="Arial" w:eastAsia="Arial" w:hAnsi="Arial"/>
                <w:sz w:val="14"/>
                <w:szCs w:val="14"/>
                <w:i w:val="1"/>
                <w:iCs w:val="1"/>
                <w:color w:val="auto"/>
              </w:rPr>
              <w:t>(In millions) Income (Loss)</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gridSpan w:val="3"/>
          </w:tcPr>
          <w:p>
            <w:pPr>
              <w:jc w:val="center"/>
              <w:ind w:right="59"/>
              <w:spacing w:after="0"/>
              <w:rPr>
                <w:sz w:val="20"/>
                <w:szCs w:val="20"/>
                <w:color w:val="auto"/>
              </w:rPr>
            </w:pPr>
            <w:r>
              <w:rPr>
                <w:rFonts w:ascii="Arial" w:cs="Arial" w:eastAsia="Arial" w:hAnsi="Arial"/>
                <w:sz w:val="14"/>
                <w:szCs w:val="14"/>
                <w:b w:val="1"/>
                <w:bCs w:val="1"/>
                <w:color w:val="auto"/>
                <w:w w:val="93"/>
              </w:rPr>
              <w:t>Adjustment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87"/>
              </w:rPr>
              <w:t>Costs</w:t>
            </w:r>
          </w:p>
        </w:tc>
        <w:tc>
          <w:tcPr>
            <w:tcW w:w="180" w:type="dxa"/>
            <w:vAlign w:val="bottom"/>
          </w:tcPr>
          <w:p>
            <w:pPr>
              <w:spacing w:after="0"/>
              <w:rPr>
                <w:sz w:val="16"/>
                <w:szCs w:val="16"/>
                <w:color w:val="auto"/>
              </w:rPr>
            </w:pPr>
          </w:p>
        </w:tc>
        <w:tc>
          <w:tcPr>
            <w:tcW w:w="1120" w:type="dxa"/>
            <w:vAlign w:val="bottom"/>
            <w:gridSpan w:val="3"/>
          </w:tcPr>
          <w:p>
            <w:pPr>
              <w:jc w:val="right"/>
              <w:ind w:right="122"/>
              <w:spacing w:after="0"/>
              <w:rPr>
                <w:sz w:val="20"/>
                <w:szCs w:val="20"/>
                <w:color w:val="auto"/>
              </w:rPr>
            </w:pPr>
            <w:r>
              <w:rPr>
                <w:rFonts w:ascii="Arial" w:cs="Arial" w:eastAsia="Arial" w:hAnsi="Arial"/>
                <w:sz w:val="14"/>
                <w:szCs w:val="14"/>
                <w:b w:val="1"/>
                <w:bCs w:val="1"/>
                <w:color w:val="auto"/>
                <w:w w:val="89"/>
              </w:rPr>
              <w:t>Gains (Losses)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5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jc w:val="right"/>
              <w:ind w:right="462"/>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(1,402 )</w:t>
            </w:r>
          </w:p>
        </w:tc>
        <w:tc>
          <w:tcPr>
            <w:tcW w:w="16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(2,565 )</w:t>
            </w:r>
          </w:p>
        </w:tc>
        <w:tc>
          <w:tcPr>
            <w:tcW w:w="1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(3,963 )</w:t>
            </w:r>
          </w:p>
        </w:tc>
        <w:tc>
          <w:tcPr>
            <w:tcW w:w="0" w:type="dxa"/>
            <w:vAlign w:val="bottom"/>
          </w:tcPr>
          <w:p>
            <w:pPr>
              <w:spacing w:after="0"/>
              <w:rPr>
                <w:sz w:val="1"/>
                <w:szCs w:val="1"/>
                <w:color w:val="auto"/>
              </w:rPr>
            </w:pPr>
          </w:p>
        </w:tc>
      </w:tr>
      <w:tr>
        <w:trPr>
          <w:trHeight w:val="215"/>
        </w:trPr>
        <w:tc>
          <w:tcPr>
            <w:tcW w:w="4300" w:type="dxa"/>
            <w:vAlign w:val="bottom"/>
          </w:tcPr>
          <w:p>
            <w:pPr>
              <w:ind w:left="12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00" w:type="dxa"/>
            <w:vAlign w:val="bottom"/>
          </w:tcPr>
          <w:p>
            <w:pPr>
              <w:ind w:left="12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(169 )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77"/>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22"/>
        </w:trPr>
        <w:tc>
          <w:tcPr>
            <w:tcW w:w="5580" w:type="dxa"/>
            <w:vAlign w:val="bottom"/>
            <w:gridSpan w:val="4"/>
            <w:shd w:val="clear" w:color="auto" w:fill="CFF0FC"/>
          </w:tcPr>
          <w:p>
            <w:pPr>
              <w:ind w:left="120"/>
              <w:spacing w:after="0"/>
              <w:rPr>
                <w:sz w:val="20"/>
                <w:szCs w:val="20"/>
                <w:color w:val="auto"/>
              </w:rPr>
            </w:pPr>
            <w:r>
              <w:rPr>
                <w:rFonts w:ascii="Arial" w:cs="Arial" w:eastAsia="Arial" w:hAnsi="Arial"/>
                <w:sz w:val="18"/>
                <w:szCs w:val="18"/>
                <w:color w:val="auto"/>
              </w:rPr>
              <w:t>Amounts reclassified from accumulated other comprehensive</w:t>
            </w:r>
          </w:p>
        </w:tc>
        <w:tc>
          <w:tcPr>
            <w:tcW w:w="140" w:type="dxa"/>
            <w:vAlign w:val="bottom"/>
            <w:shd w:val="clear" w:color="auto" w:fill="CFF0FC"/>
          </w:tcPr>
          <w:p>
            <w:pPr>
              <w:spacing w:after="0"/>
              <w:rPr>
                <w:sz w:val="19"/>
                <w:szCs w:val="19"/>
                <w:color w:val="auto"/>
              </w:rPr>
            </w:pPr>
          </w:p>
        </w:tc>
        <w:tc>
          <w:tcPr>
            <w:tcW w:w="680" w:type="dxa"/>
            <w:vAlign w:val="bottom"/>
            <w:vMerge w:val="restart"/>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vMerge w:val="restart"/>
            <w:shd w:val="clear" w:color="auto" w:fill="CFF0FC"/>
          </w:tcPr>
          <w:p>
            <w:pPr>
              <w:jc w:val="right"/>
              <w:ind w:right="77"/>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4"/>
            <w:vMerge w:val="restart"/>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vMerge w:val="restart"/>
            <w:shd w:val="clear" w:color="auto" w:fill="CFF0FC"/>
          </w:tcPr>
          <w:p>
            <w:pPr>
              <w:jc w:val="right"/>
              <w:ind w:right="5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loss</w:t>
            </w:r>
          </w:p>
        </w:tc>
        <w:tc>
          <w:tcPr>
            <w:tcW w:w="1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gridSpan w:val="4"/>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60" w:type="dxa"/>
            <w:vAlign w:val="bottom"/>
          </w:tcPr>
          <w:p>
            <w:pPr>
              <w:spacing w:after="0"/>
              <w:rPr>
                <w:sz w:val="20"/>
                <w:szCs w:val="20"/>
                <w:color w:val="auto"/>
              </w:rPr>
            </w:pPr>
          </w:p>
        </w:tc>
        <w:tc>
          <w:tcPr>
            <w:tcW w:w="1120" w:type="dxa"/>
            <w:vAlign w:val="bottom"/>
            <w:gridSpan w:val="2"/>
          </w:tcPr>
          <w:p>
            <w:pPr>
              <w:jc w:val="right"/>
              <w:ind w:right="462"/>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(1,571 )</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(2,490 )</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(4,057 )</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-1722120</wp:posOffset>
            </wp:positionV>
            <wp:extent cx="93980" cy="1885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-1722120</wp:posOffset>
            </wp:positionV>
            <wp:extent cx="94615" cy="1885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-1722120</wp:posOffset>
            </wp:positionV>
            <wp:extent cx="94615"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-1722120</wp:posOffset>
            </wp:positionV>
            <wp:extent cx="94615" cy="1885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-187960</wp:posOffset>
            </wp:positionV>
            <wp:extent cx="102870" cy="1885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-187960</wp:posOffset>
            </wp:positionV>
            <wp:extent cx="102870" cy="1885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-187960</wp:posOffset>
            </wp:positionV>
            <wp:extent cx="102870" cy="1885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2870" cy="18859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reclassifications out of AOCL:</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220" w:type="dxa"/>
            <w:vAlign w:val="bottom"/>
            <w:gridSpan w:val="2"/>
          </w:tcPr>
          <w:p>
            <w:pPr>
              <w:ind w:left="20"/>
              <w:spacing w:after="0" w:line="160" w:lineRule="exact"/>
              <w:rPr>
                <w:sz w:val="20"/>
                <w:szCs w:val="20"/>
                <w:color w:val="auto"/>
              </w:rPr>
            </w:pPr>
            <w:r>
              <w:rPr>
                <w:rFonts w:ascii="Arial" w:cs="Arial" w:eastAsia="Arial" w:hAnsi="Arial"/>
                <w:sz w:val="14"/>
                <w:szCs w:val="14"/>
                <w:i w:val="1"/>
                <w:iCs w:val="1"/>
                <w:color w:val="auto"/>
              </w:rPr>
              <w:t>(In millions) (Income) Expense</w:t>
            </w:r>
          </w:p>
        </w:tc>
        <w:tc>
          <w:tcPr>
            <w:tcW w:w="160" w:type="dxa"/>
            <w:vAlign w:val="bottom"/>
          </w:tcPr>
          <w:p>
            <w:pPr>
              <w:spacing w:after="0"/>
              <w:rPr>
                <w:sz w:val="13"/>
                <w:szCs w:val="13"/>
                <w:color w:val="auto"/>
              </w:rPr>
            </w:pPr>
          </w:p>
        </w:tc>
        <w:tc>
          <w:tcPr>
            <w:tcW w:w="700" w:type="dxa"/>
            <w:vAlign w:val="bottom"/>
          </w:tcPr>
          <w:p>
            <w:pPr>
              <w:ind w:left="60"/>
              <w:spacing w:after="0" w:line="160" w:lineRule="exact"/>
              <w:rPr>
                <w:sz w:val="20"/>
                <w:szCs w:val="20"/>
                <w:color w:val="auto"/>
              </w:rPr>
            </w:pPr>
            <w:r>
              <w:rPr>
                <w:rFonts w:ascii="Arial" w:cs="Arial" w:eastAsia="Arial" w:hAnsi="Arial"/>
                <w:sz w:val="14"/>
                <w:szCs w:val="14"/>
                <w:b w:val="1"/>
                <w:bCs w:val="1"/>
                <w:color w:val="auto"/>
              </w:rPr>
              <w:t>Amount</w:t>
            </w:r>
          </w:p>
        </w:tc>
        <w:tc>
          <w:tcPr>
            <w:tcW w:w="980" w:type="dxa"/>
            <w:vAlign w:val="bottom"/>
            <w:gridSpan w:val="3"/>
          </w:tcPr>
          <w:p>
            <w:pPr>
              <w:jc w:val="right"/>
              <w:ind w:right="252"/>
              <w:spacing w:after="0" w:line="160" w:lineRule="exact"/>
              <w:rPr>
                <w:sz w:val="20"/>
                <w:szCs w:val="20"/>
                <w:color w:val="auto"/>
              </w:rPr>
            </w:pPr>
            <w:r>
              <w:rPr>
                <w:rFonts w:ascii="Arial" w:cs="Arial" w:eastAsia="Arial" w:hAnsi="Arial"/>
                <w:sz w:val="14"/>
                <w:szCs w:val="14"/>
                <w:b w:val="1"/>
                <w:bCs w:val="1"/>
                <w:color w:val="auto"/>
                <w:w w:val="75"/>
              </w:rPr>
              <w:t>Reclassified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16"/>
              <w:spacing w:after="0" w:line="160" w:lineRule="exact"/>
              <w:rPr>
                <w:sz w:val="20"/>
                <w:szCs w:val="20"/>
                <w:color w:val="auto"/>
              </w:rPr>
            </w:pPr>
            <w:r>
              <w:rPr>
                <w:rFonts w:ascii="Arial" w:cs="Arial" w:eastAsia="Arial" w:hAnsi="Arial"/>
                <w:sz w:val="14"/>
                <w:szCs w:val="14"/>
                <w:b w:val="1"/>
                <w:bCs w:val="1"/>
                <w:color w:val="auto"/>
              </w:rPr>
              <w:t>Amount</w:t>
            </w:r>
          </w:p>
        </w:tc>
        <w:tc>
          <w:tcPr>
            <w:tcW w:w="1020" w:type="dxa"/>
            <w:vAlign w:val="bottom"/>
            <w:gridSpan w:val="3"/>
          </w:tcPr>
          <w:p>
            <w:pPr>
              <w:jc w:val="right"/>
              <w:ind w:right="272"/>
              <w:spacing w:after="0" w:line="160" w:lineRule="exact"/>
              <w:rPr>
                <w:sz w:val="20"/>
                <w:szCs w:val="20"/>
                <w:color w:val="auto"/>
              </w:rPr>
            </w:pPr>
            <w:r>
              <w:rPr>
                <w:rFonts w:ascii="Arial" w:cs="Arial" w:eastAsia="Arial" w:hAnsi="Arial"/>
                <w:sz w:val="14"/>
                <w:szCs w:val="14"/>
                <w:b w:val="1"/>
                <w:bCs w:val="1"/>
                <w:color w:val="auto"/>
                <w:w w:val="78"/>
              </w:rPr>
              <w:t>Reclassified</w:t>
            </w:r>
          </w:p>
        </w:tc>
        <w:tc>
          <w:tcPr>
            <w:tcW w:w="140" w:type="dxa"/>
            <w:vAlign w:val="bottom"/>
          </w:tcPr>
          <w:p>
            <w:pPr>
              <w:spacing w:after="0"/>
              <w:rPr>
                <w:sz w:val="13"/>
                <w:szCs w:val="13"/>
                <w:color w:val="auto"/>
              </w:rPr>
            </w:pPr>
          </w:p>
        </w:tc>
        <w:tc>
          <w:tcPr>
            <w:tcW w:w="3020" w:type="dxa"/>
            <w:vAlign w:val="bottom"/>
          </w:tcPr>
          <w:p>
            <w:pPr>
              <w:ind w:left="320"/>
              <w:spacing w:after="0" w:line="160" w:lineRule="exact"/>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85"/>
        </w:trPr>
        <w:tc>
          <w:tcPr>
            <w:tcW w:w="4220" w:type="dxa"/>
            <w:vAlign w:val="bottom"/>
            <w:gridSpan w:val="2"/>
          </w:tcPr>
          <w:p>
            <w:pPr>
              <w:ind w:left="1380"/>
              <w:spacing w:after="0"/>
              <w:rPr>
                <w:sz w:val="20"/>
                <w:szCs w:val="20"/>
                <w:color w:val="auto"/>
              </w:rPr>
            </w:pPr>
            <w:r>
              <w:rPr>
                <w:rFonts w:ascii="Arial" w:cs="Arial" w:eastAsia="Arial" w:hAnsi="Arial"/>
                <w:sz w:val="14"/>
                <w:szCs w:val="14"/>
                <w:b w:val="1"/>
                <w:bCs w:val="1"/>
                <w:color w:val="auto"/>
              </w:rPr>
              <w:t>Component of AOCL</w:t>
            </w:r>
          </w:p>
        </w:tc>
        <w:tc>
          <w:tcPr>
            <w:tcW w:w="160" w:type="dxa"/>
            <w:vAlign w:val="bottom"/>
          </w:tcPr>
          <w:p>
            <w:pPr>
              <w:spacing w:after="0"/>
              <w:rPr>
                <w:sz w:val="16"/>
                <w:szCs w:val="16"/>
                <w:color w:val="auto"/>
              </w:rPr>
            </w:pPr>
          </w:p>
        </w:tc>
        <w:tc>
          <w:tcPr>
            <w:tcW w:w="168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from AOCL</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from AOCL</w:t>
            </w:r>
          </w:p>
        </w:tc>
        <w:tc>
          <w:tcPr>
            <w:tcW w:w="140" w:type="dxa"/>
            <w:vAlign w:val="bottom"/>
          </w:tcPr>
          <w:p>
            <w:pPr>
              <w:spacing w:after="0"/>
              <w:rPr>
                <w:sz w:val="16"/>
                <w:szCs w:val="16"/>
                <w:color w:val="auto"/>
              </w:rPr>
            </w:pPr>
          </w:p>
        </w:tc>
        <w:tc>
          <w:tcPr>
            <w:tcW w:w="3020" w:type="dxa"/>
            <w:vAlign w:val="bottom"/>
          </w:tcPr>
          <w:p>
            <w:pPr>
              <w:ind w:left="740"/>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09"/>
        </w:trPr>
        <w:tc>
          <w:tcPr>
            <w:tcW w:w="40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Amortization of prior service cost and</w:t>
            </w:r>
          </w:p>
        </w:tc>
        <w:tc>
          <w:tcPr>
            <w:tcW w:w="1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unrecognized gains and losses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26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54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21"/>
                <w:szCs w:val="21"/>
                <w:color w:val="auto"/>
              </w:rPr>
            </w:pPr>
          </w:p>
        </w:tc>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0" w:type="dxa"/>
            <w:vAlign w:val="bottom"/>
          </w:tcPr>
          <w:p>
            <w:pPr>
              <w:spacing w:after="0"/>
              <w:rPr>
                <w:sz w:val="1"/>
                <w:szCs w:val="1"/>
                <w:color w:val="auto"/>
              </w:rPr>
            </w:pPr>
          </w:p>
        </w:tc>
      </w:tr>
      <w:tr>
        <w:trPr>
          <w:trHeight w:val="215"/>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Immediate recognition of prior service cost</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and unrecognized gains and losses due to</w:t>
            </w:r>
          </w:p>
        </w:tc>
        <w:tc>
          <w:tcPr>
            <w:tcW w:w="160" w:type="dxa"/>
            <w:vAlign w:val="bottom"/>
          </w:tcPr>
          <w:p>
            <w:pPr>
              <w:spacing w:after="0"/>
              <w:rPr>
                <w:sz w:val="18"/>
                <w:szCs w:val="18"/>
                <w:color w:val="auto"/>
              </w:rPr>
            </w:pPr>
          </w:p>
        </w:tc>
        <w:tc>
          <w:tcPr>
            <w:tcW w:w="700" w:type="dxa"/>
            <w:vAlign w:val="bottom"/>
            <w:vMerge w:val="restart"/>
          </w:tcPr>
          <w:p>
            <w:pPr>
              <w:jc w:val="right"/>
              <w:ind w:right="76"/>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restart"/>
          </w:tcPr>
          <w:p>
            <w:pPr>
              <w:jc w:val="right"/>
              <w:ind w:right="52"/>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restart"/>
          </w:tcPr>
          <w:p>
            <w:pPr>
              <w:jc w:val="right"/>
              <w:ind w:right="56"/>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Other (Income) Expense /</w:t>
            </w:r>
          </w:p>
        </w:tc>
        <w:tc>
          <w:tcPr>
            <w:tcW w:w="0" w:type="dxa"/>
            <w:vAlign w:val="bottom"/>
          </w:tcPr>
          <w:p>
            <w:pPr>
              <w:spacing w:after="0"/>
              <w:rPr>
                <w:sz w:val="1"/>
                <w:szCs w:val="1"/>
                <w:color w:val="auto"/>
              </w:rPr>
            </w:pPr>
          </w:p>
        </w:tc>
      </w:tr>
      <w:tr>
        <w:trPr>
          <w:trHeight w:val="230"/>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curtailments, settlements and divestitures</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Rationalizations</w:t>
            </w:r>
          </w:p>
        </w:tc>
        <w:tc>
          <w:tcPr>
            <w:tcW w:w="0" w:type="dxa"/>
            <w:vAlign w:val="bottom"/>
          </w:tcPr>
          <w:p>
            <w:pPr>
              <w:spacing w:after="0"/>
              <w:rPr>
                <w:sz w:val="1"/>
                <w:szCs w:val="1"/>
                <w:color w:val="auto"/>
              </w:rPr>
            </w:pPr>
          </w:p>
        </w:tc>
      </w:tr>
      <w:tr>
        <w:trPr>
          <w:trHeight w:val="209"/>
        </w:trPr>
        <w:tc>
          <w:tcPr>
            <w:tcW w:w="4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Unrecognized net actuarial losses and</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prior service costs, before tax</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FF0FC"/>
          </w:tcPr>
          <w:p>
            <w:pPr>
              <w:spacing w:after="0"/>
              <w:rPr>
                <w:sz w:val="21"/>
                <w:szCs w:val="21"/>
                <w:color w:val="auto"/>
              </w:rPr>
            </w:pPr>
          </w:p>
        </w:tc>
        <w:tc>
          <w:tcPr>
            <w:tcW w:w="3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Tax effect</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14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United States and Foreign Taxes</w:t>
            </w:r>
          </w:p>
        </w:tc>
        <w:tc>
          <w:tcPr>
            <w:tcW w:w="0" w:type="dxa"/>
            <w:vAlign w:val="bottom"/>
          </w:tcPr>
          <w:p>
            <w:pPr>
              <w:spacing w:after="0"/>
              <w:rPr>
                <w:sz w:val="1"/>
                <w:szCs w:val="1"/>
                <w:color w:val="auto"/>
              </w:rPr>
            </w:pPr>
          </w:p>
        </w:tc>
      </w:tr>
      <w:tr>
        <w:trPr>
          <w:trHeight w:val="237"/>
        </w:trPr>
        <w:tc>
          <w:tcPr>
            <w:tcW w:w="42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Net of tax</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FF0FC"/>
          </w:tcPr>
          <w:p>
            <w:pPr>
              <w:spacing w:after="0"/>
              <w:rPr>
                <w:sz w:val="20"/>
                <w:szCs w:val="20"/>
                <w:color w:val="auto"/>
              </w:rPr>
            </w:pPr>
          </w:p>
        </w:tc>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Goodyear Net Income (Loss)</w:t>
            </w:r>
          </w:p>
        </w:tc>
        <w:tc>
          <w:tcPr>
            <w:tcW w:w="0" w:type="dxa"/>
            <w:vAlign w:val="bottom"/>
          </w:tcPr>
          <w:p>
            <w:pPr>
              <w:spacing w:after="0"/>
              <w:rPr>
                <w:sz w:val="1"/>
                <w:szCs w:val="1"/>
                <w:color w:val="auto"/>
              </w:rPr>
            </w:pPr>
          </w:p>
        </w:tc>
      </w:tr>
      <w:tr>
        <w:trPr>
          <w:trHeight w:val="243"/>
        </w:trPr>
        <w:tc>
          <w:tcPr>
            <w:tcW w:w="422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Deferred derivative (gains) losses, before tax</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FF0FC"/>
          </w:tcPr>
          <w:p>
            <w:pPr>
              <w:spacing w:after="0"/>
              <w:rPr>
                <w:sz w:val="21"/>
                <w:szCs w:val="21"/>
                <w:color w:val="auto"/>
              </w:rPr>
            </w:pPr>
          </w:p>
        </w:tc>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43"/>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Tax effect</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United States and Foreign Taxes</w:t>
            </w:r>
          </w:p>
        </w:tc>
        <w:tc>
          <w:tcPr>
            <w:tcW w:w="0" w:type="dxa"/>
            <w:vAlign w:val="bottom"/>
          </w:tcPr>
          <w:p>
            <w:pPr>
              <w:spacing w:after="0"/>
              <w:rPr>
                <w:sz w:val="1"/>
                <w:szCs w:val="1"/>
                <w:color w:val="auto"/>
              </w:rPr>
            </w:pPr>
          </w:p>
        </w:tc>
      </w:tr>
      <w:tr>
        <w:trPr>
          <w:trHeight w:val="237"/>
        </w:trPr>
        <w:tc>
          <w:tcPr>
            <w:tcW w:w="422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Net of tax</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FF0FC"/>
            </w:tcBorders>
            <w:shd w:val="clear" w:color="auto" w:fill="CFF0FC"/>
          </w:tcPr>
          <w:p>
            <w:pPr>
              <w:spacing w:after="0"/>
              <w:rPr>
                <w:sz w:val="20"/>
                <w:szCs w:val="20"/>
                <w:color w:val="auto"/>
              </w:rPr>
            </w:pPr>
          </w:p>
        </w:tc>
        <w:tc>
          <w:tcPr>
            <w:tcW w:w="3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Goodyear Net Income (Loss)</w:t>
            </w:r>
          </w:p>
        </w:tc>
        <w:tc>
          <w:tcPr>
            <w:tcW w:w="0" w:type="dxa"/>
            <w:vAlign w:val="bottom"/>
          </w:tcPr>
          <w:p>
            <w:pPr>
              <w:spacing w:after="0"/>
              <w:rPr>
                <w:sz w:val="1"/>
                <w:szCs w:val="1"/>
                <w:color w:val="auto"/>
              </w:rPr>
            </w:pPr>
          </w:p>
        </w:tc>
      </w:tr>
      <w:tr>
        <w:trPr>
          <w:trHeight w:val="237"/>
        </w:trPr>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reclassifications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ind w:right="76"/>
              <w:spacing w:after="0"/>
              <w:rPr>
                <w:sz w:val="20"/>
                <w:szCs w:val="20"/>
                <w:color w:val="auto"/>
              </w:rPr>
            </w:pPr>
            <w:r>
              <w:rPr>
                <w:rFonts w:ascii="Arial" w:cs="Arial" w:eastAsia="Arial" w:hAnsi="Arial"/>
                <w:sz w:val="18"/>
                <w:szCs w:val="18"/>
                <w:b w:val="1"/>
                <w:bCs w:val="1"/>
                <w:color w:val="auto"/>
              </w:rPr>
              <w:t>48</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52"/>
              <w:spacing w:after="0"/>
              <w:rPr>
                <w:sz w:val="20"/>
                <w:szCs w:val="20"/>
                <w:color w:val="auto"/>
              </w:rPr>
            </w:pPr>
            <w:r>
              <w:rPr>
                <w:rFonts w:ascii="Arial" w:cs="Arial" w:eastAsia="Arial" w:hAnsi="Arial"/>
                <w:sz w:val="18"/>
                <w:szCs w:val="18"/>
                <w:b w:val="1"/>
                <w:bCs w:val="1"/>
                <w:color w:val="auto"/>
              </w:rPr>
              <w:t>37</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56"/>
              <w:spacing w:after="0"/>
              <w:rPr>
                <w:sz w:val="20"/>
                <w:szCs w:val="20"/>
                <w:color w:val="auto"/>
              </w:rPr>
            </w:pPr>
            <w:r>
              <w:rPr>
                <w:rFonts w:ascii="Arial" w:cs="Arial" w:eastAsia="Arial" w:hAnsi="Arial"/>
                <w:sz w:val="18"/>
                <w:szCs w:val="18"/>
                <w:b w:val="1"/>
                <w:bCs w:val="1"/>
                <w:color w:val="auto"/>
              </w:rPr>
              <w:t>69</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60</w:t>
            </w:r>
          </w:p>
        </w:tc>
        <w:tc>
          <w:tcPr>
            <w:tcW w:w="14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Goodyear Net Income (Loss)</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-187960</wp:posOffset>
            </wp:positionV>
            <wp:extent cx="102870" cy="188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-187960</wp:posOffset>
            </wp:positionV>
            <wp:extent cx="102870" cy="188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-187960</wp:posOffset>
            </wp:positionV>
            <wp:extent cx="102870" cy="1885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-187960</wp:posOffset>
            </wp:positionV>
            <wp:extent cx="93980" cy="1885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details of comprehensive income (loss) attributable to minority shareholders: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ind w:lef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6"/>
        </w:trPr>
        <w:tc>
          <w:tcPr>
            <w:tcW w:w="5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ind w:left="70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4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6"/>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Attributable to Minority Shareholders</w:t>
            </w: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4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Foreign currency translation</w:t>
            </w:r>
          </w:p>
        </w:tc>
        <w:tc>
          <w:tcPr>
            <w:tcW w:w="5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4"/>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w w:val="92"/>
              </w:rPr>
              <w:t>Comprehensive Income (Loss) Attributable to Minority Shareholders</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4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ind w:left="720"/>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80" w:type="dxa"/>
            <w:vAlign w:val="bottom"/>
            <w:vMerge w:val="restart"/>
          </w:tcPr>
          <w:p>
            <w:pPr>
              <w:jc w:val="right"/>
              <w:ind w:right="210"/>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44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-694055</wp:posOffset>
            </wp:positionV>
            <wp:extent cx="102870" cy="1974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2870" cy="19748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-694055</wp:posOffset>
            </wp:positionV>
            <wp:extent cx="93980" cy="1974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3980" cy="1974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549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1" w:lineRule="exact"/>
        <w:rPr>
          <w:sz w:val="20"/>
          <w:szCs w:val="20"/>
          <w:color w:val="auto"/>
        </w:rPr>
      </w:pPr>
    </w:p>
    <w:p>
      <w:pPr>
        <w:ind w:right="1240"/>
        <w:spacing w:after="0" w:line="442"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i w:val="1"/>
          <w:iCs w:val="1"/>
          <w:color w:val="auto"/>
        </w:rPr>
        <w:t xml:space="preserve">All per share amounts are diluted and refer to Goodyear net income (loss). </w:t>
      </w:r>
      <w:r>
        <w:rPr>
          <w:rFonts w:ascii="Arial" w:cs="Arial" w:eastAsia="Arial" w:hAnsi="Arial"/>
          <w:sz w:val="18"/>
          <w:szCs w:val="18"/>
          <w:b w:val="1"/>
          <w:bCs w:val="1"/>
          <w:u w:val="single" w:color="auto"/>
          <w:color w:val="auto"/>
        </w:rPr>
        <w:t>OVERVIEW</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Goodyear Tire &amp; Rubber Company (the "Company," "Goodyear," "we," "us" or "our") is one of the world’s leading manufacturers of tires, with one of the most recognizable brand names in the world and operations in most regions of the world. We have a broad global footprint with 57 manufacturing facilities in 23 countries, including the United States. We operate our business through three operating segments representing our regional tire businesses: Americas; Europe, Middle East and Africa (“EMEA”); and Asia Pacific.</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31, 2023, we approved a plan to permanently reduce production capacity at our Fulda, Germany tire manufacturing facility (“Fulda”) by approximately 50% aligned with our goal to reduce our production cost per tire in EMEA. The proposed plan includes approximately 550 job reductions at Fulda, consisting of 375 associates and 175 contracted positions. The plan remains subject to consultation with relevant employee representative bodies. We expect to substantially complete this rationalization plan by the end of 2024 and estimate total pre-tax charges associated with this action to be between $105 million and $115 million, of which $95 million to $105 million are expected to be cash charges primarily for associate-related and other exit costs, with the remainder representing non-cash charges primarily for accelerated depreciation and other asset-related charges. We accrued $62 million for this plan at June 30, 2023, primarily consisting of cash charges for associate-related exit costs. We expect to record approximately $10 million of pre-tax charges in the second half of 2023 and the majority of the remaining charges in 2024. The majority of the cash outflows associated with this plan are expected to occur in 2024.</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Results of Operations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second quarter and first six months of 2023, our operating results reflected a difficult macroeconomic environment, including the impact of the ongoing effects of inflation and increases in interest rates on the global economy. These conditions and uncertainties about the future have affected demand for our products globally, particularly with respect to consumer and commercial replacement in Americas and EMEA. We saw improvement in demand from our OE customers, which continue to recover from supply constraints that have reduced their production. However, demand from our OE customers remains lower than what we experienced before the COVID-19 pandemic. In China, consumer demand continued to recover throughout the second quarter and first six months of 2023 following an increase in the spread of COVID-19 during the fourth quarter of 2022. Our other global businesses have largely recovered from the direct impacts of the COVID-19 pandemic.</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Supply chain disruptions and other factors have led to continuing inflationary cost pressures on our results, including higher costs for certain raw materials, higher transportation costs and higher energy costs. Energy costs continue to be more pronounced in Europe driven by the indirect impacts of the conflict in Ukraine. We also continue to experience increased labor-related costs and manufacturing inefficiencies associated with the ongoing tight labor supply, particularly in the U.S. Price and product mix continues to offset the increase in raw material costs as well as a majority of other inflationary costs affecting our results.</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on April 1, 2023, a severe storm in the U.S. significantly damaged and caused the temporary shut-down of our tire manufacturing facility and adjacent warehouse in Tupelo, Mississippi (“Tupelo”). The damage to Tupelo was significant; however, we were able to restart production earlier than expected and ramp-up during the second quarter of 2023. We neared full production by the end of July. We maintain third-party insurance coverage for property damage, repair expenses and business interruption, subject to a $15 million deductible which was reached in the second quarter of 2023. We estimate the negative impact of the Tupelo storm on sales in Americas for both the three and six months ended June 30, 2023 was $77 million. We estimate that the negative impact on our earnings for both the three and six months ended June 30, 2023 was $64 million ($52 million after-tax and minority) ($50 million impact on Americas segment operating income and $14 million of corporate other expense for an insurance deductible). While we expect to be reimbursed for a significant portion of our business interruption impacts by our third-party insurance coverage, consistent with past practice, we will record a receivable related to business interruption once the claim is substantially complete.</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second quarter and first six months of 2023, in order to address softening industry demand and prevent the buildup of excess inventory, we reduced production at many of our tire manufacturing facilities, resulting in a reduction of 3.9 million units and 7.6 million units, respectively (excluding in each case the impact of the Tupelo storm), compared to production in the second quarter and first six months of 2022, primarily in Americas and EMEA. Decisions to change production levels in the future will be based on an evaluation of market demand signals and inventory and supply levels, as well as the availability of sufficient qualified labor.</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results for the second quarter of 2023 include a 10.7% decrease in tire unit shipments compared to 2022, primarily due to lower replacement tire volume in EMEA and Americas. In the second quarter of 2023, we incurred approximately $153 million of additional costs related to inflation and other cost pressures, primarily higher transportation and energy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549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in the second quarter of 2023 were $4,867 million, compared to $5,212 million in the second quarter of 2022. Net sales decreased in the second quarter of 2023 primarily due to lower tire volume, primarily in EMEA and Americas, unfavorable foreign currency translation, driven by the strengthening of the U.S. dollar, and the negative impact of the Tupelo storm on sales. These decreases were partially offset by global improvements in price and product mix.</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2023, Goodyear net loss was $208 million, or $0.73 per share, compared to Goodyear net income of $166 million, or $0.58 per share, in the second quarter of 2022. The change in Goodyear net income (loss) was primarily due to lower segment operating income, an increase in Other Expense, higher rationalization charges and higher interest expense. These decreases were partially offset by lower U.S. and Foreign Tax Expense driven by the pre-tax loss.</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segment operating income for the second quarter of 2023 was $124 million, compared to $364 million in the second quarter of 2022. The $240 million decrease was primarily due to increased conversion costs of $188 million driven by inflation, the effect of decreased tire production on fixed cost absorption and higher energy costs, lower tire volume of $94 million, primarily in EMEA and Americas, a $50 million negative impact due to the Tupelo storm, higher transportation and imported tire costs of $27 million, and unfavorable foreign currency translation of $14 million driven by the strengthening of the U.S. dollar. These decreases were partially offset by global improvements in price and product mix of $219 million, which more than offset higher raw material costs of $98 million. Refer to “Results of Operations — Segment Information” for additional information.</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in the first six months of 2023 were $9,808 million, compared to $10,120 million in the first six months of 2022. Net sales decreased in 2023 primarily due to lower tire volume, primarily in Americas and EMEA, unfavorable foreign currency translation, driven by the strengthening of the U.S. dollar, and the negative impact of the Tupelo storm on sales. These decreases were partially offset by global improvements in price and product mix and higher sales in other tire-related businesses, driven by growth in EMEA’s Fleet Solutions, higher global aviation sales and higher retail sales in Americas, partially offset by a decrease in third-party chemical sales in Americas.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six months of 2023, Goodyear net loss was $309 million, or $1.08 per share, compared to Goodyear net income of $262 million, or $0.91 per share, in the first six months of 2022. The change in Goodyear net income (loss) was primarily due to lower segment operating income, an increase in Other Expense, higher rationalization charges and higher interest expense. These decreases were partially offset by lower U.S. and Foreign Tax Expense driven by the pre-tax loss.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segment operating income for the first six months of 2023 was $249 million, compared to $667 million in the first six months of 2022. The $418 million decrease was primarily due to increased conversion costs of $357 million driven by inflation, the effect of decreased tire production on fixed cost absorption and higher energy costs, lower tire volume of $167 million, primarily in Americas and EMEA, higher transportation and imported tire costs of $112 million, a $50 million negative impact due to the Tupelo storm, and unfavorable foreign currency translation of $21 million driven by the strengthening of the U.S. dollar. These decreases were partially offset by global improvements in price and product mix of $637 million, which more than offset higher raw material costs of $402 million, and lower research and development costs of $19 million. Refer to "Results of Operations — Segment Information" for additional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June 30, 2023, we had $1,049 million of cash and cash equivalents as well as $3,133 million of unused availability under our various credit agreements, compared to $1,227 million and $4,035 million, respectively, at December 31, 2022. The decrease in cash and cash equivalents of $178 million was primarily due to net cash used for operating activities of $434 million, capital expenditures of $536 million, short-term securities acquired of $102 million, and loans to TireHub, LLC ("TireHub") of $65 million, partially offset by net borrowings of $882 million and cash proceeds from the sale and leaseback transaction in Americas of $66 million. Net cash used for operating activities reflects cash used for working capital of $550 million and the Company's net loss for the period of $307 million, which includes non-cash charges for depreciation and amortization of $506 million. Refer to "Liquidity and Capital Resources" for additional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Outlook</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Looking ahead to the third quarter of 2023, we expect that our industry will continue to face uncertain macroeconomic conditions as a result of the ongoing effects of inflation, which have led to higher interest rates in the U.S. and Europe. While we expect improving year-over-year sales volume trends in the second half given the relatively low sales volume we experienced in the second half of 2022, replacement demand will continue to be impacted negatively through at least the third quarter by tire dealer and distributor channel destocking and weak industry conditions in many of our markets. We expect our replacement tire volume will be lower by approximately 3% to 4% when compared to the third quarter of 2022. We expect our OE tire volume will be approximately the same as the third quarter of 2022.</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our raw material costs to be lower by approximately $125 million in the third quarter of 2023 compared to the third quarter of 2022, including the impact of the stronger U.S. dollar and higher transportation and supplier costs. We anticipate price and product mix, when netted with the lower raw material costs, will be a benefit of approximately $100 million in the third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549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quarter of 2023. Natural and synthetic rubber prices and other commodity prices historically have been volatile, and our raw material costs could change based on future cost fluctuations and changes in foreign exchange rates. We continue to focus on price and product mix, to substitute lower cost materials where possible, to work to identify additional substitution opportunities, to reduce the amount of material required in each tire, and to pursue alternative raw materials to minimize the impact of higher raw material costs.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expect inflationary cost pressures to persist in the second half of the year, particularly with respect to transportation, labor and energy costs. We expect the negative impact on segment operating income from non-raw material inflation in the third quarter of 2023 will be approximately $80 million compared with the third quarter of 2022, net of manufacturing cost savings or inefficiencies.</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continue to focus on actions to offset costs other than raw materials through cost savings initiatives, including rationalization actions, further pricing actions and improvements in product mix. We also anticipate our third quarter 2023 results will be negatively impacted by lower production volume of 3.9 million units during the second quarter of 2023, excluding Tupelo, when compared with the second quarter of 2022. Similarly, we plan to reduce our production levels in the third quarter of 2023, which will negatively impact our fourth quarter of 2023 results by approximately $15 million.</w:t>
      </w:r>
    </w:p>
    <w:p>
      <w:pPr>
        <w:spacing w:after="0" w:line="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full year of 2023, we continue to expect working capital to be a source of operating cash flows of approximately $100 million. We also continue to anticipate our capital expenditures will be approximately $1.0 billion. Our capital expenditures in 2023 will be focused on projects to modernize certain of our manufacturing facilities and expand others to address anticipated future demand, in addition to capital expenditures to sustain our facilities. We anticipate our cash flows will include rationalization payments of approximately $100 million, as we continue to address our cost structure.</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 to "Item 1A. Risk Factors" in the 2022 Form 10-K for a discussion of the factors that may impact our business, results of operations, financial condition or liquidity and "Forward-Looking Information — Safe Harbor Statement" in this Quarterly Report on Form 10-Q for a discussion of our use of forward-looking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2023 and 2022</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in the second quarter of 2023 were $4,867 million, decreasing $345 million, or 6.6%, from $5,212 million in the second quarter of 2022. Goodyear net loss was $208 million, or $0.73 per share, in the second quarter of 2023, compared to Goodyear net income of $166 million, or $0.58 per share, in the second quarter of 2022.</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decreased in the second quarter of 2023 primarily due to lower tire volume of $386 million, representing lower tire volume in EMEA and Americas, partially offset by higher tire volume in Asia Pacific, unfavorable foreign currency translation of $98 million, driven by the strengthening of the U.S. dollar, and the unfavorable impact of the Tupelo storm of $77 million. These decreases were partially offset by global improvements in price and product mix of $224 million.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Worldwide tire unit sales in the second quarter of 2023 were 40.8 million units, decreasing 4.8 million units, or 10.7%, from 45.6 million units in the second quarter of 2022. Replacement tire volume decreased 5.4 million units, or 15.1%, driven by lower tire volume in EMEA and Americas that was partially offset by tire volume growth in Asia Pacific. OE tire volume increased by 0.6 million units, or 5.4%, driven by EMEA and Asia Pacific, reflecting the impact of new consumer fitments and continued recovery in OE production.</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CGS in the second quarter of 2023 was $4,123 million, decreasing $49 million, or 1.2%, from $4,172 million in the second quarter of 2022. CGS decreased primarily due to lower tire volume of $292 million, primarily in EMEA and Americas, foreign currency translation of $72 million, driven by the strengthening of the U.S. dollar, and lower research and development costs of $14 million. These decreases were partially offset by increased conversion costs of $188 million driven by inflation, the effect of decreased tire production on fixed cost absorption and higher energy costs, higher raw material costs of $98 million, higher transportation and imported tire costs of $27 million, $12 million ($10 million after-tax and minority) of accelerated depreciation and asset write-offs, primarily related to the integration of Cooper Tire &amp; Rubber Company ("Cooper Tire") and the closure of Cooper Tire's Melksham, United Kingdom tire manufacturing facility ("Melksham"), and higher costs related to product mix of $5 million, primarily in Americas. CGS in the second quarter of 2023 included a $5 million ($4 million after-tax and minority) benefit related to the reversal of a portion of the estimated cleanup costs associated with the permanent closure of our Gadsden, Alabama tire manufacturing facility (“Gadsden”).</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CGS in the second quarter of 2023 and 2022 included pension expense of $4 million and $6 million, respectively. CGS was 84.7% of sales in the second quarter of 2023, compared to 80.0% in the second quarter of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549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Administrative and General Expense ("SAG") in the second quarter of 2023 was $708 million, decreasing $9 million, or 1.3%, from $717 million in the second quarter of 2022. SAG decreased primarily due to lower advertising costs of $14 million and foreign currency translation of $12 million, driven by the strengthening of the U.S. dollar. These decreases were partially offset by the impact of inflation.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SAG in the second quarter of 2023 and 2022 included pension expense of $2 million and $4 million, respectively. SAG in the second quarter of 2023 included $12 million of incremental savings from rationalization plans, compared to $1 million in 2022. SAG was 14.5% of sales in the second quarter of 2023, compared to 13.8% in the second quarter of 2022.</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recorded net rationalization charges of $72 million ($58 million after-tax and minority) in the second quarter of 2023 and $26 million ($20 million after-tax and minority) in the second quarter of 2022. Net rationalization charges in the second quarter of 2023 primarily related to the proposed plan to reduce production capacity at Fulda and the plan to reduce global operations and technology costs. Net rationalization charges in the second quarter of 2022 primarily related to a plan to reduce duplicative global SAG headcount and close redundant warehouse locations in Americas as part of the integration of Cooper Tire. For further information, refer to Note to the Consolidated Financial Statements No. 3, Costs Associated with Rationalization Programs.</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in the second quarter of 2023 was $138 million, increasing $28 million, or 25.5%, from $110 million in the second quarter of 2022. The average interest rate was 6.19% in the second quarter of 2023 compared to 5.25% in the second quarter of 2022. The average debt balance was $8,911 million in the second quarter of 2023 compared to $8,387 million in the second quarter of 2022.</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(Income) Expense in the second quarter of 2023 was $36 million of expense, compared to $65 million of income in the second quarter of 2022. The change in Other (Income) Expense was primarily due to net gains on asset and other sales in 2023 of $51 million ($37 million after-tax and minority), primarily related to the sale and leaseback transaction of a warehouse in Americas, compared to a gain of $95 million ($71 million after-tax and minority) in 2022, primarily related to the sale and leaseback transaction of certain consumer and commercial retail locations in Americas, a $30 million net increase in foreign currency exchange losses driven by the weakening of the Turkish lira and Argentine peso, pension settlement charges of $36 million ($28 million after-tax and minority) in 2023 compared to pension settlement charges of $18 million ($13 million after-tax and minority) in 2022, and $4 million ($2 million after-tax and minority) of expense in 2023 for non-indemnified costs for product liability claims related to products manufactured by a formerly consolidated joint venture entity.</w:t>
      </w:r>
    </w:p>
    <w:p>
      <w:pPr>
        <w:spacing w:after="0" w:line="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second quarter of 2023, we recorded an income tax benefit of $2 million on a loss before income taxes of $210 million. Income tax benefit for the three months ended June 30, 2023 was unfavorably impacted by net discrete tax expense of $2 million ($2 million after minority interest).</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second quarter of 2022, we recorded income tax expense of $82 million on income before income taxes of $252 million. Income tax expense for the three months ended June 30, 2022 includes net discrete tax expense of $14 million ($14 million after minority interest), primarily related to the write off of deferred tax assets for tax loss carryforwards in the UK.</w:t>
      </w:r>
    </w:p>
    <w:p>
      <w:pPr>
        <w:spacing w:after="0" w:line="76" w:lineRule="exact"/>
        <w:rPr>
          <w:sz w:val="20"/>
          <w:szCs w:val="20"/>
          <w:color w:val="auto"/>
        </w:rPr>
      </w:pPr>
    </w:p>
    <w:p>
      <w:pPr>
        <w:ind w:right="1520"/>
        <w:spacing w:after="0" w:line="375" w:lineRule="auto"/>
        <w:rPr>
          <w:sz w:val="20"/>
          <w:szCs w:val="20"/>
          <w:color w:val="auto"/>
        </w:rPr>
      </w:pPr>
      <w:r>
        <w:rPr>
          <w:rFonts w:ascii="Arial" w:cs="Arial" w:eastAsia="Arial" w:hAnsi="Arial"/>
          <w:sz w:val="18"/>
          <w:szCs w:val="18"/>
          <w:color w:val="auto"/>
        </w:rPr>
        <w:t xml:space="preserve">Minority shareholders’ net income in the second quarter of 2023 was breakeven, compared to $4 million in the second quarter of 2022. </w:t>
      </w:r>
      <w:r>
        <w:rPr>
          <w:rFonts w:ascii="Arial" w:cs="Arial" w:eastAsia="Arial" w:hAnsi="Arial"/>
          <w:sz w:val="18"/>
          <w:szCs w:val="18"/>
          <w:b w:val="1"/>
          <w:bCs w:val="1"/>
          <w:i w:val="1"/>
          <w:iCs w:val="1"/>
          <w:color w:val="auto"/>
        </w:rPr>
        <w:t>Six Months Ended June 30, 2023 and 2022</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in the first six months of 2023 were $9,808 million, decreasing $312 million, or 3.1%, from $10,120 million in the first six months of 2022. Goodyear net loss was $309 million, or $1.08 per share, in the first six months of 2023, compared to Goodyear net income of $262 million, or $0.91 per share, in the first six months of 2022.</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sales decreased in the first six months of 2023 primarily due to lower tire volume of $693 million, representing lower tire volume in Americas and EMEA, partially offset by higher tire volume in Asia Pacific, unfavorable foreign currency translation of $264 million, driven by the strengthening of the U.S. dollar, and the unfavorable impact of the Tupelo storm of $77 million. These decreases were partially offset by global improvements in price and product mix of $701 million and higher sales in other tire-related businesses of $18 million, primarily driven by growth in EMEA’s Fleet Solutions, higher global aviation sales and increased retail sales in Americas, partially offset by a decrease in third-party chemical sales in Americas.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Worldwide tire unit sales in the first six months of 2023 were 82.6 million units, decreasing 8.0 million units, or 8.9%, from 90.6 million units in the first six months of 2022. Replacement tire volume decreased globally by 9.4 million units, or 13.2%, driven by reduced industry demand. OE tire volume increased globally by 1.4 million units, or 6.8%, reflecting the impact of new consumer fitments and continued recovery in OE production.</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CGS in the first six months of 2023 was $8,316 million, increasing $178 million, or 2.2%, from $8,138 million in the first six months of 2022. CGS increased primarily due to higher raw material costs of $402 million, increased conversion costs of $357 million driven by inflation, the effect of decreased tire production on fixed cost absorption and higher energy costs, higher transportation and imported tire costs of $112 million, higher costs related to product mix of $64 million, primarily in EMEA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54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and Americas, and $23 million ($20 million after-tax and minority) of accelerated depreciation and asset write-offs, primarily related to the integration of Cooper Tire and the closure of Melksham. These increases were partially offset by lower tire volume of $526 million, foreign currency translation of $213 million, driven by the strengthening of the U.S. dollar, and lower research and development costs of $21 million. CGS in the first six months of 2023 was favorably impacted by a $5 million ($4 million after-tax and minority) reversal of a portion of the estimated cleanup costs associated with the permanent closure of Gadsden and a successful legal claim of $3 million ($3 million after-tax and minority) related to a 2005 warehouse fire in Spain.</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CGS in the first six months of 2023 and 2022 included pension expense of $8 million and $11 million, respectively. CGS was 84.8% of sales in the first six months of 2023, compared to 80.4% in the first six months of 2022.</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SAG in the first six months of 2023 was $1,372 million, decreasing $33 million, or 2.3%, from $1,405 million in the first six months of 2022. SAG decreased primarily due to foreign currency translation of $30 million driven by the strengthening of the U.S. dollar, lower advertising costs of $18 million, recoveries of previously written-off accounts receivable and other assets in Russia of $10 million ($10 million after-tax and minority) and lower legal reserves of $8 million. These decreases were partially offset by the impact of inflation.</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SAG in the first six months of 2023 and 2022 included pension expense of $5 million and $8 million, respectively. SAG in the first six months of 2023 included $22 million of incremental savings from rationalization plans, compared to $2 million in 2022. SAG was 14.0% of sales in the first six months of 2023, compared to 13.9% in the first six months of 2022.</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net rationalization charges of $104 million ($84 million after-tax and minority) in the first six months of 2023 and $37 million ($29 million after-tax and minority) in the first six months of 2022. Net rationalization charges in the first six months of 2023 primarily related to the proposed plan to reduce production capacity at Fulda, the plan to streamline our EMEA distribution network and the plan to reduce global operations and technology costs. Net rationalization charges in the first six months of 2022 primarily related to the plan to reduce duplicative global SAG headcount and close redundant warehouse locations in Americas as part of the integration of Cooper Tire. For further information, refer to Note to the Consolidated Financial Statements No. 3, Costs Associated with Rationalization Programs.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in the first six months of 2023 was $265 million, increasing $51 million, or 23.8%, from $214 million in the first six months of 2022. The average interest rate was 6.11% in the first six months of 2023 compared to 5.26% in the first six months of 2022. The average debt balance was $8,681 million in the first six months of 2023 compared to $8,135 million in the first six months of 2022.</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Other (Income) Expense in the first six months of 2023 was $61 million of expense, compared to $60 million of income in the first six months of 2022. The change in Other (Income) Expense was primarily due to an increase in non-service related pension and other postretirement benefits cost of $51 million due to higher interest rates and pension settlement charges of $36 million ($28 after-tax and minority) in 2023 compared to pension settlement charges of $18 million ($13 million after-tax and minority) in 2022. Additionally, the change in Other (Income) Expense reflects net gains on asset and other sales in 2023 of $52 million ($37 million after-tax and minority), primarily related to the sale and leaseback transaction of a warehouse in Americas, compared to a gain of $98 million ($75 million after-tax and minority) in 2022, primarily related to the sale and leaseback transaction of certain consumer and commercial retail locations in Americas, a $40 million net increase in foreign currency exchange losses driven by the weakening of the Turkish lira and Argentine peso, and $15 million ($11 million after-tax and minority) of expense for non-indemnified costs for product liability claims related to products manufactured by a formerly consolidated joint venture entity. These increases were partially offset by an increase in interest income of $23 million in Argentina, $11 million ($8 million after-tax and minority) of income related to a favorable court decision setting aside a previous unfavorable verdict on intellectual property-related legal claims, and $5 million ($5 million after-tax and minority) of income related to the write-off of accumulated foreign currency translation in Russia.</w:t>
      </w:r>
    </w:p>
    <w:p>
      <w:pPr>
        <w:spacing w:after="0" w:line="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first six months of 2023, we recorded an income tax benefit of $3 million on a loss before income taxes of $310 million. Income tax benefit for the six months ended June 30, 2023 was unfavorably impacted by net discrete tax expense of $3 million ($2 million after minority interest).</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six months of 2022, we recorded income tax expense of $120 million on income before income taxes of $386 million. Income tax expense for the six months ended June 30, 2022 includes net discrete tax expense of $18 million ($18 million after minority interest), including charges of $14 million to write off deferred tax assets related to tax loss carryforwards in the UK and $11 million to establish a full valuation allowance on our net deferred tax assets in Russia, partially offset by a net benefit of $7 million for various other items.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 taxes based on overall estimated annual effective tax rates. The difference between our effective tax rate and the U.S. statutory rate of 21% for both the six months ended June 30, 2023 and 2022 primarily relates to losses in foreign jurisdictions in which no tax benefits are recorded and the discrete items noted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549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2023, we do not anticipate that the 15% corporate alternative minimum tax ("CAMT") under the Inflation Reduction Act of 2022 will apply to us due to the significant pandemic-driven losses we incurred in 2020. As allowed, we elected to not consider the estimated impact of potential future CAMT obligations for purposes of assessing valuation allowances on our deferred tax assets.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2023 and December 31, 2022, we had approximately $1.2 billion and $1.1 billion of U.S. federal, state and local net deferred tax assets, respectively, inclusive of valuation allowances totaling $26 million in each period primarily for state tax loss carryforwards with limited lives. Approximately $800 million of these U.S. net deferred tax assets have unlimited lives and approximately $400 million have limited lives and expire between 2023 and 2042.</w:t>
      </w:r>
    </w:p>
    <w:p>
      <w:pPr>
        <w:spacing w:after="0" w:line="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June 30, 2023 and December 31, 2022, our U.S. net deferred tax assets described above include approximately $240 million and $230 million, respectively, of foreign tax credits with limited lives. Our earnings and forecasts of future profitability, taking into consideration recent trends, along with three significant sources of foreign income, provide us sufficient positive evidence that we will be able to utilize these net foreign tax credits which expire through 2032.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accelerating income on cross border transactions, including sales of inventory or raw materials to our subsidiaries, reducing U.S. interest expense by, for example, reducing intercompany loans through repatriating current year earnings of foreign subsidiaries, and other financing transactions, all of which would increase our domestic profitability.</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consider our current forecasts of future profitability in assessing our ability to realize our deferred tax assets, including our foreign tax credits. These forecasts include the impact of recent trends, including various macroeconomic factors such as the impact of higher raw material, transportation, labor and energy costs, on our profitability, as well as the impact of tax planning strategies. These macroeconomic factors possess a high degree of volatility and can significantly impact our profitability. As such, there is a risk that future earnings will not be sufficient to fully utilize our U.S. net deferred tax assets, including our foreign tax credits. However, we believe our forecasts of future profitability along with the three significant sources of foreign income described above provide us sufficient positive, objectively verifiable evidence to conclude that it is more likely than not that, at June 30, 2023, our U.S. net deferred tax assets, including our foreign tax credits, will be fully utilized.</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June 30, 2023 and December 31, 2022, we also had approximately $1.3 billion and $1.2 billion of foreign net deferred tax assets, respectively, and related valuation allowances of approximately $1.1 billion and $1.0 billion, respectively.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$940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information regarding income taxes and the realizability of our deferred tax assets, including our foreign tax credits, refer to Note to the Consolidated Financial Statements No. 5, Income Taxes.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Minority shareholders’ net income in the first six months of 2023 was $2 million, compared to $4 million in the first six months of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information reflects our strategic business units (“SBUs”), which are organized to meet customer requirements and global competition and are segmented on a regional basis.</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 administrative expenses). Segment operating income also includes certain royalties and equity in earnings of most affiliates. Segment operating income does not include net rationalization charges (credits), asset sales and certain other items.</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segment operating income for the second quarter of 2023 was $124 million, a decrease of $240 million, or 65.9%, from $364 million in the second quarter of 2022. Total segment operating margin in the second quarter of 2023 was 2.5%, compared to 7.0% in the second quarter of 2022. Total segment operating income for the first six months of 2023 was $249 million, a decrease of $418 million, or 62.7%, from $667 million in the first six months of 2022. Total segment operating margin in the first six months of 2023 was 2.5%, compared to 6.6% in the first six months of 2022.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549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Note to the Consolidated Financial Statements No. 7, Business Segments, for further information and for a reconciliation of total segment operating income to Income (Loss) before Income Taxes.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Americas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6"/>
              </w:rPr>
              <w:t>Three Months Ended June 30,</w:t>
            </w:r>
          </w:p>
        </w:tc>
        <w:tc>
          <w:tcPr>
            <w:tcW w:w="9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3"/>
        </w:trPr>
        <w:tc>
          <w:tcPr>
            <w:tcW w:w="3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ind w:left="180"/>
              <w:spacing w:after="0" w:line="133"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ind w:left="180"/>
              <w:spacing w:after="0" w:line="133" w:lineRule="exact"/>
              <w:rPr>
                <w:sz w:val="20"/>
                <w:szCs w:val="20"/>
                <w:color w:val="auto"/>
              </w:rPr>
            </w:pPr>
            <w:r>
              <w:rPr>
                <w:rFonts w:ascii="Arial" w:cs="Arial" w:eastAsia="Arial" w:hAnsi="Arial"/>
                <w:sz w:val="14"/>
                <w:szCs w:val="14"/>
                <w:b w:val="1"/>
                <w:bCs w:val="1"/>
                <w:color w:val="auto"/>
              </w:rPr>
              <w:t>Percent</w:t>
            </w:r>
          </w:p>
        </w:tc>
        <w:tc>
          <w:tcPr>
            <w:tcW w:w="80" w:type="dxa"/>
            <w:vAlign w:val="bottom"/>
          </w:tcPr>
          <w:p>
            <w:pPr>
              <w:spacing w:after="0"/>
              <w:rPr>
                <w:sz w:val="11"/>
                <w:szCs w:val="11"/>
                <w:color w:val="auto"/>
              </w:rPr>
            </w:pPr>
          </w:p>
        </w:tc>
      </w:tr>
      <w:tr>
        <w:trPr>
          <w:trHeight w:val="185"/>
        </w:trPr>
        <w:tc>
          <w:tcPr>
            <w:tcW w:w="34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6"/>
                <w:szCs w:val="16"/>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6"/>
              </w:rPr>
              <w:t>2023</w:t>
            </w:r>
          </w:p>
        </w:tc>
        <w:tc>
          <w:tcPr>
            <w:tcW w:w="180" w:type="dxa"/>
            <w:vAlign w:val="bottom"/>
          </w:tcPr>
          <w:p>
            <w:pPr>
              <w:spacing w:after="0"/>
              <w:rPr>
                <w:sz w:val="16"/>
                <w:szCs w:val="16"/>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6"/>
                <w:szCs w:val="16"/>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6"/>
                <w:szCs w:val="16"/>
                <w:color w:val="auto"/>
              </w:rPr>
            </w:pPr>
          </w:p>
        </w:tc>
      </w:tr>
      <w:tr>
        <w:trPr>
          <w:trHeight w:val="210"/>
        </w:trPr>
        <w:tc>
          <w:tcPr>
            <w:tcW w:w="3400" w:type="dxa"/>
            <w:vAlign w:val="bottom"/>
          </w:tcPr>
          <w:p>
            <w:pPr>
              <w:ind w:left="20"/>
              <w:spacing w:after="0"/>
              <w:rPr>
                <w:sz w:val="20"/>
                <w:szCs w:val="20"/>
                <w:color w:val="auto"/>
              </w:rPr>
            </w:pPr>
            <w:r>
              <w:rPr>
                <w:rFonts w:ascii="Arial" w:cs="Arial" w:eastAsia="Arial" w:hAnsi="Arial"/>
                <w:sz w:val="17"/>
                <w:szCs w:val="17"/>
                <w:color w:val="auto"/>
              </w:rPr>
              <w:t>Tire Units</w:t>
            </w:r>
          </w:p>
        </w:tc>
        <w:tc>
          <w:tcPr>
            <w:tcW w:w="780" w:type="dxa"/>
            <w:vAlign w:val="bottom"/>
          </w:tcPr>
          <w:p>
            <w:pPr>
              <w:jc w:val="right"/>
              <w:ind w:right="57"/>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61"/>
              <w:spacing w:after="0"/>
              <w:rPr>
                <w:sz w:val="20"/>
                <w:szCs w:val="20"/>
                <w:color w:val="auto"/>
              </w:rPr>
            </w:pPr>
            <w:r>
              <w:rPr>
                <w:rFonts w:ascii="Arial" w:cs="Arial" w:eastAsia="Arial" w:hAnsi="Arial"/>
                <w:sz w:val="17"/>
                <w:szCs w:val="17"/>
                <w:color w:val="auto"/>
              </w:rPr>
              <w:t>23.3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(2.5 )</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(10.9 )%</w:t>
            </w:r>
          </w:p>
        </w:tc>
        <w:tc>
          <w:tcPr>
            <w:tcW w:w="140" w:type="dxa"/>
            <w:vAlign w:val="bottom"/>
          </w:tcPr>
          <w:p>
            <w:pPr>
              <w:spacing w:after="0"/>
              <w:rPr>
                <w:sz w:val="18"/>
                <w:szCs w:val="18"/>
                <w:color w:val="auto"/>
              </w:rPr>
            </w:pPr>
          </w:p>
        </w:tc>
        <w:tc>
          <w:tcPr>
            <w:tcW w:w="620" w:type="dxa"/>
            <w:vAlign w:val="bottom"/>
          </w:tcPr>
          <w:p>
            <w:pPr>
              <w:jc w:val="right"/>
              <w:ind w:right="57"/>
              <w:spacing w:after="0"/>
              <w:rPr>
                <w:sz w:val="20"/>
                <w:szCs w:val="20"/>
                <w:color w:val="auto"/>
              </w:rPr>
            </w:pPr>
            <w:r>
              <w:rPr>
                <w:rFonts w:ascii="Arial" w:cs="Arial" w:eastAsia="Arial" w:hAnsi="Arial"/>
                <w:sz w:val="17"/>
                <w:szCs w:val="17"/>
                <w:color w:val="auto"/>
              </w:rPr>
              <w:t>41.3</w:t>
            </w:r>
          </w:p>
        </w:tc>
        <w:tc>
          <w:tcPr>
            <w:tcW w:w="18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7"/>
                <w:szCs w:val="17"/>
                <w:color w:val="auto"/>
              </w:rPr>
              <w:t>45.5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(4.2 )</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(9.3 )%</w:t>
            </w:r>
          </w:p>
        </w:tc>
      </w:tr>
      <w:tr>
        <w:trPr>
          <w:trHeight w:val="225"/>
        </w:trPr>
        <w:tc>
          <w:tcPr>
            <w:tcW w:w="3400" w:type="dxa"/>
            <w:vAlign w:val="bottom"/>
          </w:tcPr>
          <w:p>
            <w:pPr>
              <w:ind w:left="20"/>
              <w:spacing w:after="0"/>
              <w:rPr>
                <w:sz w:val="20"/>
                <w:szCs w:val="20"/>
                <w:color w:val="auto"/>
              </w:rPr>
            </w:pPr>
            <w:r>
              <w:rPr>
                <w:rFonts w:ascii="Arial" w:cs="Arial" w:eastAsia="Arial" w:hAnsi="Arial"/>
                <w:sz w:val="17"/>
                <w:szCs w:val="17"/>
                <w:color w:val="auto"/>
              </w:rPr>
              <w:t>Net Sales</w:t>
            </w:r>
          </w:p>
        </w:tc>
        <w:tc>
          <w:tcPr>
            <w:tcW w:w="780" w:type="dxa"/>
            <w:vAlign w:val="bottom"/>
          </w:tcPr>
          <w:p>
            <w:pPr>
              <w:jc w:val="right"/>
              <w:ind w:right="57"/>
              <w:spacing w:after="0"/>
              <w:rPr>
                <w:sz w:val="20"/>
                <w:szCs w:val="20"/>
                <w:color w:val="auto"/>
              </w:rPr>
            </w:pPr>
            <w:r>
              <w:rPr>
                <w:rFonts w:ascii="Arial" w:cs="Arial" w:eastAsia="Arial" w:hAnsi="Arial"/>
                <w:sz w:val="17"/>
                <w:szCs w:val="17"/>
                <w:color w:val="auto"/>
              </w:rPr>
              <w:t>$  2,939</w:t>
            </w:r>
          </w:p>
        </w:tc>
        <w:tc>
          <w:tcPr>
            <w:tcW w:w="100" w:type="dxa"/>
            <w:vAlign w:val="bottom"/>
          </w:tcPr>
          <w:p>
            <w:pPr>
              <w:spacing w:after="0"/>
              <w:rPr>
                <w:sz w:val="19"/>
                <w:szCs w:val="19"/>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7"/>
                <w:szCs w:val="17"/>
                <w:color w:val="auto"/>
              </w:rPr>
              <w:t>$  3,147</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(208 )</w:t>
            </w:r>
          </w:p>
        </w:tc>
        <w:tc>
          <w:tcPr>
            <w:tcW w:w="120" w:type="dxa"/>
            <w:vAlign w:val="bottom"/>
          </w:tcPr>
          <w:p>
            <w:pPr>
              <w:spacing w:after="0"/>
              <w:rPr>
                <w:sz w:val="19"/>
                <w:szCs w:val="19"/>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7"/>
                <w:szCs w:val="17"/>
                <w:color w:val="auto"/>
              </w:rPr>
              <w:t>(6.6 )% $</w:t>
            </w:r>
          </w:p>
        </w:tc>
        <w:tc>
          <w:tcPr>
            <w:tcW w:w="620" w:type="dxa"/>
            <w:vAlign w:val="bottom"/>
          </w:tcPr>
          <w:p>
            <w:pPr>
              <w:jc w:val="right"/>
              <w:ind w:right="57"/>
              <w:spacing w:after="0"/>
              <w:rPr>
                <w:sz w:val="20"/>
                <w:szCs w:val="20"/>
                <w:color w:val="auto"/>
              </w:rPr>
            </w:pPr>
            <w:r>
              <w:rPr>
                <w:rFonts w:ascii="Arial" w:cs="Arial" w:eastAsia="Arial" w:hAnsi="Arial"/>
                <w:sz w:val="17"/>
                <w:szCs w:val="17"/>
                <w:color w:val="auto"/>
              </w:rPr>
              <w:t>5,806</w:t>
            </w:r>
          </w:p>
        </w:tc>
        <w:tc>
          <w:tcPr>
            <w:tcW w:w="18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7"/>
                <w:szCs w:val="17"/>
                <w:color w:val="auto"/>
              </w:rPr>
              <w:t>$  6,062</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(256 )</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(4.2 )%</w:t>
            </w:r>
          </w:p>
        </w:tc>
      </w:tr>
      <w:tr>
        <w:trPr>
          <w:trHeight w:val="229"/>
        </w:trPr>
        <w:tc>
          <w:tcPr>
            <w:tcW w:w="340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780" w:type="dxa"/>
            <w:vAlign w:val="bottom"/>
          </w:tcPr>
          <w:p>
            <w:pPr>
              <w:jc w:val="right"/>
              <w:ind w:right="57"/>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9"/>
                <w:szCs w:val="19"/>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7"/>
                <w:szCs w:val="17"/>
                <w:color w:val="auto"/>
              </w:rPr>
              <w:t>293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(190 )</w:t>
            </w:r>
          </w:p>
        </w:tc>
        <w:tc>
          <w:tcPr>
            <w:tcW w:w="1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(64.8 )%</w:t>
            </w:r>
          </w:p>
        </w:tc>
        <w:tc>
          <w:tcPr>
            <w:tcW w:w="140" w:type="dxa"/>
            <w:vAlign w:val="bottom"/>
          </w:tcPr>
          <w:p>
            <w:pPr>
              <w:spacing w:after="0"/>
              <w:rPr>
                <w:sz w:val="19"/>
                <w:szCs w:val="19"/>
                <w:color w:val="auto"/>
              </w:rPr>
            </w:pPr>
          </w:p>
        </w:tc>
        <w:tc>
          <w:tcPr>
            <w:tcW w:w="620" w:type="dxa"/>
            <w:vAlign w:val="bottom"/>
          </w:tcPr>
          <w:p>
            <w:pPr>
              <w:jc w:val="right"/>
              <w:ind w:right="57"/>
              <w:spacing w:after="0"/>
              <w:rPr>
                <w:sz w:val="20"/>
                <w:szCs w:val="20"/>
                <w:color w:val="auto"/>
              </w:rPr>
            </w:pPr>
            <w:r>
              <w:rPr>
                <w:rFonts w:ascii="Arial" w:cs="Arial" w:eastAsia="Arial" w:hAnsi="Arial"/>
                <w:sz w:val="17"/>
                <w:szCs w:val="17"/>
                <w:color w:val="auto"/>
              </w:rPr>
              <w:t>182</w:t>
            </w:r>
          </w:p>
        </w:tc>
        <w:tc>
          <w:tcPr>
            <w:tcW w:w="18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7"/>
                <w:szCs w:val="17"/>
                <w:color w:val="auto"/>
              </w:rPr>
              <w:t>509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(327 )</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(64.2 )%</w:t>
            </w:r>
          </w:p>
        </w:tc>
      </w:tr>
      <w:tr>
        <w:trPr>
          <w:trHeight w:val="229"/>
        </w:trPr>
        <w:tc>
          <w:tcPr>
            <w:tcW w:w="3400" w:type="dxa"/>
            <w:vAlign w:val="bottom"/>
          </w:tcPr>
          <w:p>
            <w:pPr>
              <w:ind w:left="20"/>
              <w:spacing w:after="0"/>
              <w:rPr>
                <w:sz w:val="20"/>
                <w:szCs w:val="20"/>
                <w:color w:val="auto"/>
              </w:rPr>
            </w:pPr>
            <w:r>
              <w:rPr>
                <w:rFonts w:ascii="Arial" w:cs="Arial" w:eastAsia="Arial" w:hAnsi="Arial"/>
                <w:sz w:val="17"/>
                <w:szCs w:val="17"/>
                <w:color w:val="auto"/>
              </w:rPr>
              <w:t>Operating Margin</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3.5 %</w:t>
            </w:r>
          </w:p>
        </w:tc>
        <w:tc>
          <w:tcPr>
            <w:tcW w:w="1040" w:type="dxa"/>
            <w:vAlign w:val="bottom"/>
            <w:gridSpan w:val="3"/>
          </w:tcPr>
          <w:p>
            <w:pPr>
              <w:jc w:val="right"/>
              <w:ind w:right="160"/>
              <w:spacing w:after="0"/>
              <w:rPr>
                <w:sz w:val="20"/>
                <w:szCs w:val="20"/>
                <w:color w:val="auto"/>
              </w:rPr>
            </w:pPr>
            <w:r>
              <w:rPr>
                <w:rFonts w:ascii="Arial" w:cs="Arial" w:eastAsia="Arial" w:hAnsi="Arial"/>
                <w:sz w:val="17"/>
                <w:szCs w:val="17"/>
                <w:color w:val="auto"/>
              </w:rPr>
              <w:t>9.3 %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3.1 %</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8.4 %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7132320" cy="1454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454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2023 and 2022</w:t>
      </w:r>
    </w:p>
    <w:p>
      <w:pPr>
        <w:spacing w:after="0" w:line="11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Americas unit sales in the second quarter of 2023 decreased 2.5 million units, or 10.9%, to 20.8 million units. Replacement tire volume decreased 2.5 million units, or 12.8%, primarily due to a decrease in our consumer business, driven by reduced industry demand and the impact of a severe storm at our Tupelo facility. OE tire volume was flat compared to the second quarter of 2022.</w:t>
      </w:r>
    </w:p>
    <w:p>
      <w:pPr>
        <w:spacing w:after="0" w:line="76" w:lineRule="exact"/>
        <w:rPr>
          <w:sz w:val="20"/>
          <w:szCs w:val="20"/>
          <w:color w:val="auto"/>
        </w:rPr>
      </w:pPr>
    </w:p>
    <w:p>
      <w:pPr>
        <w:jc w:val="both"/>
        <w:ind w:right="80"/>
        <w:spacing w:after="0" w:line="296" w:lineRule="auto"/>
        <w:rPr>
          <w:sz w:val="20"/>
          <w:szCs w:val="20"/>
          <w:color w:val="auto"/>
        </w:rPr>
      </w:pPr>
      <w:r>
        <w:rPr>
          <w:rFonts w:ascii="Arial" w:cs="Arial" w:eastAsia="Arial" w:hAnsi="Arial"/>
          <w:sz w:val="16"/>
          <w:szCs w:val="16"/>
          <w:color w:val="auto"/>
        </w:rPr>
        <w:t>Net sales in the second quarter of 2023 were $2,939 million, decreasing $208 million, or 6.6%, from $3,147 million in the second quarter of 2022. The decrease in net sales was primarily due to lower tire volume of $175 million, the unfavorable impact of the Tupelo storm of $77 million, unfavorable foreign currency translation of $18 million, primarily related to weakening of the Brazilian real and Canadian dollar, partially offset by strengthening of the Mexican peso, and decreased sales in other tire-related businesses of $17 million, primarily due to lower third-party chemical sales, partially offset by higher aviation and retail sales. These decreases were partially offset by improvements in price and product mix of $79 million, driven by price increases.</w:t>
      </w:r>
    </w:p>
    <w:p>
      <w:pPr>
        <w:spacing w:after="0" w:line="53"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Operating income in the second quarter of 2023 was $103 million, decreasing $190 million, or 64.8%, from $293 million in the second quarter of 2022. The decrease in operating income was due to higher conversion costs of $103 million, driven by the effect of decreased tire production on fixed cost absorption and inflation, $50 million as a result of the Tupelo storm, lower tire volume of $43 million, and higher transportation and imported tire costs of $13 million. These decreases were partially offset by improvements in price and product mix of $27 million, which more than offset higher raw material costs of $23 million, higher earnings in other tire-related businesses of $13 million, primarily due to higher aviation sales, and lower SAG of $9 million. Operating income for 2023 includes incremental SAG savings from rationalization plans of $7 million.</w:t>
      </w:r>
    </w:p>
    <w:p>
      <w:pPr>
        <w:spacing w:after="0" w:line="70"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Operating income in the second quarter of 2023 excluded accelerated depreciation and asset write-offs of $7 million, net rationalization charges of $3 million and net gains on asset sales of $60 million, primarily related to the sale and leaseback transaction for a warehouse in the United States. Operating income in the second quarter of 2022 excluded net rationalization charges of $11 million and net gains on asset sales of $95 million, primarily related to the sale and leaseback transaction for certain consumer and commercial retail locations in the 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and 2022</w:t>
      </w:r>
    </w:p>
    <w:p>
      <w:pPr>
        <w:spacing w:after="0" w:line="11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Americas unit sales in the first six months of 2023 decreased 4.2 million units, or 9.3%, to 41.3 million units. Replacement tire volume decreased 4.3 million units, or 11.4%, primarily due to a decrease in our consumer business, driven by reduced industry demand and the impact of the severe weather event at our Tupelo facility. OE tire volume increased 0.1 million units, or 1.9%.</w:t>
      </w:r>
    </w:p>
    <w:p>
      <w:pPr>
        <w:spacing w:after="0" w:line="76"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Net sales in the first six months of 2023 were $5,806 million, decreasing $256 million, or 4.2%, from $6,062 million in the first six months of 2022. The decrease in net sales was primarily due to lower tire volume of $358 million, the unfavorable impact of the Tupelo storm of $77 million, and unfavorable foreign currency translation of $17 million, primarily related to weakening of the Canadian dollar and Brazilian real, partially offset by strengthening of the Mexican peso. These decreases were partially offset by improvements in price and product mix of $208 million, driven by price increases.</w:t>
      </w:r>
    </w:p>
    <w:p>
      <w:pPr>
        <w:spacing w:after="0" w:line="49"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Operating income in the first six months of 2023 was $182 million, decreasing $327 million, or 64.2%, from $509 million in the first six months of 2022. The decrease in operating income was due to higher conversion costs of $192 million, driven by the effect of decreased tire production on fixed cost absorption and inflation, lower tire volume of $87 million, higher transportation and imported tire costs of $84 million, and $50 million as a result of the Tupelo storm. These decreases were partially offset by improvements in price and product mix of $176 million, which more than offset higher raw material costs of $129 million, lower SAG of $13 million, and higher earnings in other tire-related businesses of $11 million, primarily driven by higher aviation sales. Operating income for 2023 includes incremental SAG savings from rationalization plans of $14 million.</w:t>
      </w:r>
    </w:p>
    <w:p>
      <w:pPr>
        <w:spacing w:after="0" w:line="17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549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Operating income in the first six months of 2023 excluded accelerated depreciation and asset write-offs of $15 million, net rationalization charges of $8 million and net gains on asset sales of $62 million, primarily related to the warehouse sale and leaseback transaction. Operating income in the first six months of 2022 excluded net rationalization charges of $18 million and net gains on asset sales of $98 million, primarily related to the retail sale and leaseback transaction.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Europe, Middle East and Africa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6"/>
              </w:rPr>
              <w:t>Three Months Ended June 30,</w:t>
            </w:r>
          </w:p>
        </w:tc>
        <w:tc>
          <w:tcPr>
            <w:tcW w:w="9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3"/>
        </w:trPr>
        <w:tc>
          <w:tcPr>
            <w:tcW w:w="3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ind w:left="180"/>
              <w:spacing w:after="0" w:line="133"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ind w:left="180"/>
              <w:spacing w:after="0" w:line="133" w:lineRule="exact"/>
              <w:rPr>
                <w:sz w:val="20"/>
                <w:szCs w:val="20"/>
                <w:color w:val="auto"/>
              </w:rPr>
            </w:pPr>
            <w:r>
              <w:rPr>
                <w:rFonts w:ascii="Arial" w:cs="Arial" w:eastAsia="Arial" w:hAnsi="Arial"/>
                <w:sz w:val="14"/>
                <w:szCs w:val="14"/>
                <w:b w:val="1"/>
                <w:bCs w:val="1"/>
                <w:color w:val="auto"/>
              </w:rPr>
              <w:t>Percent</w:t>
            </w:r>
          </w:p>
        </w:tc>
        <w:tc>
          <w:tcPr>
            <w:tcW w:w="80" w:type="dxa"/>
            <w:vAlign w:val="bottom"/>
          </w:tcPr>
          <w:p>
            <w:pPr>
              <w:spacing w:after="0"/>
              <w:rPr>
                <w:sz w:val="11"/>
                <w:szCs w:val="11"/>
                <w:color w:val="auto"/>
              </w:rPr>
            </w:pPr>
          </w:p>
        </w:tc>
      </w:tr>
      <w:tr>
        <w:trPr>
          <w:trHeight w:val="185"/>
        </w:trPr>
        <w:tc>
          <w:tcPr>
            <w:tcW w:w="34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6"/>
                <w:szCs w:val="16"/>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6"/>
              </w:rPr>
              <w:t>2023</w:t>
            </w:r>
          </w:p>
        </w:tc>
        <w:tc>
          <w:tcPr>
            <w:tcW w:w="180" w:type="dxa"/>
            <w:vAlign w:val="bottom"/>
          </w:tcPr>
          <w:p>
            <w:pPr>
              <w:spacing w:after="0"/>
              <w:rPr>
                <w:sz w:val="16"/>
                <w:szCs w:val="16"/>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6"/>
                <w:szCs w:val="16"/>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6"/>
                <w:szCs w:val="16"/>
                <w:color w:val="auto"/>
              </w:rPr>
            </w:pPr>
          </w:p>
        </w:tc>
      </w:tr>
      <w:tr>
        <w:trPr>
          <w:trHeight w:val="210"/>
        </w:trPr>
        <w:tc>
          <w:tcPr>
            <w:tcW w:w="3400" w:type="dxa"/>
            <w:vAlign w:val="bottom"/>
          </w:tcPr>
          <w:p>
            <w:pPr>
              <w:ind w:left="20"/>
              <w:spacing w:after="0"/>
              <w:rPr>
                <w:sz w:val="20"/>
                <w:szCs w:val="20"/>
                <w:color w:val="auto"/>
              </w:rPr>
            </w:pPr>
            <w:r>
              <w:rPr>
                <w:rFonts w:ascii="Arial" w:cs="Arial" w:eastAsia="Arial" w:hAnsi="Arial"/>
                <w:sz w:val="17"/>
                <w:szCs w:val="17"/>
                <w:color w:val="auto"/>
              </w:rPr>
              <w:t>Tire Units</w:t>
            </w:r>
          </w:p>
        </w:tc>
        <w:tc>
          <w:tcPr>
            <w:tcW w:w="780" w:type="dxa"/>
            <w:vAlign w:val="bottom"/>
          </w:tcPr>
          <w:p>
            <w:pPr>
              <w:jc w:val="right"/>
              <w:ind w:right="57"/>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ind w:right="61"/>
              <w:spacing w:after="0"/>
              <w:rPr>
                <w:sz w:val="20"/>
                <w:szCs w:val="20"/>
                <w:color w:val="auto"/>
              </w:rPr>
            </w:pPr>
            <w:r>
              <w:rPr>
                <w:rFonts w:ascii="Arial" w:cs="Arial" w:eastAsia="Arial" w:hAnsi="Arial"/>
                <w:sz w:val="17"/>
                <w:szCs w:val="17"/>
                <w:color w:val="auto"/>
              </w:rPr>
              <w:t>14.5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(2.7 )</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(19.1 )%</w:t>
            </w:r>
          </w:p>
        </w:tc>
        <w:tc>
          <w:tcPr>
            <w:tcW w:w="140" w:type="dxa"/>
            <w:vAlign w:val="bottom"/>
          </w:tcPr>
          <w:p>
            <w:pPr>
              <w:spacing w:after="0"/>
              <w:rPr>
                <w:sz w:val="18"/>
                <w:szCs w:val="18"/>
                <w:color w:val="auto"/>
              </w:rPr>
            </w:pPr>
          </w:p>
        </w:tc>
        <w:tc>
          <w:tcPr>
            <w:tcW w:w="620" w:type="dxa"/>
            <w:vAlign w:val="bottom"/>
          </w:tcPr>
          <w:p>
            <w:pPr>
              <w:jc w:val="right"/>
              <w:ind w:right="57"/>
              <w:spacing w:after="0"/>
              <w:rPr>
                <w:sz w:val="20"/>
                <w:szCs w:val="20"/>
                <w:color w:val="auto"/>
              </w:rPr>
            </w:pPr>
            <w:r>
              <w:rPr>
                <w:rFonts w:ascii="Arial" w:cs="Arial" w:eastAsia="Arial" w:hAnsi="Arial"/>
                <w:sz w:val="17"/>
                <w:szCs w:val="17"/>
                <w:color w:val="auto"/>
              </w:rPr>
              <w:t>25.0</w:t>
            </w:r>
          </w:p>
        </w:tc>
        <w:tc>
          <w:tcPr>
            <w:tcW w:w="18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7"/>
                <w:szCs w:val="17"/>
                <w:color w:val="auto"/>
              </w:rPr>
              <w:t>29.0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(4.0 )</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(14.1 )%</w:t>
            </w:r>
          </w:p>
        </w:tc>
      </w:tr>
      <w:tr>
        <w:trPr>
          <w:trHeight w:val="225"/>
        </w:trPr>
        <w:tc>
          <w:tcPr>
            <w:tcW w:w="3400" w:type="dxa"/>
            <w:vAlign w:val="bottom"/>
          </w:tcPr>
          <w:p>
            <w:pPr>
              <w:ind w:left="20"/>
              <w:spacing w:after="0"/>
              <w:rPr>
                <w:sz w:val="20"/>
                <w:szCs w:val="20"/>
                <w:color w:val="auto"/>
              </w:rPr>
            </w:pPr>
            <w:r>
              <w:rPr>
                <w:rFonts w:ascii="Arial" w:cs="Arial" w:eastAsia="Arial" w:hAnsi="Arial"/>
                <w:sz w:val="17"/>
                <w:szCs w:val="17"/>
                <w:color w:val="auto"/>
              </w:rPr>
              <w:t>Net Sales</w:t>
            </w:r>
          </w:p>
        </w:tc>
        <w:tc>
          <w:tcPr>
            <w:tcW w:w="780" w:type="dxa"/>
            <w:vAlign w:val="bottom"/>
          </w:tcPr>
          <w:p>
            <w:pPr>
              <w:jc w:val="right"/>
              <w:ind w:right="57"/>
              <w:spacing w:after="0"/>
              <w:rPr>
                <w:sz w:val="20"/>
                <w:szCs w:val="20"/>
                <w:color w:val="auto"/>
              </w:rPr>
            </w:pPr>
            <w:r>
              <w:rPr>
                <w:rFonts w:ascii="Arial" w:cs="Arial" w:eastAsia="Arial" w:hAnsi="Arial"/>
                <w:sz w:val="17"/>
                <w:szCs w:val="17"/>
                <w:color w:val="auto"/>
              </w:rPr>
              <w:t>$  1,341</w:t>
            </w:r>
          </w:p>
        </w:tc>
        <w:tc>
          <w:tcPr>
            <w:tcW w:w="120" w:type="dxa"/>
            <w:vAlign w:val="bottom"/>
          </w:tcPr>
          <w:p>
            <w:pPr>
              <w:spacing w:after="0"/>
              <w:rPr>
                <w:sz w:val="19"/>
                <w:szCs w:val="19"/>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7"/>
                <w:szCs w:val="17"/>
                <w:color w:val="auto"/>
              </w:rPr>
              <w:t>$  1,497</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(156 )</w:t>
            </w:r>
          </w:p>
        </w:tc>
        <w:tc>
          <w:tcPr>
            <w:tcW w:w="120" w:type="dxa"/>
            <w:vAlign w:val="bottom"/>
          </w:tcPr>
          <w:p>
            <w:pPr>
              <w:spacing w:after="0"/>
              <w:rPr>
                <w:sz w:val="19"/>
                <w:szCs w:val="19"/>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7"/>
                <w:szCs w:val="17"/>
                <w:color w:val="auto"/>
              </w:rPr>
              <w:t>(10.4 )% $</w:t>
            </w:r>
          </w:p>
        </w:tc>
        <w:tc>
          <w:tcPr>
            <w:tcW w:w="620" w:type="dxa"/>
            <w:vAlign w:val="bottom"/>
          </w:tcPr>
          <w:p>
            <w:pPr>
              <w:jc w:val="right"/>
              <w:ind w:right="57"/>
              <w:spacing w:after="0"/>
              <w:rPr>
                <w:sz w:val="20"/>
                <w:szCs w:val="20"/>
                <w:color w:val="auto"/>
              </w:rPr>
            </w:pPr>
            <w:r>
              <w:rPr>
                <w:rFonts w:ascii="Arial" w:cs="Arial" w:eastAsia="Arial" w:hAnsi="Arial"/>
                <w:sz w:val="17"/>
                <w:szCs w:val="17"/>
                <w:color w:val="auto"/>
              </w:rPr>
              <w:t>2,833</w:t>
            </w:r>
          </w:p>
        </w:tc>
        <w:tc>
          <w:tcPr>
            <w:tcW w:w="18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7"/>
                <w:szCs w:val="17"/>
                <w:color w:val="auto"/>
              </w:rPr>
              <w:t>$  2,923</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(90 )</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(3.1 )%</w:t>
            </w:r>
          </w:p>
        </w:tc>
      </w:tr>
      <w:tr>
        <w:trPr>
          <w:trHeight w:val="229"/>
        </w:trPr>
        <w:tc>
          <w:tcPr>
            <w:tcW w:w="340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780" w:type="dxa"/>
            <w:vAlign w:val="bottom"/>
          </w:tcPr>
          <w:p>
            <w:pPr>
              <w:jc w:val="right"/>
              <w:spacing w:after="0"/>
              <w:rPr>
                <w:sz w:val="20"/>
                <w:szCs w:val="20"/>
                <w:color w:val="auto"/>
              </w:rPr>
            </w:pPr>
            <w:r>
              <w:rPr>
                <w:rFonts w:ascii="Arial" w:cs="Arial" w:eastAsia="Arial" w:hAnsi="Arial"/>
                <w:sz w:val="17"/>
                <w:szCs w:val="17"/>
                <w:color w:val="auto"/>
              </w:rPr>
              <w:t>(19 )</w:t>
            </w:r>
          </w:p>
        </w:tc>
        <w:tc>
          <w:tcPr>
            <w:tcW w:w="120" w:type="dxa"/>
            <w:vAlign w:val="bottom"/>
          </w:tcPr>
          <w:p>
            <w:pPr>
              <w:spacing w:after="0"/>
              <w:rPr>
                <w:sz w:val="19"/>
                <w:szCs w:val="19"/>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7"/>
                <w:szCs w:val="17"/>
                <w:color w:val="auto"/>
              </w:rPr>
              <w:t>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(71 )</w:t>
            </w:r>
          </w:p>
        </w:tc>
        <w:tc>
          <w:tcPr>
            <w:tcW w:w="1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(136.5 )%</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(11 )</w:t>
            </w:r>
          </w:p>
        </w:tc>
        <w:tc>
          <w:tcPr>
            <w:tcW w:w="18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7"/>
                <w:szCs w:val="17"/>
                <w:color w:val="auto"/>
              </w:rPr>
              <w:t>111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(122 )</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(109.9 )%</w:t>
            </w:r>
          </w:p>
        </w:tc>
      </w:tr>
      <w:tr>
        <w:trPr>
          <w:trHeight w:val="229"/>
        </w:trPr>
        <w:tc>
          <w:tcPr>
            <w:tcW w:w="3400" w:type="dxa"/>
            <w:vAlign w:val="bottom"/>
          </w:tcPr>
          <w:p>
            <w:pPr>
              <w:ind w:left="20"/>
              <w:spacing w:after="0"/>
              <w:rPr>
                <w:sz w:val="20"/>
                <w:szCs w:val="20"/>
                <w:color w:val="auto"/>
              </w:rPr>
            </w:pPr>
            <w:r>
              <w:rPr>
                <w:rFonts w:ascii="Arial" w:cs="Arial" w:eastAsia="Arial" w:hAnsi="Arial"/>
                <w:sz w:val="17"/>
                <w:szCs w:val="17"/>
                <w:color w:val="auto"/>
              </w:rPr>
              <w:t>Operating Margin</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(1.4 )%</w:t>
            </w:r>
          </w:p>
        </w:tc>
        <w:tc>
          <w:tcPr>
            <w:tcW w:w="1020" w:type="dxa"/>
            <w:vAlign w:val="bottom"/>
            <w:gridSpan w:val="3"/>
          </w:tcPr>
          <w:p>
            <w:pPr>
              <w:jc w:val="right"/>
              <w:ind w:right="160"/>
              <w:spacing w:after="0"/>
              <w:rPr>
                <w:sz w:val="20"/>
                <w:szCs w:val="20"/>
                <w:color w:val="auto"/>
              </w:rPr>
            </w:pPr>
            <w:r>
              <w:rPr>
                <w:rFonts w:ascii="Arial" w:cs="Arial" w:eastAsia="Arial" w:hAnsi="Arial"/>
                <w:sz w:val="17"/>
                <w:szCs w:val="17"/>
                <w:color w:val="auto"/>
              </w:rPr>
              <w:t>3.5 %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(0.4 )%</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3.8 %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7132320" cy="1454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454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2023 and 2022</w:t>
      </w:r>
    </w:p>
    <w:p>
      <w:pPr>
        <w:spacing w:after="0" w:line="11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EMEA unit sales in the second quarter of 2023 decreased 2.7 million units, or 19.1%, to 11.8 million units. Replacement tire volume decreased 3.0 million units, or 26.7%, primarily in our consumer business, reflecting the impacts of continued industry declines. OE tire volume increased 0.3 million units, or 9.2%, reflecting continued recovery in OE production.</w:t>
      </w:r>
    </w:p>
    <w:p>
      <w:pPr>
        <w:spacing w:after="0" w:line="7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Net sales in the second quarter of 2023 were $1,341 million, decreasing $156 million, or 10.4%, from $1,497 million in the second quarter of 2022. The decrease in net sales was primarily due to lower tire volume of $243 million and unfavorable foreign currency translation of $45 million, driven by a weaker Turkish lira, South African rand and British pound, partially offset by a stronger euro. These decreases were partially offset by improvements in price and product mix of $127 million, driven by price increases.</w:t>
      </w:r>
    </w:p>
    <w:p>
      <w:pPr>
        <w:spacing w:after="0" w:line="79"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Operating loss in the second quarter of 2023 was $19 million, decreasing $71 million, from operating income of $52 million in the second quarter of 2022. The change in operating income (loss) was primarily due to higher conversion costs of $79 million, driven by higher energy costs, inflation and the effect of decreased tire production on fixed cost absorption, lower tire volume of $56 million, higher transportation costs of $12 million, unfavorable foreign currency translation of $8 million, and lower earnings in other tire-related businesses of $6 million, primarily due to lower motorcycle tire sales. These decreases were partially offset by improvements in price and product mix of $152 million, which more than offset higher raw material costs of $57 million. SAG for the second quarter of 2023 includes incremental savings from rationalization plans of $4 million.</w:t>
      </w:r>
    </w:p>
    <w:p>
      <w:pPr>
        <w:spacing w:after="0" w:line="70"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Operating loss in the second quarter of 2023 excluded net rationalization charges of $64 million and accelerated depreciation of $4 million. Operating income in the second quarter of 2022 excluded net rationalization charges of $9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and 2022</w:t>
      </w:r>
    </w:p>
    <w:p>
      <w:pPr>
        <w:spacing w:after="0" w:line="11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EMEA unit sales in the first six months of 2023 decreased 4.0 million units, or 14.1%, to 25.0 million units. Replacement tire volume decreased 4.9 million units, or 21.4%, primarily in our consumer business, reflecting the impacts of continued industry declines. OE tire volume increased 0.9 million units, or 13.9%, reflecting continued recovery in OE production.</w:t>
      </w:r>
    </w:p>
    <w:p>
      <w:pPr>
        <w:spacing w:after="0" w:line="76"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Net sales in the first six months of 2023 were $2,833 million, decreasing $90 million, or 3.1%, from $2,923 million in the first six months of 2022. The decrease in net sales was primarily due to lower tire volume of $355 million, unfavorable foreign currency translation of $173 million, driven by a weaker Turkish lira, euro, South African rand and British pound. These decreases were partially offset by improvements in price and product mix of $410 million, driven by price increases, and higher sales in other tire-related businesses of $27 million, primarily due to growth in Fleet Solutions and higher aviation sales, partially offset by a decrease in retail sales.</w:t>
      </w:r>
    </w:p>
    <w:p>
      <w:pPr>
        <w:spacing w:after="0" w:line="80"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Operating loss in the first six months of 2023 was $11 million, decreasing $122 million, from operating income of $111 million in the first six months of 2022. The change in operating income (loss) was primarily due to higher conversion costs of $157 million, driven by higher energy costs, inflation and the effect of decreased tire production on fixed cost absorption, lower tire volume of $82 million, higher transportation costs of $27 million and higher SAG of $15 million, primarily due to inflation. These decreases were partially offset by improvements in price and product mix of $375 million, which more than offset higher raw material costs of $220 million, and lower research and development costs of $7 million. SAG for the first six months of 2023 includes incremental savings from rationalization plans of $8 million.</w:t>
      </w:r>
    </w:p>
    <w:p>
      <w:pPr>
        <w:spacing w:after="0" w:line="8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Operating loss in the first six months of 2023 excluded net rationalization charges of $88 million, recoveries of previously written-off accounts receivable and other assets of $10 million in Russia and accelerated depreciation of $8 million. Operating income in the first six months of 2022 excluded net rationalization charges of $14 million.</w:t>
      </w:r>
    </w:p>
    <w:p>
      <w:pPr>
        <w:spacing w:after="0" w:line="18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549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Asia Pacific</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8"/>
              </w:rPr>
              <w:t>Three Months Ended June 30,</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3"/>
        </w:trPr>
        <w:tc>
          <w:tcPr>
            <w:tcW w:w="3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200"/>
              <w:spacing w:after="0" w:line="133" w:lineRule="exact"/>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204"/>
              <w:spacing w:after="0" w:line="133" w:lineRule="exact"/>
              <w:rPr>
                <w:sz w:val="20"/>
                <w:szCs w:val="20"/>
                <w:color w:val="auto"/>
              </w:rPr>
            </w:pPr>
            <w:r>
              <w:rPr>
                <w:rFonts w:ascii="Arial" w:cs="Arial" w:eastAsia="Arial" w:hAnsi="Arial"/>
                <w:sz w:val="14"/>
                <w:szCs w:val="14"/>
                <w:b w:val="1"/>
                <w:bCs w:val="1"/>
                <w:color w:val="auto"/>
              </w:rPr>
              <w:t>Percent</w:t>
            </w:r>
          </w:p>
        </w:tc>
        <w:tc>
          <w:tcPr>
            <w:tcW w:w="20" w:type="dxa"/>
            <w:vAlign w:val="bottom"/>
          </w:tcPr>
          <w:p>
            <w:pPr>
              <w:spacing w:after="0"/>
              <w:rPr>
                <w:sz w:val="11"/>
                <w:szCs w:val="11"/>
                <w:color w:val="auto"/>
              </w:rPr>
            </w:pPr>
          </w:p>
        </w:tc>
      </w:tr>
      <w:tr>
        <w:trPr>
          <w:trHeight w:val="185"/>
        </w:trPr>
        <w:tc>
          <w:tcPr>
            <w:tcW w:w="34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640" w:type="dxa"/>
            <w:vAlign w:val="bottom"/>
          </w:tcPr>
          <w:p>
            <w:pPr>
              <w:jc w:val="right"/>
              <w:ind w:right="21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217"/>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jc w:val="right"/>
              <w:ind w:right="237"/>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780" w:type="dxa"/>
            <w:vAlign w:val="bottom"/>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78"/>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r>
      <w:tr>
        <w:trPr>
          <w:trHeight w:val="223"/>
        </w:trPr>
        <w:tc>
          <w:tcPr>
            <w:tcW w:w="3460" w:type="dxa"/>
            <w:vAlign w:val="bottom"/>
            <w:shd w:val="clear" w:color="auto" w:fill="CFF0FC"/>
          </w:tcPr>
          <w:p>
            <w:pPr>
              <w:ind w:left="20"/>
              <w:spacing w:after="0"/>
              <w:rPr>
                <w:sz w:val="20"/>
                <w:szCs w:val="20"/>
                <w:color w:val="auto"/>
              </w:rPr>
            </w:pPr>
            <w:r>
              <w:rPr>
                <w:rFonts w:ascii="Arial" w:cs="Arial" w:eastAsia="Arial" w:hAnsi="Arial"/>
                <w:sz w:val="17"/>
                <w:szCs w:val="17"/>
                <w:color w:val="auto"/>
              </w:rPr>
              <w:t>Tire Units</w:t>
            </w: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7"/>
                <w:szCs w:val="17"/>
                <w:color w:val="auto"/>
              </w:rPr>
              <w:t>8.2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7"/>
                <w:szCs w:val="17"/>
                <w:color w:val="auto"/>
              </w:rPr>
              <w:t>7.8</w:t>
            </w:r>
          </w:p>
        </w:tc>
        <w:tc>
          <w:tcPr>
            <w:tcW w:w="18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8"/>
              <w:spacing w:after="0"/>
              <w:rPr>
                <w:sz w:val="20"/>
                <w:szCs w:val="20"/>
                <w:color w:val="auto"/>
              </w:rPr>
            </w:pPr>
            <w:r>
              <w:rPr>
                <w:rFonts w:ascii="Arial" w:cs="Arial" w:eastAsia="Arial" w:hAnsi="Arial"/>
                <w:sz w:val="17"/>
                <w:szCs w:val="17"/>
                <w:color w:val="auto"/>
              </w:rPr>
              <w:t>0.4</w:t>
            </w:r>
          </w:p>
        </w:tc>
        <w:tc>
          <w:tcPr>
            <w:tcW w:w="140" w:type="dxa"/>
            <w:vAlign w:val="bottom"/>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5.8 %</w:t>
            </w:r>
          </w:p>
        </w:tc>
        <w:tc>
          <w:tcPr>
            <w:tcW w:w="200" w:type="dxa"/>
            <w:vAlign w:val="bottom"/>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77"/>
              <w:spacing w:after="0"/>
              <w:rPr>
                <w:sz w:val="20"/>
                <w:szCs w:val="20"/>
                <w:color w:val="auto"/>
              </w:rPr>
            </w:pPr>
            <w:r>
              <w:rPr>
                <w:rFonts w:ascii="Arial" w:cs="Arial" w:eastAsia="Arial" w:hAnsi="Arial"/>
                <w:sz w:val="17"/>
                <w:szCs w:val="17"/>
                <w:color w:val="auto"/>
              </w:rPr>
              <w:t>16.3</w:t>
            </w:r>
          </w:p>
        </w:tc>
        <w:tc>
          <w:tcPr>
            <w:tcW w:w="180" w:type="dxa"/>
            <w:vAlign w:val="bottom"/>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79"/>
              <w:spacing w:after="0"/>
              <w:rPr>
                <w:sz w:val="20"/>
                <w:szCs w:val="20"/>
                <w:color w:val="auto"/>
              </w:rPr>
            </w:pPr>
            <w:r>
              <w:rPr>
                <w:rFonts w:ascii="Arial" w:cs="Arial" w:eastAsia="Arial" w:hAnsi="Arial"/>
                <w:sz w:val="17"/>
                <w:szCs w:val="17"/>
                <w:color w:val="auto"/>
              </w:rPr>
              <w:t>16.1</w:t>
            </w:r>
          </w:p>
        </w:tc>
        <w:tc>
          <w:tcPr>
            <w:tcW w:w="16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
              <w:spacing w:after="0"/>
              <w:rPr>
                <w:sz w:val="20"/>
                <w:szCs w:val="20"/>
                <w:color w:val="auto"/>
              </w:rPr>
            </w:pPr>
            <w:r>
              <w:rPr>
                <w:rFonts w:ascii="Arial" w:cs="Arial" w:eastAsia="Arial" w:hAnsi="Arial"/>
                <w:sz w:val="17"/>
                <w:szCs w:val="17"/>
                <w:color w:val="auto"/>
              </w:rPr>
              <w:t>0.2</w:t>
            </w:r>
          </w:p>
        </w:tc>
        <w:tc>
          <w:tcPr>
            <w:tcW w:w="140" w:type="dxa"/>
            <w:vAlign w:val="bottom"/>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1.7 %</w:t>
            </w:r>
          </w:p>
        </w:tc>
        <w:tc>
          <w:tcPr>
            <w:tcW w:w="20" w:type="dxa"/>
            <w:vAlign w:val="bottom"/>
          </w:tcPr>
          <w:p>
            <w:pPr>
              <w:spacing w:after="0"/>
              <w:rPr>
                <w:sz w:val="19"/>
                <w:szCs w:val="19"/>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7"/>
                <w:szCs w:val="17"/>
                <w:color w:val="auto"/>
              </w:rPr>
              <w:t>Net Sales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57"/>
              <w:spacing w:after="0"/>
              <w:rPr>
                <w:sz w:val="20"/>
                <w:szCs w:val="20"/>
                <w:color w:val="auto"/>
              </w:rPr>
            </w:pPr>
            <w:r>
              <w:rPr>
                <w:rFonts w:ascii="Arial" w:cs="Arial" w:eastAsia="Arial" w:hAnsi="Arial"/>
                <w:sz w:val="17"/>
                <w:szCs w:val="17"/>
                <w:color w:val="auto"/>
              </w:rPr>
              <w:t>587</w:t>
            </w:r>
          </w:p>
        </w:tc>
        <w:tc>
          <w:tcPr>
            <w:tcW w:w="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57"/>
              <w:spacing w:after="0"/>
              <w:rPr>
                <w:sz w:val="20"/>
                <w:szCs w:val="20"/>
                <w:color w:val="auto"/>
              </w:rPr>
            </w:pPr>
            <w:r>
              <w:rPr>
                <w:rFonts w:ascii="Arial" w:cs="Arial" w:eastAsia="Arial" w:hAnsi="Arial"/>
                <w:sz w:val="17"/>
                <w:szCs w:val="17"/>
                <w:color w:val="auto"/>
              </w:rPr>
              <w:t>568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58"/>
              <w:spacing w:after="0"/>
              <w:rPr>
                <w:sz w:val="20"/>
                <w:szCs w:val="20"/>
                <w:color w:val="auto"/>
              </w:rPr>
            </w:pPr>
            <w:r>
              <w:rPr>
                <w:rFonts w:ascii="Arial" w:cs="Arial" w:eastAsia="Arial" w:hAnsi="Arial"/>
                <w:sz w:val="17"/>
                <w:szCs w:val="17"/>
                <w:color w:val="auto"/>
              </w:rPr>
              <w:t>19</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3.3 %</w:t>
            </w:r>
          </w:p>
        </w:tc>
        <w:tc>
          <w:tcPr>
            <w:tcW w:w="780" w:type="dxa"/>
            <w:vAlign w:val="bottom"/>
          </w:tcPr>
          <w:p>
            <w:pPr>
              <w:jc w:val="right"/>
              <w:ind w:right="77"/>
              <w:spacing w:after="0"/>
              <w:rPr>
                <w:sz w:val="20"/>
                <w:szCs w:val="20"/>
                <w:color w:val="auto"/>
              </w:rPr>
            </w:pPr>
            <w:r>
              <w:rPr>
                <w:rFonts w:ascii="Arial" w:cs="Arial" w:eastAsia="Arial" w:hAnsi="Arial"/>
                <w:sz w:val="17"/>
                <w:szCs w:val="17"/>
                <w:color w:val="auto"/>
                <w:w w:val="97"/>
              </w:rPr>
              <w:t>$  1,169</w:t>
            </w:r>
          </w:p>
        </w:tc>
        <w:tc>
          <w:tcPr>
            <w:tcW w:w="18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7"/>
                <w:szCs w:val="17"/>
                <w:color w:val="auto"/>
                <w:w w:val="97"/>
              </w:rPr>
              <w:t>$  1,135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ind w:right="58"/>
              <w:spacing w:after="0"/>
              <w:rPr>
                <w:sz w:val="20"/>
                <w:szCs w:val="20"/>
                <w:color w:val="auto"/>
              </w:rPr>
            </w:pPr>
            <w:r>
              <w:rPr>
                <w:rFonts w:ascii="Arial" w:cs="Arial" w:eastAsia="Arial" w:hAnsi="Arial"/>
                <w:sz w:val="17"/>
                <w:szCs w:val="17"/>
                <w:color w:val="auto"/>
              </w:rPr>
              <w:t>34</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3.0 %</w:t>
            </w:r>
          </w:p>
        </w:tc>
        <w:tc>
          <w:tcPr>
            <w:tcW w:w="20" w:type="dxa"/>
            <w:vAlign w:val="bottom"/>
          </w:tcPr>
          <w:p>
            <w:pPr>
              <w:spacing w:after="0"/>
              <w:rPr>
                <w:sz w:val="18"/>
                <w:szCs w:val="18"/>
                <w:color w:val="auto"/>
              </w:rPr>
            </w:pPr>
          </w:p>
        </w:tc>
      </w:tr>
      <w:tr>
        <w:trPr>
          <w:trHeight w:val="243"/>
        </w:trPr>
        <w:tc>
          <w:tcPr>
            <w:tcW w:w="3460" w:type="dxa"/>
            <w:vAlign w:val="bottom"/>
            <w:shd w:val="clear" w:color="auto" w:fill="CFF0FC"/>
          </w:tcPr>
          <w:p>
            <w:pPr>
              <w:ind w:left="20"/>
              <w:spacing w:after="0"/>
              <w:rPr>
                <w:sz w:val="20"/>
                <w:szCs w:val="20"/>
                <w:color w:val="auto"/>
              </w:rPr>
            </w:pPr>
            <w:r>
              <w:rPr>
                <w:rFonts w:ascii="Arial" w:cs="Arial" w:eastAsia="Arial" w:hAnsi="Arial"/>
                <w:sz w:val="17"/>
                <w:szCs w:val="17"/>
                <w:color w:val="auto"/>
              </w:rPr>
              <w:t>Operating Income</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57"/>
              <w:spacing w:after="0"/>
              <w:rPr>
                <w:sz w:val="20"/>
                <w:szCs w:val="20"/>
                <w:color w:val="auto"/>
              </w:rPr>
            </w:pPr>
            <w:r>
              <w:rPr>
                <w:rFonts w:ascii="Arial" w:cs="Arial" w:eastAsia="Arial" w:hAnsi="Arial"/>
                <w:sz w:val="17"/>
                <w:szCs w:val="17"/>
                <w:color w:val="auto"/>
              </w:rPr>
              <w:t>40</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57"/>
              <w:spacing w:after="0"/>
              <w:rPr>
                <w:sz w:val="20"/>
                <w:szCs w:val="20"/>
                <w:color w:val="auto"/>
              </w:rPr>
            </w:pPr>
            <w:r>
              <w:rPr>
                <w:rFonts w:ascii="Arial" w:cs="Arial" w:eastAsia="Arial" w:hAnsi="Arial"/>
                <w:sz w:val="17"/>
                <w:szCs w:val="17"/>
                <w:color w:val="auto"/>
              </w:rPr>
              <w:t>19</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8"/>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110.5 %</w:t>
            </w: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7"/>
                <w:szCs w:val="17"/>
                <w:color w:val="auto"/>
              </w:rPr>
              <w:t>78</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79"/>
              <w:spacing w:after="0"/>
              <w:rPr>
                <w:sz w:val="20"/>
                <w:szCs w:val="20"/>
                <w:color w:val="auto"/>
              </w:rPr>
            </w:pPr>
            <w:r>
              <w:rPr>
                <w:rFonts w:ascii="Arial" w:cs="Arial" w:eastAsia="Arial" w:hAnsi="Arial"/>
                <w:sz w:val="17"/>
                <w:szCs w:val="17"/>
                <w:color w:val="auto"/>
              </w:rPr>
              <w:t>47</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8"/>
              <w:spacing w:after="0"/>
              <w:rPr>
                <w:sz w:val="20"/>
                <w:szCs w:val="20"/>
                <w:color w:val="auto"/>
              </w:rPr>
            </w:pPr>
            <w:r>
              <w:rPr>
                <w:rFonts w:ascii="Arial" w:cs="Arial" w:eastAsia="Arial" w:hAnsi="Arial"/>
                <w:sz w:val="17"/>
                <w:szCs w:val="17"/>
                <w:color w:val="auto"/>
              </w:rPr>
              <w:t>31</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66.0 %</w:t>
            </w:r>
          </w:p>
        </w:tc>
        <w:tc>
          <w:tcPr>
            <w:tcW w:w="20" w:type="dxa"/>
            <w:vAlign w:val="bottom"/>
          </w:tcPr>
          <w:p>
            <w:pPr>
              <w:spacing w:after="0"/>
              <w:rPr>
                <w:sz w:val="21"/>
                <w:szCs w:val="21"/>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7"/>
                <w:szCs w:val="17"/>
                <w:color w:val="auto"/>
              </w:rPr>
              <w:t>Operating Margin</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6.8 %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3.3 %</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6.7 %</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4.1 %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2023 and 2022</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Asia Pacific unit sales in the second quarter of 2023 increased 0.4 million units, or 5.8%, to 8.2 million units. Replacement tire volume increased 0.1 million units, or 3.6%, primarily in our consumer business, driven by industry recovery in China, partially offset by decreased demand in most of our other markets. OE tire volume increased 0.3 million units, or 9.2%, driven by new consumer fitments.</w:t>
      </w:r>
    </w:p>
    <w:p>
      <w:pPr>
        <w:spacing w:after="0" w:line="7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Net sales in the second quarter of 2023 were $587 million, increasing $19 million, or 3.3%, from $568 million in the second quarter of 2022. Net sales increased primarily due to higher tire volume of $32 million, improvements in price and product mix of $18 million, driven by price increases, and higher sales in other tire-related businesses of $4 million, primarily due to higher aviation sales. These increases were partially offset by unfavorable foreign currency translation of $35 million, primarily related to the strengthening of the U.S. dollar.</w:t>
      </w:r>
    </w:p>
    <w:p>
      <w:pPr>
        <w:spacing w:after="0" w:line="7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Operating income in the second quarter of 2023 was $40 million, increasing $21 million, or 110.5%, from $19 million in the second quarter of 2022. The increase in operating income was primarily due to improvements in price and product mix of $40 million, which more than offset higher raw material costs of $18 million, and higher tire volume of $5 million. These increases were partially offset by higher conversion costs of $6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 the second quarter of 2022 excluded net rationalization charges of $1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and 2022</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Asia Pacific unit sales in the first six months of 2023 increased 0.2 million units, or 1.7%, to 16.3 million units. Replacement tire volume decreased 0.2 million units, or 0.9%, driven by decreased demand in most of our markets, partially offset by industry recovery in China. OE tire volume increased 0.4 million units, or 5.8%, driven by new consumer fitments.</w:t>
      </w:r>
    </w:p>
    <w:p>
      <w:pPr>
        <w:spacing w:after="0" w:line="7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Net sales in the first six months of 2023 were $1,169 million, increasing $34 million, or 3.0%, from $1,135 million in the first six months of 2022. Net sales increased primarily due to improvements in price and product mix of $83 million, driven by price increases and favorable product mix reflecting increased customer demand for our 17-inch and above rim size tires, higher tire volume of $20 million, and higher sales in other tire-related businesses of $3 million. These increases were partially offset by unfavorable foreign currency translation of $74 million, primarily related to the strengthening of the U.S. dollar.</w:t>
      </w:r>
    </w:p>
    <w:p>
      <w:pPr>
        <w:spacing w:after="0" w:line="8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Operating income in the first six months of 2023 was $78 million, increasing $31 million, or 66.0%, from $47 million in the first six months of 2022. The increase in operating income was primarily due to improvements in price and product mix of $86 million, which more than offset higher raw material costs of $53 million, and higher tire volume of $2 million. These increases were partially offset by higher conversion costs of $8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 the first six months of 2023 excluded net rationalization charges of $3 million.</w:t>
      </w:r>
    </w:p>
    <w:p>
      <w:pPr>
        <w:spacing w:after="0" w:line="2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spacing w:after="0" w:line="7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At June 30, 2023, we had $1,049 million in cash and cash equivalents, compared to $1,227 million at December 31, 2022. For the six months ended June 30, 2023, net cash used for operating activities was $434 million, reflecting cash used for working capital of $550 million and the Company's net loss for the period of $307 million, which included non-cash charges for depreciation and amortization of $506 million. Net cash used for investing activities was $645 million, primarily representing capital expenditures of $536 million, short-term securities acquired of $102 million and loans to TireHub of $65 million, partially offset by cash proceeds from the sale and leaseback transaction in Americas of $66 million. Net cash provided by financing activities was $876 million, primarily due to net borrowings.</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549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At June 30, 2023, we had $3,133 million of unused availability under our various credit agreements, compared to $4,035 million at December 31,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unused availability under our credit facilities at those dates: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415"/>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2022</w:t>
            </w: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First lien revolving credit facility</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7"/>
              </w:rPr>
              <w:t>2,082</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2,747</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European revolving credit facility</w:t>
            </w:r>
          </w:p>
        </w:tc>
        <w:tc>
          <w:tcPr>
            <w:tcW w:w="11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480</w:t>
            </w: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Chinese credit facilities</w:t>
            </w:r>
          </w:p>
        </w:tc>
        <w:tc>
          <w:tcPr>
            <w:tcW w:w="11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516</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Other foreign and domestic debt</w:t>
            </w:r>
          </w:p>
        </w:tc>
        <w:tc>
          <w:tcPr>
            <w:tcW w:w="1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292</w:t>
            </w:r>
          </w:p>
        </w:tc>
      </w:tr>
      <w:tr>
        <w:trPr>
          <w:trHeight w:val="278"/>
        </w:trPr>
        <w:tc>
          <w:tcPr>
            <w:tcW w:w="76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7"/>
              </w:rPr>
              <w:t>3,133</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b w:val="1"/>
                <w:bCs w:val="1"/>
                <w:color w:val="auto"/>
              </w:rPr>
              <w:t>4,035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1371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1371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condition or results of operations in the period in which it occurs.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our 2023 full-year cash flow needs to include capital expenditures of approximately $1.0 billion. We also expect interest expense to be approximately $540 million; rationalization payments to be approximately $100 million; income tax payments to be approximately $200 million, excluding one-time items; and contributions to our funded pension plans to be $25 million to $50 million. We expect working capital to be a source of operating cash flows for the full year of 2023 of approximately $100 million.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continuing to actively monitor our liquidity and intend to operate our business in a way that allows us to address our cash flow needs with our existing cash and available credit if they cannot be funded by cash generated from operating or other financing activities. We believe that our liquidity position is adequate to fund our operating and investing needs and debt maturities for the next twelve months and to provide us with the ability to respond to further changes in the business environment.</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South Africa, Serbia and Argentina,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South African, Serbian and Argentinian subsidiaries, which are subject to such requirements or limitations to be integral to our liquidity or our ability to service our debt and operational requirements. At June 30, 2023, approximately $950 million of net assets, including approximately $215 million of cash and cash equivalents, were subject to such requirements. The requirements we must comply with to transfer funds out of China, South Africa, Serbia and Argentina have not adversely impacted our ability to make transfers out of those countries.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Activities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for operating activities was $434 million in the first six months of 2023, compared to net cash used for operating activities of $533 million in the first six months of 2022. The $99 million improvement in net cash used for operating activities was primarily due to a decrease in cash used for working capital of $692 million, partially offset by a change in net income (loss) of $573 million.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improvement in cash used for working capital reflects an increase in cash provided by Inventory of $1,119 million and a decrease in cash used for Accounts Receivable of $649 million, partially offset by an increase in cash used for Accounts Payable — Trade of $1,076 million. These changes were driven by the impact of reduced production in the fourth quarter of 2022 and the first six months of 2023 to address softening industry demand and prevent the buildup of excess inventory, as well as the impact of lower sales volume.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549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used by investing activities was $645 million in the first six months of 2023, compared to $403 million in the first six months of 2022. Capital expenditures were $536 million in the first six months of 2023, compared to $511 million in the first six months of 2022. Investing activities in the first six months of 2023 also included cash proceeds from a sale and leaseback transaction of $66 million compared to $108 million of cash proceeds from a sale and leaseback transaction in the first six months of 2022, net loans to TireHub of $65 million in the first six months of 2023 compared to $25 million in the first six months of 2022, and a year-over-year increase of $103 million in net short-term securities acquired and redeemed. Beyond expenditures required to sustain our facilities, capital expenditures in 2023 and 2022 primarily related to the modernization and expansion of tire manufacturing facilities around the world.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was $876 million in the first six months of 2023, compared to net cash provided by financing activities of $1,132 million in the first six months of 2022. Financing activities in the first six months of 2023 included net borrowings of $882 million. Financing activities in the first six months of 2022 included net borrowings of $1,129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 Sources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aggregate, we had total credit arrangements of $11,809 million available at June 30, 2023, of which $3,133 million were unused, compared to $11,806 million available at December 31, 2022, of which $4,035 million were unused. At June 30, 2023, we had long term credit arrangements totaling $10,948 million, of which $2,849 million were unused, compared to $10,925 million and $3,566 million, respectively, at December 31, 2022. At June 30, 2023, we had short term committed and uncommitted credit arrangements totaling $861 million, of which $284 million were unused, compared to $881 million and $469 million, respectively, at December 31, 2022. The continued availability of the short term uncommitted arrangements is at the discretion of the relevant lender and may be terminated at any time.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Outstanding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we had $5,566 million of outstanding notes compared to $5,560 million at December 31,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$2.75 billion Amended and Restated First Lien Revolving Credit Facility due 2026</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Based on our current liquidity, amounts drawn under this facility bear interest at SOFR plus 125 basis points.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In addition, if the amount of outstanding borrowings and letters of credit under the facility exceeds the borrowing base, we would be required to prepay borrowings and/or cash collateralize letters of credit sufficient to eliminate the excess. As of June 30, 2023, our borrowing base was above the facility's stated amount of $2.75 billion.</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2023, we had $665 million of borrowings and $3 million of letters of credit issued under the revolving credit facility. At December 31, 2022, we had no borrowings and $3 million of letters of credit issued under the revolving credit facility.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€800 million Amended and Restated Senior Secured European Revolving Credit Facility due 2028</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amended and restated European revolving credit facility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549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2023, there were $196 million (€180 million) of borrowings outstanding under the German tranche, $316 million (€290 million) of borrowings outstanding under the all-borrower tranche and no letters of credit outstanding under the European revolving credit facility. At December 31, 2022, there were no borrowings outstanding under the German tranche, $374 million (€350 million) of borrowings outstanding under the all-borrower tranche and no letters of credit outstanding under the European revolving credit facility.</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Both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under the first lien facility and December 31, 2021 under the European facility.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 Facilities (On-Balance Sheet)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current period ending October 18, 2023, the designated maximum amount of the facility is €300 million.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18, 2023.</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2023, the amounts available and utilized under this program totaled $238 million (€218 million). At December 31, 2022, the amounts available and utilized under this program totaled $267 million (€250 million). The program does not qualify for sale accounting, and accordingly, these amounts are included in Long Term Debt and Finance Leases.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Factoring Facilities (Off-Balance Sheet)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sold certain of our trade receivables under off-balance sheet programs. For these programs, we have concluded that there is generally no risk of loss to us from non-payment of the sold receivables. At June 30, 2023, the gross amount of receivables sold was $683 million, compared to $744 million at December 31,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Letters of Credit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2023, we had $212 million in letters of credit issued under bilateral letter of credit agreements and other foreign credit facilities. The majority of these letter of credit agreements are in lieu of security deposits.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Supplier Financing</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entered into supplier finance programs with several financial institutions. Under these agreements, the financial institutions act as our paying agents with respect to accounts payable due to our suppliers. We agree to pay the financial institutions the stated amount of the confirmed invoices from the designated suppliers on the original maturity dates of the invoices. Invoice payment terms can be up to 120 days based on industry norms for the specific item purchased. We do not pay any fees to the financial institutions for these programs. There are no assets pledged as security or other forms of guarantees associated with these agreements. These agreements allow our suppliers to sell their receivables to the financial institutions at the sole discretion of the suppliers 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 programs. The amount available under these programs was $921 million and $920 million at June 30, 2023 and December 31, 2022, respectively. The amounts confirmed to the financial institutions were $624 million and $710 million at June 30, 2023 and December 31, 2022, respectively, and are included in Accounts Payable — Trade in our Consolidated Balance Sheets. All activity related to these obligations is presented within operating activities on the Consolidated Statements of Cash Flows.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Further Information</w:t>
      </w:r>
    </w:p>
    <w:p>
      <w:pPr>
        <w:spacing w:after="0" w:line="11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For a further description of the terms of our outstanding notes, first lien revolving credit facility, European revolving credit facility and pan-European accounts receivable securitization facility, refer to Note to the Consolidated Financial Statements No. 16, Financing Arrangements and Derivative Financial Instruments, in our 2022 Form 10</w:t>
      </w:r>
      <w:r>
        <w:rPr>
          <w:rFonts w:ascii="MS PGothic" w:cs="MS PGothic" w:eastAsia="MS PGothic" w:hAnsi="MS PGothic"/>
          <w:sz w:val="18"/>
          <w:szCs w:val="18"/>
          <w:color w:val="auto"/>
        </w:rPr>
        <w:t>‑</w:t>
      </w:r>
      <w:r>
        <w:rPr>
          <w:rFonts w:ascii="Arial" w:cs="Arial" w:eastAsia="Arial" w:hAnsi="Arial"/>
          <w:sz w:val="18"/>
          <w:szCs w:val="18"/>
          <w:color w:val="auto"/>
        </w:rPr>
        <w:t>K and Note to the Consolidated Financial Statements No. 8, Financing Arrangements and Derivative Financial Instruments, in this Form 10-Q.</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549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Covenant Compliance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first lien revolving credit facility and some of the indentures governing our notes contain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These covenants are subject to significant exceptions and qualifications. Our first lien revolving credit facility and the indentures governing our notes also have customary defaults, including cross-defaults to material indebtedness of Goodyear and its subsidiaries.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an additional financial covenant in our first lien revolving credit facility that is currently not applicable. We become subject to that financial covenant when the aggregate amount of our Parent Company (The Goodyear Tire &amp; Rubber Company) and guarantor subsidiaries cash and cash equivalents (“Available Cash”) plus our availability under our first lien revolving credit facility is less than $275 million. If this were to occur, our ratio of EBITDA to Consolidated Interest Expense may not be less than 2.0 to 1.0 for the most recent period of four consecutive fiscal quarters. As of June 30, 2023, our unused availability under this facility of $2,082 million, plus our Available Cash of $137 million, totaled $2,219 million, which is in excess of $275 million.</w:t>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our European revolving credit facility contains non-financial covenants similar to the non-financial covenants in our first lien revolving credit facility that are described above and a financial covenant applicable only to GEBV and its 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 are met. Consolidated Net GEBV Indebtedness also excludes loans from other consolidated Goodyear entities. This financial covenant is also included in our pan-European accounts receivable securitization facility. At June 30, 2023, we were in compliance with this financial covenant.</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Certain of our senior note indentures have substantially similar limitations on incurring debt and making restricted payments. Our credit facilities and indentures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Covenants could change based upon a refinancing or amendment of an existing facility, or additional covenants may be added in connection with the incurrence of new debt.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At June 30, 2023, we were in compliance with the currently applicable material covenants imposed by our principal credit facilities and indentures.</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“Available Cash,” “EBITDA,” “Consolidated Interest Expense,” “Consolidated Net GEBV Indebtedness” and “Consolidated GEBV EBITDA” have the meanings given them in the respective credit facilities.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Future Financings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financing activities described above,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future liquidity requirements will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Dividends and Common Stock Repurchases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our primary credit facilities and some of our note indentures, we are permitted to pay dividends on and repurchase our capital stock (which constitute restricted payments) as long as no default will have occurred and be continuing, additional indebtedness can be incurred under the credit facilities or indentures following the payment, and certain financial tests are satisfied.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549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pay a quarterly dividend on our common stock.</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may repurchase shares delivered to us by employees as payment for the exercise price of stock options and the withholding taxes due upon the exercise of stock options or the vesting or payment of stock awards. During the first six months of 2023, we did not repurchase any shares from employees.</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restrictions imposed by our credit facilities and indentures are not expected to significantly affect our ability to pay dividends or repurchase our capital stock in the future.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 Dispositions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restrictions on asset sales and sale and leaseback transactions imposed by our material indebtedness have not affected our ability to divest non-core businesses or assets, and those divestitures have not affected our ability to comply with those restrictions.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subsidiaries, which are listed on Exhibit 22.1 to this Quarterly Report on Form 10-Q and are generally holding or operating companies, have guaranteed our obligations under the $800 million outstanding principal amount of 9.5% senior notes due 2025, the $900 million outstanding principal amount of 5% senior notes due 2026, the $700 million outstanding principal amount of 4.875% senior notes due 2027, the $850 million outstanding principal amount of 5% senior notes due 2029, the $550 million outstanding principal amount of 5.25% senior notes due April 2031, the $600 million outstanding principal amount of 5.25% senior notes due July 2031 and the $450 million outstanding principal amount of 5.625% senior notes due 2033 (collectively, the “Notes”).</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 and several basis by each of our wholly-owned U.S. and Canadian subsidiaries that also guarantee our obligations under our first lien revolving credit facility (such guarantees, the “Guarantees”; and, such guaranteeing subsidiaries, the “Subsidiary Guarantors”). The Guarantees are senior unsecured obligations of the Subsidiary Guarantors and rank equally in right of payment with all existing and future senior unsecured obligations of our Subsidiary Guarantors. The Guarantees are effectively subordinated to existing and future secured indebtedness of the Subsidiary Guarantors to the extent of the assets securing that indebtedness.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76" w:lineRule="exact"/>
        <w:rPr>
          <w:sz w:val="20"/>
          <w:szCs w:val="20"/>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Subsidiary Guarantor was insolvent or rendered insolvent by reason of the incurrence;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Subsidiary Guarantor was engaged in a business or transaction for which its remaining assets constituted unreasonably small capital; or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549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5" w:lineRule="exact"/>
        <w:rPr>
          <w:sz w:val="20"/>
          <w:szCs w:val="20"/>
          <w:color w:val="auto"/>
        </w:rPr>
      </w:pPr>
    </w:p>
    <w:p>
      <w:pPr>
        <w:ind w:left="760" w:hanging="378"/>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Subsidiary Guarantor intended to incur, or believed (or reasonably should have believed) that it would incur, debts beyond its ability to pay as those debts matured.</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 among the different pieces of legislation, but as a general matter these types of challenges may arise in circumstances where:</w:t>
      </w:r>
    </w:p>
    <w:p>
      <w:pPr>
        <w:spacing w:after="0" w:line="79" w:lineRule="exact"/>
        <w:rPr>
          <w:sz w:val="20"/>
          <w:szCs w:val="20"/>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action was intended to defeat, hinder, delay, defraud or prejudice creditors or others;</w:t>
      </w:r>
    </w:p>
    <w:p>
      <w:pPr>
        <w:spacing w:after="0" w:line="117" w:lineRule="exact"/>
        <w:rPr>
          <w:rFonts w:ascii="Arial" w:cs="Arial" w:eastAsia="Arial" w:hAnsi="Arial"/>
          <w:sz w:val="18"/>
          <w:szCs w:val="18"/>
          <w:color w:val="auto"/>
        </w:rPr>
      </w:pPr>
    </w:p>
    <w:p>
      <w:pPr>
        <w:jc w:val="both"/>
        <w:ind w:left="760" w:hanging="378"/>
        <w:spacing w:after="0" w:line="259"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spacing w:after="0" w:line="78" w:lineRule="exact"/>
        <w:rPr>
          <w:rFonts w:ascii="Arial" w:cs="Arial" w:eastAsia="Arial" w:hAnsi="Arial"/>
          <w:sz w:val="18"/>
          <w:szCs w:val="18"/>
          <w:color w:val="auto"/>
        </w:rPr>
      </w:pPr>
    </w:p>
    <w:p>
      <w:pPr>
        <w:jc w:val="both"/>
        <w:ind w:left="760" w:hanging="378"/>
        <w:spacing w:after="0" w:line="311"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40" w:lineRule="exact"/>
        <w:rPr>
          <w:rFonts w:ascii="Arial" w:cs="Arial" w:eastAsia="Arial" w:hAnsi="Arial"/>
          <w:sz w:val="16"/>
          <w:szCs w:val="16"/>
          <w:color w:val="auto"/>
        </w:rPr>
      </w:pPr>
    </w:p>
    <w:p>
      <w:pPr>
        <w:ind w:left="76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 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If a court canceled a Guarantee, the holders of Notes would no longer have a claim against that Subsidiary Guarantor or its assets.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Subsidiary Guarantor is a consolidated subsidiary of the Parent Company at the date of each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w w:val="92"/>
              </w:rPr>
              <w:t>Summarized Balance Sheets</w:t>
            </w: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33"/>
        </w:trPr>
        <w:tc>
          <w:tcPr>
            <w:tcW w:w="6560" w:type="dxa"/>
            <w:vAlign w:val="bottom"/>
          </w:tcPr>
          <w:p>
            <w:pPr>
              <w:spacing w:after="0"/>
              <w:rPr>
                <w:sz w:val="11"/>
                <w:szCs w:val="11"/>
                <w:color w:val="auto"/>
              </w:rPr>
            </w:pPr>
          </w:p>
        </w:tc>
        <w:tc>
          <w:tcPr>
            <w:tcW w:w="13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60" w:type="dxa"/>
            <w:vAlign w:val="bottom"/>
          </w:tcPr>
          <w:p>
            <w:pPr>
              <w:jc w:val="right"/>
              <w:ind w:right="19"/>
              <w:spacing w:after="0" w:line="133" w:lineRule="exact"/>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85"/>
        </w:trPr>
        <w:tc>
          <w:tcPr>
            <w:tcW w:w="65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360" w:type="dxa"/>
            <w:vAlign w:val="bottom"/>
          </w:tcPr>
          <w:p>
            <w:pPr>
              <w:jc w:val="right"/>
              <w:ind w:right="79"/>
              <w:spacing w:after="0"/>
              <w:rPr>
                <w:sz w:val="20"/>
                <w:szCs w:val="20"/>
                <w:color w:val="auto"/>
              </w:rPr>
            </w:pPr>
            <w:r>
              <w:rPr>
                <w:rFonts w:ascii="Arial" w:cs="Arial" w:eastAsia="Arial" w:hAnsi="Arial"/>
                <w:sz w:val="14"/>
                <w:szCs w:val="14"/>
                <w:b w:val="1"/>
                <w:bCs w:val="1"/>
                <w:color w:val="auto"/>
              </w:rPr>
              <w:t>2023</w:t>
            </w:r>
          </w:p>
        </w:tc>
        <w:tc>
          <w:tcPr>
            <w:tcW w:w="740" w:type="dxa"/>
            <w:vAlign w:val="bottom"/>
          </w:tcPr>
          <w:p>
            <w:pPr>
              <w:spacing w:after="0"/>
              <w:rPr>
                <w:sz w:val="16"/>
                <w:szCs w:val="16"/>
                <w:color w:val="auto"/>
              </w:rPr>
            </w:pPr>
          </w:p>
        </w:tc>
        <w:tc>
          <w:tcPr>
            <w:tcW w:w="192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7"/>
        </w:trPr>
        <w:tc>
          <w:tcPr>
            <w:tcW w:w="6560" w:type="dxa"/>
            <w:vAlign w:val="bottom"/>
            <w:shd w:val="clear" w:color="auto" w:fill="CFF0FC"/>
          </w:tcPr>
          <w:p>
            <w:pPr>
              <w:ind w:left="20"/>
              <w:spacing w:after="0" w:line="236" w:lineRule="exact"/>
              <w:rPr>
                <w:sz w:val="20"/>
                <w:szCs w:val="20"/>
                <w:color w:val="auto"/>
              </w:rPr>
            </w:pPr>
            <w:r>
              <w:rPr>
                <w:rFonts w:ascii="Arial" w:cs="Arial" w:eastAsia="Arial" w:hAnsi="Arial"/>
                <w:sz w:val="18"/>
                <w:szCs w:val="18"/>
                <w:color w:val="auto"/>
              </w:rPr>
              <w:t>Total Current Assets</w:t>
            </w:r>
            <w:r>
              <w:rPr>
                <w:rFonts w:ascii="Arial" w:cs="Arial" w:eastAsia="Arial" w:hAnsi="Arial"/>
                <w:sz w:val="24"/>
                <w:szCs w:val="24"/>
                <w:color w:val="auto"/>
                <w:vertAlign w:val="superscript"/>
              </w:rPr>
              <w:t>(1)</w:t>
            </w:r>
          </w:p>
        </w:tc>
        <w:tc>
          <w:tcPr>
            <w:tcW w:w="1360" w:type="dxa"/>
            <w:vAlign w:val="bottom"/>
            <w:tcBorders>
              <w:top w:val="single" w:sz="8" w:color="auto"/>
            </w:tcBorders>
            <w:shd w:val="clear" w:color="auto" w:fill="CFF0FC"/>
          </w:tcPr>
          <w:p>
            <w:pPr>
              <w:jc w:val="right"/>
              <w:ind w:right="1159"/>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5,799</w:t>
            </w:r>
          </w:p>
        </w:tc>
        <w:tc>
          <w:tcPr>
            <w:tcW w:w="360" w:type="dxa"/>
            <w:vAlign w:val="bottom"/>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jc w:val="right"/>
              <w:ind w:right="13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5,657</w:t>
            </w:r>
          </w:p>
        </w:tc>
        <w:tc>
          <w:tcPr>
            <w:tcW w:w="140" w:type="dxa"/>
            <w:vAlign w:val="bottom"/>
            <w:shd w:val="clear" w:color="auto" w:fill="CFF0FC"/>
          </w:tcPr>
          <w:p>
            <w:pPr>
              <w:spacing w:after="0"/>
              <w:rPr>
                <w:sz w:val="20"/>
                <w:szCs w:val="20"/>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Total Non-Current Assets</w:t>
            </w:r>
          </w:p>
        </w:tc>
        <w:tc>
          <w:tcPr>
            <w:tcW w:w="1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8,573</w:t>
            </w: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8,463</w:t>
            </w:r>
          </w:p>
        </w:tc>
        <w:tc>
          <w:tcPr>
            <w:tcW w:w="140" w:type="dxa"/>
            <w:vAlign w:val="bottom"/>
          </w:tcPr>
          <w:p>
            <w:pPr>
              <w:spacing w:after="0"/>
              <w:rPr>
                <w:sz w:val="20"/>
                <w:szCs w:val="20"/>
                <w:color w:val="auto"/>
              </w:rPr>
            </w:pPr>
          </w:p>
        </w:tc>
      </w:tr>
      <w:tr>
        <w:trPr>
          <w:trHeight w:val="249"/>
        </w:trPr>
        <w:tc>
          <w:tcPr>
            <w:tcW w:w="65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360" w:type="dxa"/>
            <w:vAlign w:val="bottom"/>
          </w:tcPr>
          <w:p>
            <w:pPr>
              <w:jc w:val="right"/>
              <w:ind w:right="1159"/>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2,913</w:t>
            </w:r>
          </w:p>
        </w:tc>
        <w:tc>
          <w:tcPr>
            <w:tcW w:w="1920" w:type="dxa"/>
            <w:vAlign w:val="bottom"/>
            <w:gridSpan w:val="2"/>
          </w:tcPr>
          <w:p>
            <w:pPr>
              <w:jc w:val="right"/>
              <w:ind w:right="137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3,124</w:t>
            </w:r>
          </w:p>
        </w:tc>
        <w:tc>
          <w:tcPr>
            <w:tcW w:w="140" w:type="dxa"/>
            <w:vAlign w:val="bottom"/>
          </w:tcPr>
          <w:p>
            <w:pPr>
              <w:spacing w:after="0"/>
              <w:rPr>
                <w:sz w:val="20"/>
                <w:szCs w:val="20"/>
                <w:color w:val="auto"/>
              </w:rPr>
            </w:pPr>
          </w:p>
        </w:tc>
      </w:tr>
      <w:tr>
        <w:trPr>
          <w:trHeight w:val="249"/>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Non-Current Liabilities</w:t>
            </w:r>
          </w:p>
        </w:tc>
        <w:tc>
          <w:tcPr>
            <w:tcW w:w="1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9,173</w:t>
            </w:r>
          </w:p>
        </w:tc>
        <w:tc>
          <w:tcPr>
            <w:tcW w:w="36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8,594</w:t>
            </w:r>
          </w:p>
        </w:tc>
        <w:tc>
          <w:tcPr>
            <w:tcW w:w="140" w:type="dxa"/>
            <w:vAlign w:val="bottom"/>
            <w:shd w:val="clear" w:color="auto" w:fill="CFF0FC"/>
          </w:tcPr>
          <w:p>
            <w:pPr>
              <w:spacing w:after="0"/>
              <w:rPr>
                <w:sz w:val="21"/>
                <w:szCs w:val="21"/>
                <w:color w:val="auto"/>
              </w:rPr>
            </w:pPr>
          </w:p>
        </w:tc>
      </w:tr>
    </w:tbl>
    <w:p>
      <w:pPr>
        <w:spacing w:after="0" w:line="40" w:lineRule="exact"/>
        <w:rPr>
          <w:sz w:val="20"/>
          <w:szCs w:val="20"/>
          <w:color w:val="auto"/>
        </w:rPr>
      </w:pPr>
    </w:p>
    <w:p>
      <w:pPr>
        <w:ind w:left="760" w:hanging="752"/>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receivables due from Non-Guarantor Subsidiaries of $1,580 million and $1,499 million as of June 30, 2023 and December 31, 2022, respectively.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549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4660" w:type="dxa"/>
            <w:vAlign w:val="bottom"/>
            <w:gridSpan w:val="6"/>
          </w:tcPr>
          <w:p>
            <w:pPr>
              <w:jc w:val="right"/>
              <w:ind w:right="1220"/>
              <w:spacing w:after="0"/>
              <w:rPr>
                <w:sz w:val="20"/>
                <w:szCs w:val="20"/>
                <w:color w:val="auto"/>
              </w:rPr>
            </w:pPr>
            <w:r>
              <w:rPr>
                <w:rFonts w:ascii="Arial" w:cs="Arial" w:eastAsia="Arial" w:hAnsi="Arial"/>
                <w:sz w:val="14"/>
                <w:szCs w:val="14"/>
                <w:b w:val="1"/>
                <w:bCs w:val="1"/>
                <w:color w:val="auto"/>
              </w:rPr>
              <w:t>Summarized Statements of Operations</w:t>
            </w:r>
          </w:p>
        </w:tc>
      </w:tr>
      <w:tr>
        <w:trPr>
          <w:trHeight w:val="133"/>
        </w:trPr>
        <w:tc>
          <w:tcPr>
            <w:tcW w:w="6580" w:type="dxa"/>
            <w:vAlign w:val="bottom"/>
          </w:tcPr>
          <w:p>
            <w:pPr>
              <w:spacing w:after="0"/>
              <w:rPr>
                <w:sz w:val="11"/>
                <w:szCs w:val="11"/>
                <w:color w:val="auto"/>
              </w:rPr>
            </w:pPr>
          </w:p>
        </w:tc>
        <w:tc>
          <w:tcPr>
            <w:tcW w:w="16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rPr>
              <w:t>Six Months Ended</w:t>
            </w:r>
          </w:p>
        </w:tc>
        <w:tc>
          <w:tcPr>
            <w:tcW w:w="4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tcPr>
          <w:p>
            <w:pPr>
              <w:jc w:val="right"/>
              <w:ind w:right="593"/>
              <w:spacing w:after="0" w:line="133"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1"/>
                <w:szCs w:val="11"/>
                <w:color w:val="auto"/>
              </w:rPr>
            </w:pPr>
          </w:p>
        </w:tc>
      </w:tr>
      <w:tr>
        <w:trPr>
          <w:trHeight w:val="185"/>
        </w:trPr>
        <w:tc>
          <w:tcPr>
            <w:tcW w:w="65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640" w:type="dxa"/>
            <w:vAlign w:val="bottom"/>
          </w:tcPr>
          <w:p>
            <w:pPr>
              <w:jc w:val="right"/>
              <w:ind w:right="98"/>
              <w:spacing w:after="0"/>
              <w:rPr>
                <w:sz w:val="20"/>
                <w:szCs w:val="20"/>
                <w:color w:val="auto"/>
              </w:rPr>
            </w:pPr>
            <w:r>
              <w:rPr>
                <w:rFonts w:ascii="Arial" w:cs="Arial" w:eastAsia="Arial" w:hAnsi="Arial"/>
                <w:sz w:val="14"/>
                <w:szCs w:val="14"/>
                <w:b w:val="1"/>
                <w:bCs w:val="1"/>
                <w:color w:val="auto"/>
              </w:rPr>
              <w:t>June 30, 2023</w:t>
            </w: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December 31, 2022</w:t>
            </w:r>
          </w:p>
        </w:tc>
      </w:tr>
      <w:tr>
        <w:trPr>
          <w:trHeight w:val="237"/>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1640" w:type="dxa"/>
            <w:vAlign w:val="bottom"/>
            <w:tcBorders>
              <w:top w:val="single" w:sz="8" w:color="auto"/>
            </w:tcBorders>
            <w:shd w:val="clear" w:color="auto" w:fill="CFF0FC"/>
          </w:tcPr>
          <w:p>
            <w:pPr>
              <w:jc w:val="right"/>
              <w:ind w:right="1458"/>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5,388</w:t>
            </w:r>
          </w:p>
        </w:tc>
        <w:tc>
          <w:tcPr>
            <w:tcW w:w="3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11,909</w:t>
            </w:r>
          </w:p>
        </w:tc>
        <w:tc>
          <w:tcPr>
            <w:tcW w:w="140" w:type="dxa"/>
            <w:vAlign w:val="bottom"/>
            <w:shd w:val="clear" w:color="auto" w:fill="CFF0FC"/>
          </w:tcPr>
          <w:p>
            <w:pPr>
              <w:spacing w:after="0"/>
              <w:rPr>
                <w:sz w:val="20"/>
                <w:szCs w:val="20"/>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6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4,709</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9,769</w:t>
            </w:r>
          </w:p>
        </w:tc>
        <w:tc>
          <w:tcPr>
            <w:tcW w:w="140" w:type="dxa"/>
            <w:vAlign w:val="bottom"/>
          </w:tcPr>
          <w:p>
            <w:pPr>
              <w:spacing w:after="0"/>
              <w:rPr>
                <w:sz w:val="20"/>
                <w:szCs w:val="20"/>
                <w:color w:val="auto"/>
              </w:rPr>
            </w:pPr>
          </w:p>
        </w:tc>
      </w:tr>
      <w:tr>
        <w:trPr>
          <w:trHeight w:val="249"/>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Administrative and General Expense</w:t>
            </w:r>
          </w:p>
        </w:tc>
        <w:tc>
          <w:tcPr>
            <w:tcW w:w="16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w:t>
            </w:r>
          </w:p>
        </w:tc>
        <w:tc>
          <w:tcPr>
            <w:tcW w:w="140" w:type="dxa"/>
            <w:vAlign w:val="bottom"/>
            <w:shd w:val="clear" w:color="auto" w:fill="CFF0FC"/>
          </w:tcPr>
          <w:p>
            <w:pPr>
              <w:spacing w:after="0"/>
              <w:rPr>
                <w:sz w:val="21"/>
                <w:szCs w:val="21"/>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Rationalizations</w:t>
            </w:r>
          </w:p>
        </w:tc>
        <w:tc>
          <w:tcPr>
            <w:tcW w:w="16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0"/>
                <w:szCs w:val="20"/>
                <w:color w:val="auto"/>
              </w:rPr>
            </w:pPr>
          </w:p>
        </w:tc>
      </w:tr>
      <w:tr>
        <w:trPr>
          <w:trHeight w:val="249"/>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6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FF0FC"/>
          </w:tcPr>
          <w:p>
            <w:pPr>
              <w:spacing w:after="0"/>
              <w:rPr>
                <w:sz w:val="21"/>
                <w:szCs w:val="21"/>
                <w:color w:val="auto"/>
              </w:rPr>
            </w:pPr>
          </w:p>
        </w:tc>
      </w:tr>
      <w:tr>
        <w:trPr>
          <w:trHeight w:val="236"/>
        </w:trPr>
        <w:tc>
          <w:tcPr>
            <w:tcW w:w="65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6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(118 )</w:t>
            </w:r>
          </w:p>
        </w:tc>
      </w:tr>
      <w:tr>
        <w:trPr>
          <w:trHeight w:val="283"/>
        </w:trPr>
        <w:tc>
          <w:tcPr>
            <w:tcW w:w="6580" w:type="dxa"/>
            <w:vAlign w:val="bottom"/>
            <w:tcBorders>
              <w:bottom w:val="single" w:sz="8" w:color="CFF0FC"/>
            </w:tcBorders>
            <w:shd w:val="clear" w:color="auto" w:fill="CFF0FC"/>
          </w:tcPr>
          <w:p>
            <w:pPr>
              <w:ind w:left="20"/>
              <w:spacing w:after="0" w:line="243" w:lineRule="exact"/>
              <w:rPr>
                <w:sz w:val="20"/>
                <w:szCs w:val="20"/>
                <w:color w:val="auto"/>
              </w:rPr>
            </w:pPr>
            <w:r>
              <w:rPr>
                <w:rFonts w:ascii="Arial" w:cs="Arial" w:eastAsia="Arial" w:hAnsi="Arial"/>
                <w:sz w:val="18"/>
                <w:szCs w:val="18"/>
                <w:color w:val="auto"/>
              </w:rPr>
              <w:t>Income (Loss) before Income Taxes</w:t>
            </w:r>
            <w:r>
              <w:rPr>
                <w:rFonts w:ascii="Arial" w:cs="Arial" w:eastAsia="Arial" w:hAnsi="Arial"/>
                <w:sz w:val="24"/>
                <w:szCs w:val="24"/>
                <w:color w:val="auto"/>
                <w:vertAlign w:val="superscript"/>
              </w:rPr>
              <w:t>(2)</w:t>
            </w:r>
          </w:p>
        </w:tc>
        <w:tc>
          <w:tcPr>
            <w:tcW w:w="1640" w:type="dxa"/>
            <w:vAlign w:val="bottom"/>
            <w:tcBorders>
              <w:top w:val="single" w:sz="8" w:color="auto"/>
              <w:bottom w:val="single" w:sz="8" w:color="auto"/>
            </w:tcBorders>
            <w:shd w:val="clear" w:color="auto" w:fill="CFF0FC"/>
          </w:tcPr>
          <w:p>
            <w:pPr>
              <w:jc w:val="right"/>
              <w:ind w:right="1458"/>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36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3"/>
        </w:trPr>
        <w:tc>
          <w:tcPr>
            <w:tcW w:w="65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1640" w:type="dxa"/>
            <w:vAlign w:val="bottom"/>
            <w:shd w:val="clear" w:color="auto" w:fill="CFF0FC"/>
          </w:tcPr>
          <w:p>
            <w:pPr>
              <w:jc w:val="right"/>
              <w:ind w:right="1458"/>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(340 )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FF0FC"/>
          </w:tcPr>
          <w:p>
            <w:pPr>
              <w:spacing w:after="0"/>
              <w:rPr>
                <w:sz w:val="21"/>
                <w:szCs w:val="2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Goodyear Net Income (Loss)</w:t>
            </w:r>
          </w:p>
        </w:tc>
        <w:tc>
          <w:tcPr>
            <w:tcW w:w="1640" w:type="dxa"/>
            <w:vAlign w:val="bottom"/>
          </w:tcPr>
          <w:p>
            <w:pPr>
              <w:jc w:val="right"/>
              <w:ind w:right="1458"/>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(340 )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-480060</wp:posOffset>
            </wp:positionV>
            <wp:extent cx="1637665" cy="1797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637665" cy="179705"/>
                    </a:xfrm>
                    <a:prstGeom prst="rect">
                      <a:avLst/>
                    </a:prstGeom>
                    <a:noFill/>
                  </pic:spPr>
                </pic:pic>
              </a:graphicData>
            </a:graphic>
          </wp:anchor>
        </w:drawing>
      </w:r>
    </w:p>
    <w:p>
      <w:pPr>
        <w:spacing w:after="0" w:line="32" w:lineRule="exact"/>
        <w:rPr>
          <w:sz w:val="20"/>
          <w:szCs w:val="20"/>
          <w:color w:val="auto"/>
        </w:rPr>
      </w:pPr>
    </w:p>
    <w:p>
      <w:pPr>
        <w:jc w:val="both"/>
        <w:ind w:left="760" w:hanging="752"/>
        <w:spacing w:after="0" w:line="263"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income from intercompany transactions with Non-Guarantor Subsidiaries of $290 million for the six months ended June 30, 2023, primarily from royalties, intercompany product sales, dividends and interest, and $577 million for the year ended December 31, 2022, primarily from royalties, dividends, interest and intercompany product sales.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549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 — SAFE HARBOR STATEMENT</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in this Form 10-Q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Quarterly Report on Form 10-Q.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327" w:lineRule="exact"/>
        <w:rPr>
          <w:sz w:val="20"/>
          <w:szCs w:val="20"/>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prolonged economic downturn or economic uncertainty could adversely impact our business and results of operations;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raw material cost increases may materially adversely affect our operating results and financial condition;</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experiencing inflationary cost pressures, including with respect to wages, benefits, transportation and energy costs, that may materially adversely affect our operating results and financial condition;</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or disruptions in our supply chain or in the provision of services, including utilities, to us could result in increased costs or disruptions in our operations;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tariffs, trade agreements or trade restrictions may materially adversely affect our operating results;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do not successfully implement our strategic initiatives, our operating results, financial condition and liquidity may be materially adversely affected;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significant global competition and our market share could decline;</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experience a labor strike, work stoppage, labor shortage or other similar event at the Company or its joint ventures, our business, results of operations, financial condition and liquidity could be materially adversely affected;</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difficulties, work stoppages, labor shortages, supply disruptions or economic conditions affecting our major OE customers, dealers or suppliers could harm our business;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capital expenditures may not be adequate to maintain our competitive position and may not be implemented in a timely or cost-effective manner;</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international operations have certain risks that may materially adversely affect our operating results, financial condition and liquidity;</w:t>
      </w:r>
    </w:p>
    <w:p>
      <w:pPr>
        <w:spacing w:after="0" w:line="128" w:lineRule="exact"/>
        <w:rPr>
          <w:rFonts w:ascii="Arial" w:cs="Arial" w:eastAsia="Arial" w:hAnsi="Arial"/>
          <w:sz w:val="17"/>
          <w:szCs w:val="17"/>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foreign currency translation and transaction risks that may materially adversely affect our operating results, financial condition and liquidity;</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long term ability to meet our obligations, to repay maturing indebtedness or to implement strategic initiatives may be dependent on our ability to access capital markets in the future and to improve our operating results;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substantial amount of debt, which could restrict our growth, place us at a competitive disadvantage or otherwise materially adversely affect our financial health;</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failure to be in compliance with any material provision or covenant of our debt instruments, or a material reduction in the borrowing base under our first lien revolving credit facility, could materially adversely affect our liquidity and operations;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variable rate indebtedness subjects us to interest rate risk, which could cause our debt service obligations to increase significantly;</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substantial fixed costs and, as a result, our operating income fluctuates disproportionately with changes in our net sales;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incur significant costs in connection with our contingent liabilities and tax matters;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reserves for contingent liabilities and our recorded insurance assets are subject to various uncertainties, the outcome of which may result in our actual costs being significantly higher than the amounts recorded;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549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5" w:lineRule="exact"/>
        <w:rPr>
          <w:sz w:val="20"/>
          <w:szCs w:val="20"/>
          <w:color w:val="auto"/>
        </w:rPr>
      </w:pPr>
    </w:p>
    <w:p>
      <w:pPr>
        <w:ind w:left="760" w:hanging="378"/>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environmental issues, including climate change, or legal, regulatory or market measures to address environmental issues, may negatively affect our business and operations and cause us to incur significant costs;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subject to extensive government regulations that may materially adversely affect our operating results;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adequately;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unable to attract and retain key personnel, our business could be materially adversely affected; and</w:t>
      </w:r>
    </w:p>
    <w:p>
      <w:pPr>
        <w:spacing w:after="0" w:line="117" w:lineRule="exact"/>
        <w:rPr>
          <w:rFonts w:ascii="Arial" w:cs="Arial" w:eastAsia="Arial" w:hAnsi="Arial"/>
          <w:sz w:val="18"/>
          <w:szCs w:val="18"/>
          <w:color w:val="auto"/>
        </w:rPr>
      </w:pPr>
    </w:p>
    <w:p>
      <w:pPr>
        <w:ind w:left="760" w:hanging="378"/>
        <w:spacing w:after="0" w:line="308" w:lineRule="auto"/>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be impacted by economic and supply disruptions associated with events beyond our control, such as war, including the current conflict between Russia and Ukraine, acts of terror, political unrest, public health concerns, labor disputes or natural disasters.</w:t>
      </w:r>
    </w:p>
    <w:p>
      <w:pPr>
        <w:spacing w:after="0" w:line="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549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raw material costs to which our operations are principally exposed include the cost of natural rubber, synthetic rubber, carbon black, fabrics, steel cord and other petrochemical-based commodities. Approximately two-thirds of our raw materials are petroleum-based, the cost of which may be affected by fluctuations in the price of oil. We currently do not hedge commodity prices. We do, however, use various strategies to partially offset cost increases for 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continuously monitor our fixed and floating rate debt mix. Within defined limitations, we manage the mix using refinancing. At June 30, 2023, approximately 29% of our debt was at variable interest rates averaging 6.45%.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long term fixed rate debt, excluding finance leases, at June 30, 2023:</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42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3"/>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Carrying amount — liability</w:t>
            </w:r>
          </w:p>
        </w:tc>
        <w:tc>
          <w:tcPr>
            <w:tcW w:w="424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5,768</w:t>
            </w: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Fair value — liability</w:t>
            </w:r>
          </w:p>
        </w:tc>
        <w:tc>
          <w:tcPr>
            <w:tcW w:w="424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5,395</w:t>
            </w:r>
          </w:p>
        </w:tc>
      </w:tr>
      <w:tr>
        <w:trPr>
          <w:trHeight w:val="249"/>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 forma fair value — liability</w:t>
            </w:r>
          </w:p>
        </w:tc>
        <w:tc>
          <w:tcPr>
            <w:tcW w:w="4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5,602</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 forma information assumes a 100 basis point decrease in market interest rates at June 30, 2023, and reflects the estimated fair value of fixed rate debt outstanding at that date under that assumption. The sensitivity of our fixed rate debt to changes in interest rates was determined using current market pricing models.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Foreign Currency Exchange Risk</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foreign currency contract information at June 30, 2023:</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40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 asset (liability)</w:t>
            </w:r>
          </w:p>
        </w:tc>
        <w:tc>
          <w:tcPr>
            <w:tcW w:w="408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(15 )</w:t>
            </w: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Pro forma decrease in fair value</w:t>
            </w:r>
          </w:p>
        </w:tc>
        <w:tc>
          <w:tcPr>
            <w:tcW w:w="40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24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maturities</w:t>
            </w:r>
          </w:p>
        </w:tc>
        <w:tc>
          <w:tcPr>
            <w:tcW w:w="408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7/23-6/24</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 forma decrease in fair value assumes a 10% adverse change in underlying foreign exchange rates at June 30, 2023,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Fair values are recognized on the Consolidated Balance Sheet at June 30, 2023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45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 (liability):</w:t>
            </w:r>
          </w:p>
        </w:tc>
        <w:tc>
          <w:tcPr>
            <w:tcW w:w="45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452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11</w:t>
            </w:r>
          </w:p>
        </w:tc>
      </w:tr>
      <w:tr>
        <w:trPr>
          <w:trHeight w:val="249"/>
        </w:trPr>
        <w:tc>
          <w:tcPr>
            <w:tcW w:w="5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current liabilities</w:t>
            </w:r>
          </w:p>
        </w:tc>
        <w:tc>
          <w:tcPr>
            <w:tcW w:w="45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(26 )</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further information on foreign currency contracts, refer to Note to the Consolidated Financial Statements No. 8, Financing Arrangements and Derivative Financial Instruments. Refer to “Management’s Discussion and Analysis of Financial Condition and Results of Operations — Liquidity and Capital Resources” for a discussion of our management of counterparty risk.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549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maintain “disclosure controls and procedures” which, consistent with Rule 13a-15(e) under the Securities Exchange Act of 1934, as amended,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to ensure that such information is accumulated and communicated to our management, including our principal executive and financial officers, as appropriate, to allow timely decisions regarding required disclosure.</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June 30, 2023 (the end of the period covered by this Quarterly Report on Form 10-Q).</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report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549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Litigation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reported in our Form 10-K for the year ended December 31, 2022, we were one of numerous defendants in legal proceedings in certain state and federal courts involving approximately 37,200 claimants relating to their alleged exposure to materials containing asbestos in products allegedly manufactured by us or asbestos materials present in our facilities. During the first six months of 2023, approximately 400 claims were filed against us and approximately 600 were settled or dismissed. The amounts expended on asbestos defense and claim resolution by us and our insurers during the first six months of 2023 was $9 million. At June 30, 2023, there were approximately 37,000 asbestos claims pending against us. The plaintiffs are seeking unspecified actual and punitive damages and other relief. Refer to Note to the Consolidated Financial Statements No. 12, Commitments and Contingent Liabilities, for additional information on asbestos litigation.</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Item 3 of Part I of our 2022 Form 10-K and to Item I of Part II of our Quarterly Report on Form 10-Q for the quarterly period ended March 31, 2023 for additional discussion of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1A. Risk Factors” in our 2022 Form 10-K for a discussion of our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quarterly period ended June 30, 2023, none of our directors or officers informed us of the adoption, modification or termination of a "Rule 10b5-1 trading arrangement" or a "non-Rule 10b5-1 trading arrangement," as those terms are defined in Regulation S-K, Item 408.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the Index of Exhibits, which is by specific reference incorporated into and made a part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160655</wp:posOffset>
            </wp:positionV>
            <wp:extent cx="190309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549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 Ended June 30, 2023</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INDEX OF EXHIBITS</w:t>
      </w:r>
    </w:p>
    <w:p>
      <w:pPr>
        <w:spacing w:after="0" w:line="14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52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98"/>
              </w:rPr>
              <w:t>Exhibit</w:t>
            </w:r>
          </w:p>
        </w:tc>
        <w:tc>
          <w:tcPr>
            <w:tcW w:w="2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gridSpan w:val="3"/>
          </w:tcPr>
          <w:p>
            <w:pPr>
              <w:jc w:val="center"/>
              <w:ind w:right="2060"/>
              <w:spacing w:after="0" w:line="149" w:lineRule="exact"/>
              <w:rPr>
                <w:sz w:val="20"/>
                <w:szCs w:val="20"/>
                <w:color w:val="auto"/>
              </w:rPr>
            </w:pPr>
            <w:r>
              <w:rPr>
                <w:rFonts w:ascii="Arial" w:cs="Arial" w:eastAsia="Arial" w:hAnsi="Arial"/>
                <w:sz w:val="14"/>
                <w:szCs w:val="14"/>
                <w:b w:val="1"/>
                <w:bCs w:val="1"/>
                <w:color w:val="auto"/>
                <w:w w:val="92"/>
              </w:rPr>
              <w:t>Table</w:t>
            </w:r>
          </w:p>
        </w:tc>
        <w:tc>
          <w:tcPr>
            <w:tcW w:w="2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0" w:type="dxa"/>
            <w:vAlign w:val="bottom"/>
          </w:tcPr>
          <w:p>
            <w:pPr>
              <w:spacing w:after="0"/>
              <w:rPr>
                <w:sz w:val="1"/>
                <w:szCs w:val="1"/>
                <w:color w:val="auto"/>
              </w:rPr>
            </w:pPr>
          </w:p>
        </w:tc>
      </w:tr>
      <w:tr>
        <w:trPr>
          <w:trHeight w:val="148"/>
        </w:trPr>
        <w:tc>
          <w:tcPr>
            <w:tcW w:w="2520" w:type="dxa"/>
            <w:vAlign w:val="bottom"/>
            <w:gridSpan w:val="3"/>
          </w:tcPr>
          <w:p>
            <w:pPr>
              <w:jc w:val="center"/>
              <w:ind w:right="2060"/>
              <w:spacing w:after="0" w:line="149" w:lineRule="exact"/>
              <w:rPr>
                <w:sz w:val="20"/>
                <w:szCs w:val="20"/>
                <w:color w:val="auto"/>
              </w:rPr>
            </w:pPr>
            <w:r>
              <w:rPr>
                <w:rFonts w:ascii="Arial" w:cs="Arial" w:eastAsia="Arial" w:hAnsi="Arial"/>
                <w:sz w:val="14"/>
                <w:szCs w:val="14"/>
                <w:b w:val="1"/>
                <w:bCs w:val="1"/>
                <w:color w:val="auto"/>
              </w:rPr>
              <w:t>Item</w:t>
            </w:r>
          </w:p>
        </w:tc>
        <w:tc>
          <w:tcPr>
            <w:tcW w:w="2060" w:type="dxa"/>
            <w:vAlign w:val="bottom"/>
            <w:vMerge w:val="restart"/>
          </w:tcPr>
          <w:p>
            <w:pPr>
              <w:spacing w:after="0"/>
              <w:rPr>
                <w:sz w:val="12"/>
                <w:szCs w:val="12"/>
                <w:color w:val="auto"/>
              </w:rPr>
            </w:pPr>
          </w:p>
        </w:tc>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43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20" w:type="dxa"/>
            <w:vAlign w:val="bottom"/>
          </w:tcPr>
          <w:p>
            <w:pPr>
              <w:spacing w:after="0"/>
              <w:rPr>
                <w:sz w:val="13"/>
                <w:szCs w:val="13"/>
                <w:color w:val="auto"/>
              </w:rPr>
            </w:pPr>
          </w:p>
        </w:tc>
        <w:tc>
          <w:tcPr>
            <w:tcW w:w="2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No.</w:t>
            </w:r>
          </w:p>
        </w:tc>
        <w:tc>
          <w:tcPr>
            <w:tcW w:w="2180" w:type="dxa"/>
            <w:vAlign w:val="bottom"/>
          </w:tcPr>
          <w:p>
            <w:pPr>
              <w:spacing w:after="0"/>
              <w:rPr>
                <w:sz w:val="13"/>
                <w:szCs w:val="13"/>
                <w:color w:val="auto"/>
              </w:rPr>
            </w:pPr>
          </w:p>
        </w:tc>
        <w:tc>
          <w:tcPr>
            <w:tcW w:w="2060" w:type="dxa"/>
            <w:vAlign w:val="bottom"/>
            <w:vMerge w:val="continue"/>
          </w:tcPr>
          <w:p>
            <w:pPr>
              <w:spacing w:after="0"/>
              <w:rPr>
                <w:sz w:val="13"/>
                <w:szCs w:val="13"/>
                <w:color w:val="auto"/>
              </w:rPr>
            </w:pPr>
          </w:p>
        </w:tc>
        <w:tc>
          <w:tcPr>
            <w:tcW w:w="1360" w:type="dxa"/>
            <w:vAlign w:val="bottom"/>
            <w:tcBorders>
              <w:bottom w:val="single" w:sz="8" w:color="auto"/>
            </w:tcBorders>
            <w:vMerge w:val="continue"/>
          </w:tcPr>
          <w:p>
            <w:pPr>
              <w:spacing w:after="0"/>
              <w:rPr>
                <w:sz w:val="13"/>
                <w:szCs w:val="13"/>
                <w:color w:val="auto"/>
              </w:rPr>
            </w:pPr>
          </w:p>
        </w:tc>
        <w:tc>
          <w:tcPr>
            <w:tcW w:w="4340" w:type="dxa"/>
            <w:vAlign w:val="bottom"/>
          </w:tcPr>
          <w:p>
            <w:pPr>
              <w:spacing w:after="0"/>
              <w:rPr>
                <w:sz w:val="13"/>
                <w:szCs w:val="13"/>
                <w:color w:val="auto"/>
              </w:rPr>
            </w:pPr>
          </w:p>
        </w:tc>
        <w:tc>
          <w:tcPr>
            <w:tcW w:w="5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980" w:hanging="70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Material Contracts</w:t>
      </w:r>
    </w:p>
    <w:p>
      <w:pPr>
        <w:spacing w:after="0" w:line="148" w:lineRule="exact"/>
        <w:rPr>
          <w:sz w:val="20"/>
          <w:szCs w:val="20"/>
          <w:color w:val="auto"/>
        </w:rPr>
      </w:pPr>
    </w:p>
    <w:p>
      <w:pPr>
        <w:jc w:val="both"/>
        <w:ind w:left="980" w:right="1180" w:hanging="712"/>
        <w:spacing w:after="0" w:line="263" w:lineRule="auto"/>
        <w:tabs>
          <w:tab w:leader="none" w:pos="980" w:val="left"/>
        </w:tabs>
        <w:numPr>
          <w:ilvl w:val="0"/>
          <w:numId w:val="14"/>
        </w:numPr>
        <w:rPr>
          <w:rFonts w:ascii="Arial" w:cs="Arial" w:eastAsia="Arial" w:hAnsi="Arial"/>
          <w:sz w:val="18"/>
          <w:szCs w:val="18"/>
          <w:u w:val="single" w:color="auto"/>
          <w:color w:val="0000FF"/>
        </w:rPr>
      </w:pPr>
      <w:hyperlink r:id="rId326">
        <w:r>
          <w:rPr>
            <w:rFonts w:ascii="Arial" w:cs="Arial" w:eastAsia="Arial" w:hAnsi="Arial"/>
            <w:sz w:val="18"/>
            <w:szCs w:val="18"/>
            <w:u w:val="single" w:color="auto"/>
            <w:color w:val="0000FF"/>
          </w:rPr>
          <w:t>Cooperation Agreement between The Goodyear Tire &amp; Rubber Company, Elliott Investment Management L.P., Elliott</w:t>
        </w:r>
      </w:hyperlink>
      <w:r>
        <w:rPr>
          <w:rFonts w:ascii="Arial" w:cs="Arial" w:eastAsia="Arial" w:hAnsi="Arial"/>
          <w:sz w:val="18"/>
          <w:szCs w:val="18"/>
          <w:u w:val="single" w:color="auto"/>
          <w:color w:val="0000FF"/>
        </w:rPr>
        <w:t xml:space="preserve"> </w:t>
      </w:r>
      <w:hyperlink r:id="rId326">
        <w:r>
          <w:rPr>
            <w:rFonts w:ascii="Arial" w:cs="Arial" w:eastAsia="Arial" w:hAnsi="Arial"/>
            <w:sz w:val="18"/>
            <w:szCs w:val="18"/>
            <w:u w:val="single" w:color="auto"/>
            <w:color w:val="0000FF"/>
          </w:rPr>
          <w:t>Associates, L.P., and Elliott International, L.P., dated July 25, 2023 (incorporated by reference, filed as Exhibit 10.1 to the</w:t>
        </w:r>
      </w:hyperlink>
      <w:r>
        <w:rPr>
          <w:rFonts w:ascii="Arial" w:cs="Arial" w:eastAsia="Arial" w:hAnsi="Arial"/>
          <w:sz w:val="18"/>
          <w:szCs w:val="18"/>
          <w:u w:val="single" w:color="auto"/>
          <w:color w:val="0000FF"/>
        </w:rPr>
        <w:t xml:space="preserve"> </w:t>
      </w:r>
      <w:hyperlink r:id="rId326">
        <w:r>
          <w:rPr>
            <w:rFonts w:ascii="Arial" w:cs="Arial" w:eastAsia="Arial" w:hAnsi="Arial"/>
            <w:sz w:val="18"/>
            <w:szCs w:val="18"/>
            <w:u w:val="single" w:color="auto"/>
            <w:color w:val="0000FF"/>
          </w:rPr>
          <w:t>Company's Current Report on Form 8-K, filed July 25, 2023, File No. 1-1927).</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628015</wp:posOffset>
            </wp:positionH>
            <wp:positionV relativeFrom="paragraph">
              <wp:posOffset>-311150</wp:posOffset>
            </wp:positionV>
            <wp:extent cx="56438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56438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-173990</wp:posOffset>
            </wp:positionV>
            <wp:extent cx="565023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565023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-36830</wp:posOffset>
            </wp:positionV>
            <wp:extent cx="36163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3616325" cy="8255"/>
                    </a:xfrm>
                    <a:prstGeom prst="rect">
                      <a:avLst/>
                    </a:prstGeom>
                    <a:noFill/>
                  </pic:spPr>
                </pic:pic>
              </a:graphicData>
            </a:graphic>
          </wp:anchor>
        </w:drawing>
      </w:r>
    </w:p>
    <w:p>
      <w:pPr>
        <w:spacing w:after="0" w:line="79" w:lineRule="exact"/>
        <w:rPr>
          <w:rFonts w:ascii="Arial" w:cs="Arial" w:eastAsia="Arial" w:hAnsi="Arial"/>
          <w:sz w:val="18"/>
          <w:szCs w:val="18"/>
          <w:u w:val="single" w:color="auto"/>
          <w:color w:val="0000FF"/>
        </w:rPr>
      </w:pPr>
    </w:p>
    <w:p>
      <w:pPr>
        <w:ind w:left="980" w:hanging="702"/>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Subsidiary Guarantors of Guaranteed Securities</w:t>
      </w:r>
    </w:p>
    <w:p>
      <w:pPr>
        <w:spacing w:after="0" w:line="148" w:lineRule="exact"/>
        <w:rPr>
          <w:rFonts w:ascii="Arial" w:cs="Arial" w:eastAsia="Arial" w:hAnsi="Arial"/>
          <w:sz w:val="18"/>
          <w:szCs w:val="18"/>
          <w:u w:val="single" w:color="auto"/>
          <w:color w:val="0000FF"/>
        </w:rPr>
      </w:pPr>
    </w:p>
    <w:p>
      <w:pPr>
        <w:ind w:left="260"/>
        <w:spacing w:after="0"/>
        <w:tabs>
          <w:tab w:leader="none" w:pos="960" w:val="left"/>
          <w:tab w:leader="none" w:pos="105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u w:val="single" w:color="auto"/>
          <w:color w:val="0000FF"/>
        </w:rPr>
        <w:t>List of Subsidiary Guarantors.</w:t>
      </w:r>
      <w:r>
        <w:rPr>
          <w:sz w:val="20"/>
          <w:szCs w:val="20"/>
          <w:color w:val="auto"/>
        </w:rPr>
        <w:tab/>
      </w:r>
      <w:r>
        <w:rPr>
          <w:rFonts w:ascii="Arial" w:cs="Arial" w:eastAsia="Arial" w:hAnsi="Arial"/>
          <w:sz w:val="16"/>
          <w:szCs w:val="16"/>
          <w:color w:val="auto"/>
        </w:rPr>
        <w:t>22.1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628015</wp:posOffset>
            </wp:positionH>
            <wp:positionV relativeFrom="paragraph">
              <wp:posOffset>-10160</wp:posOffset>
            </wp:positionV>
            <wp:extent cx="138366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107" w:lineRule="exact"/>
        <w:rPr>
          <w:rFonts w:ascii="Arial" w:cs="Arial" w:eastAsia="Arial" w:hAnsi="Arial"/>
          <w:sz w:val="18"/>
          <w:szCs w:val="18"/>
          <w:u w:val="single" w:color="auto"/>
          <w:color w:val="0000FF"/>
        </w:rPr>
      </w:pPr>
    </w:p>
    <w:p>
      <w:pPr>
        <w:ind w:left="980" w:hanging="70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Rule 13a-14(a) Certifications</w:t>
      </w:r>
    </w:p>
    <w:p>
      <w:pPr>
        <w:spacing w:after="0" w:line="131" w:lineRule="exact"/>
        <w:rPr>
          <w:rFonts w:ascii="Arial" w:cs="Arial" w:eastAsia="Arial" w:hAnsi="Arial"/>
          <w:sz w:val="18"/>
          <w:szCs w:val="18"/>
          <w:u w:val="single" w:color="auto"/>
          <w:color w:val="0000FF"/>
        </w:rPr>
      </w:pPr>
    </w:p>
    <w:tbl>
      <w:tblPr>
        <w:tblLayout w:type="fixed"/>
        <w:tblInd w:w="26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(a)</w:t>
            </w:r>
          </w:p>
        </w:tc>
        <w:tc>
          <w:tcPr>
            <w:tcW w:w="8700" w:type="dxa"/>
            <w:vAlign w:val="bottom"/>
            <w:gridSpan w:val="2"/>
          </w:tcPr>
          <w:p>
            <w:pPr>
              <w:spacing w:after="0"/>
              <w:rPr>
                <w:sz w:val="20"/>
                <w:szCs w:val="20"/>
                <w:color w:val="auto"/>
              </w:rPr>
            </w:pPr>
            <w:r>
              <w:rPr>
                <w:rFonts w:ascii="Arial" w:cs="Arial" w:eastAsia="Arial" w:hAnsi="Arial"/>
                <w:sz w:val="18"/>
                <w:szCs w:val="18"/>
                <w:color w:val="0000FF"/>
              </w:rPr>
              <w:t>Certificate of Chief Executive Officer pursuant to Rule 13a-14(a) under the Securities Exchange Act of 1934.</w:t>
            </w:r>
          </w:p>
        </w:tc>
        <w:tc>
          <w:tcPr>
            <w:tcW w:w="114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782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31"/>
        </w:trPr>
        <w:tc>
          <w:tcPr>
            <w:tcW w:w="740" w:type="dxa"/>
            <w:vAlign w:val="bottom"/>
          </w:tcPr>
          <w:p>
            <w:pPr>
              <w:spacing w:after="0"/>
              <w:rPr>
                <w:sz w:val="20"/>
                <w:szCs w:val="20"/>
                <w:color w:val="auto"/>
              </w:rPr>
            </w:pPr>
            <w:r>
              <w:rPr>
                <w:rFonts w:ascii="Arial" w:cs="Arial" w:eastAsia="Arial" w:hAnsi="Arial"/>
                <w:sz w:val="18"/>
                <w:szCs w:val="18"/>
                <w:color w:val="auto"/>
              </w:rPr>
              <w:t>(b)</w:t>
            </w:r>
          </w:p>
        </w:tc>
        <w:tc>
          <w:tcPr>
            <w:tcW w:w="8700" w:type="dxa"/>
            <w:vAlign w:val="bottom"/>
            <w:gridSpan w:val="2"/>
          </w:tcPr>
          <w:p>
            <w:pPr>
              <w:spacing w:after="0"/>
              <w:rPr>
                <w:sz w:val="20"/>
                <w:szCs w:val="20"/>
                <w:color w:val="auto"/>
              </w:rPr>
            </w:pPr>
            <w:r>
              <w:rPr>
                <w:rFonts w:ascii="Arial" w:cs="Arial" w:eastAsia="Arial" w:hAnsi="Arial"/>
                <w:sz w:val="18"/>
                <w:szCs w:val="18"/>
                <w:color w:val="0000FF"/>
              </w:rPr>
              <w:t>Certificate of Chief Financial Officer pursuant to Rule 13a-14(a) under the Securities Exchange Act of 1934.</w:t>
            </w:r>
          </w:p>
        </w:tc>
        <w:tc>
          <w:tcPr>
            <w:tcW w:w="114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78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44" w:lineRule="exact"/>
        <w:rPr>
          <w:rFonts w:ascii="Arial" w:cs="Arial" w:eastAsia="Arial" w:hAnsi="Arial"/>
          <w:sz w:val="18"/>
          <w:szCs w:val="18"/>
          <w:u w:val="single" w:color="auto"/>
          <w:color w:val="0000FF"/>
        </w:rPr>
      </w:pPr>
    </w:p>
    <w:p>
      <w:pPr>
        <w:ind w:left="980" w:hanging="702"/>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Section 1350 Certifications</w:t>
      </w:r>
    </w:p>
    <w:p>
      <w:pPr>
        <w:spacing w:after="0" w:line="131" w:lineRule="exact"/>
        <w:rPr>
          <w:rFonts w:ascii="Arial" w:cs="Arial" w:eastAsia="Arial" w:hAnsi="Arial"/>
          <w:sz w:val="18"/>
          <w:szCs w:val="18"/>
          <w:u w:val="single" w:color="auto"/>
          <w:color w:val="0000FF"/>
        </w:rPr>
      </w:pPr>
    </w:p>
    <w:tbl>
      <w:tblPr>
        <w:tblLayout w:type="fixed"/>
        <w:tblInd w:w="240" w:type="dxa"/>
        <w:tblCellMar>
          <w:top w:w="0" w:type="dxa"/>
          <w:left w:w="0" w:type="dxa"/>
          <w:bottom w:w="0" w:type="dxa"/>
          <w:right w:w="0" w:type="dxa"/>
        </w:tblCellMar>
      </w:tblPr>
      <w:tr>
        <w:trPr>
          <w:trHeight w:val="207"/>
        </w:trPr>
        <w:tc>
          <w:tcPr>
            <w:tcW w:w="760" w:type="dxa"/>
            <w:vAlign w:val="bottom"/>
          </w:tcPr>
          <w:p>
            <w:pPr>
              <w:jc w:val="center"/>
              <w:ind w:right="430"/>
              <w:spacing w:after="0"/>
              <w:rPr>
                <w:sz w:val="20"/>
                <w:szCs w:val="20"/>
                <w:color w:val="auto"/>
              </w:rPr>
            </w:pPr>
            <w:r>
              <w:rPr>
                <w:rFonts w:ascii="Arial" w:cs="Arial" w:eastAsia="Arial" w:hAnsi="Arial"/>
                <w:sz w:val="18"/>
                <w:szCs w:val="18"/>
                <w:color w:val="auto"/>
                <w:w w:val="90"/>
              </w:rPr>
              <w:t>(a)</w:t>
            </w:r>
          </w:p>
        </w:tc>
        <w:tc>
          <w:tcPr>
            <w:tcW w:w="8880" w:type="dxa"/>
            <w:vAlign w:val="bottom"/>
            <w:gridSpan w:val="2"/>
          </w:tcPr>
          <w:p>
            <w:pPr>
              <w:spacing w:after="0"/>
              <w:rPr>
                <w:sz w:val="20"/>
                <w:szCs w:val="20"/>
                <w:color w:val="auto"/>
              </w:rPr>
            </w:pPr>
            <w:r>
              <w:rPr>
                <w:rFonts w:ascii="Arial" w:cs="Arial" w:eastAsia="Arial" w:hAnsi="Arial"/>
                <w:sz w:val="18"/>
                <w:szCs w:val="18"/>
                <w:color w:val="0000FF"/>
                <w:w w:val="99"/>
              </w:rPr>
              <w:t>Certificate of Chief Executive Officer and Chief Financial Officer pursuant to Rule 13a-14(b) under the Securities</w:t>
            </w:r>
          </w:p>
        </w:tc>
        <w:tc>
          <w:tcPr>
            <w:tcW w:w="1140" w:type="dxa"/>
            <w:vAlign w:val="bottom"/>
          </w:tcPr>
          <w:p>
            <w:pPr>
              <w:jc w:val="center"/>
              <w:ind w:left="370"/>
              <w:spacing w:after="0"/>
              <w:rPr>
                <w:sz w:val="20"/>
                <w:szCs w:val="20"/>
                <w:color w:val="auto"/>
              </w:rPr>
            </w:pPr>
            <w:r>
              <w:rPr>
                <w:rFonts w:ascii="Arial" w:cs="Arial" w:eastAsia="Arial" w:hAnsi="Arial"/>
                <w:sz w:val="18"/>
                <w:szCs w:val="18"/>
                <w:color w:val="auto"/>
                <w:w w:val="91"/>
              </w:rPr>
              <w:t>32.1</w:t>
            </w:r>
          </w:p>
        </w:tc>
      </w:tr>
      <w:tr>
        <w:trPr>
          <w:trHeight w:val="20"/>
        </w:trPr>
        <w:tc>
          <w:tcPr>
            <w:tcW w:w="760" w:type="dxa"/>
            <w:vAlign w:val="bottom"/>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7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880" w:type="dxa"/>
            <w:vAlign w:val="bottom"/>
            <w:gridSpan w:val="2"/>
          </w:tcPr>
          <w:p>
            <w:pPr>
              <w:spacing w:after="0" w:line="196" w:lineRule="exact"/>
              <w:rPr>
                <w:sz w:val="20"/>
                <w:szCs w:val="20"/>
                <w:color w:val="auto"/>
              </w:rPr>
            </w:pPr>
            <w:r>
              <w:rPr>
                <w:rFonts w:ascii="Arial" w:cs="Arial" w:eastAsia="Arial" w:hAnsi="Arial"/>
                <w:sz w:val="18"/>
                <w:szCs w:val="18"/>
                <w:color w:val="0000FF"/>
              </w:rPr>
              <w:t>Exchange Act of 1934.</w:t>
            </w:r>
          </w:p>
        </w:tc>
        <w:tc>
          <w:tcPr>
            <w:tcW w:w="1140" w:type="dxa"/>
            <w:vAlign w:val="bottom"/>
          </w:tcPr>
          <w:p>
            <w:pPr>
              <w:spacing w:after="0"/>
              <w:rPr>
                <w:sz w:val="17"/>
                <w:szCs w:val="17"/>
                <w:color w:val="auto"/>
              </w:rPr>
            </w:pP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EE"/>
            </w:tcBorders>
            <w:shd w:val="clear" w:color="auto" w:fill="0000FF"/>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760" w:type="dxa"/>
            <w:vAlign w:val="bottom"/>
          </w:tcPr>
          <w:p>
            <w:pPr>
              <w:jc w:val="right"/>
              <w:ind w:right="410"/>
              <w:spacing w:after="0"/>
              <w:rPr>
                <w:sz w:val="20"/>
                <w:szCs w:val="20"/>
                <w:color w:val="auto"/>
              </w:rPr>
            </w:pPr>
            <w:r>
              <w:rPr>
                <w:rFonts w:ascii="Arial" w:cs="Arial" w:eastAsia="Arial" w:hAnsi="Arial"/>
                <w:sz w:val="18"/>
                <w:szCs w:val="18"/>
                <w:color w:val="auto"/>
                <w:w w:val="79"/>
              </w:rPr>
              <w:t>101</w:t>
            </w:r>
          </w:p>
        </w:tc>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Interactive Data Files</w:t>
            </w:r>
          </w:p>
        </w:tc>
        <w:tc>
          <w:tcPr>
            <w:tcW w:w="1140" w:type="dxa"/>
            <w:vAlign w:val="bottom"/>
          </w:tcPr>
          <w:p>
            <w:pPr>
              <w:spacing w:after="0"/>
              <w:rPr>
                <w:sz w:val="24"/>
                <w:szCs w:val="24"/>
                <w:color w:val="auto"/>
              </w:rPr>
            </w:pPr>
          </w:p>
        </w:tc>
      </w:tr>
      <w:tr>
        <w:trPr>
          <w:trHeight w:val="337"/>
        </w:trPr>
        <w:tc>
          <w:tcPr>
            <w:tcW w:w="760" w:type="dxa"/>
            <w:vAlign w:val="bottom"/>
          </w:tcPr>
          <w:p>
            <w:pPr>
              <w:spacing w:after="0"/>
              <w:rPr>
                <w:sz w:val="24"/>
                <w:szCs w:val="24"/>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 XBRL tags are</w:t>
            </w:r>
          </w:p>
        </w:tc>
        <w:tc>
          <w:tcPr>
            <w:tcW w:w="1140" w:type="dxa"/>
            <w:vAlign w:val="bottom"/>
          </w:tcPr>
          <w:p>
            <w:pPr>
              <w:jc w:val="center"/>
              <w:ind w:left="370"/>
              <w:spacing w:after="0"/>
              <w:rPr>
                <w:sz w:val="20"/>
                <w:szCs w:val="20"/>
                <w:color w:val="auto"/>
              </w:rPr>
            </w:pPr>
            <w:r>
              <w:rPr>
                <w:rFonts w:ascii="Arial" w:cs="Arial" w:eastAsia="Arial" w:hAnsi="Arial"/>
                <w:sz w:val="18"/>
                <w:szCs w:val="18"/>
                <w:color w:val="auto"/>
                <w:w w:val="92"/>
              </w:rPr>
              <w:t>101.INS</w:t>
            </w:r>
          </w:p>
        </w:tc>
      </w:tr>
      <w:tr>
        <w:trPr>
          <w:trHeight w:val="230"/>
        </w:trPr>
        <w:tc>
          <w:tcPr>
            <w:tcW w:w="760" w:type="dxa"/>
            <w:vAlign w:val="bottom"/>
          </w:tcPr>
          <w:p>
            <w:pPr>
              <w:spacing w:after="0"/>
              <w:rPr>
                <w:sz w:val="20"/>
                <w:szCs w:val="20"/>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embedded within the Inline XBRL document.</w:t>
            </w:r>
          </w:p>
        </w:tc>
        <w:tc>
          <w:tcPr>
            <w:tcW w:w="1140" w:type="dxa"/>
            <w:vAlign w:val="bottom"/>
          </w:tcPr>
          <w:p>
            <w:pPr>
              <w:spacing w:after="0"/>
              <w:rPr>
                <w:sz w:val="20"/>
                <w:szCs w:val="20"/>
                <w:color w:val="auto"/>
              </w:rPr>
            </w:pPr>
          </w:p>
        </w:tc>
      </w:tr>
      <w:tr>
        <w:trPr>
          <w:trHeight w:val="351"/>
        </w:trPr>
        <w:tc>
          <w:tcPr>
            <w:tcW w:w="760" w:type="dxa"/>
            <w:vAlign w:val="bottom"/>
          </w:tcPr>
          <w:p>
            <w:pPr>
              <w:spacing w:after="0"/>
              <w:rPr>
                <w:sz w:val="24"/>
                <w:szCs w:val="24"/>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 Document.</w:t>
            </w:r>
          </w:p>
        </w:tc>
        <w:tc>
          <w:tcPr>
            <w:tcW w:w="1140" w:type="dxa"/>
            <w:vAlign w:val="bottom"/>
          </w:tcPr>
          <w:p>
            <w:pPr>
              <w:jc w:val="center"/>
              <w:ind w:left="390"/>
              <w:spacing w:after="0"/>
              <w:rPr>
                <w:sz w:val="20"/>
                <w:szCs w:val="20"/>
                <w:color w:val="auto"/>
              </w:rPr>
            </w:pPr>
            <w:r>
              <w:rPr>
                <w:rFonts w:ascii="Arial" w:cs="Arial" w:eastAsia="Arial" w:hAnsi="Arial"/>
                <w:sz w:val="18"/>
                <w:szCs w:val="18"/>
                <w:color w:val="auto"/>
                <w:w w:val="90"/>
              </w:rPr>
              <w:t>101.SCH</w:t>
            </w:r>
          </w:p>
        </w:tc>
      </w:tr>
      <w:tr>
        <w:trPr>
          <w:trHeight w:val="351"/>
        </w:trPr>
        <w:tc>
          <w:tcPr>
            <w:tcW w:w="760" w:type="dxa"/>
            <w:vAlign w:val="bottom"/>
          </w:tcPr>
          <w:p>
            <w:pPr>
              <w:spacing w:after="0"/>
              <w:rPr>
                <w:sz w:val="24"/>
                <w:szCs w:val="24"/>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140" w:type="dxa"/>
            <w:vAlign w:val="bottom"/>
          </w:tcPr>
          <w:p>
            <w:pPr>
              <w:jc w:val="center"/>
              <w:ind w:left="370"/>
              <w:spacing w:after="0"/>
              <w:rPr>
                <w:sz w:val="20"/>
                <w:szCs w:val="20"/>
                <w:color w:val="auto"/>
              </w:rPr>
            </w:pPr>
            <w:r>
              <w:rPr>
                <w:rFonts w:ascii="Arial" w:cs="Arial" w:eastAsia="Arial" w:hAnsi="Arial"/>
                <w:sz w:val="18"/>
                <w:szCs w:val="18"/>
                <w:color w:val="auto"/>
                <w:w w:val="97"/>
              </w:rPr>
              <w:t>101.CAL</w:t>
            </w:r>
          </w:p>
        </w:tc>
      </w:tr>
      <w:tr>
        <w:trPr>
          <w:trHeight w:val="351"/>
        </w:trPr>
        <w:tc>
          <w:tcPr>
            <w:tcW w:w="760" w:type="dxa"/>
            <w:vAlign w:val="bottom"/>
          </w:tcPr>
          <w:p>
            <w:pPr>
              <w:spacing w:after="0"/>
              <w:rPr>
                <w:sz w:val="24"/>
                <w:szCs w:val="24"/>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140" w:type="dxa"/>
            <w:vAlign w:val="bottom"/>
          </w:tcPr>
          <w:p>
            <w:pPr>
              <w:jc w:val="center"/>
              <w:ind w:left="390"/>
              <w:spacing w:after="0"/>
              <w:rPr>
                <w:sz w:val="20"/>
                <w:szCs w:val="20"/>
                <w:color w:val="auto"/>
              </w:rPr>
            </w:pPr>
            <w:r>
              <w:rPr>
                <w:rFonts w:ascii="Arial" w:cs="Arial" w:eastAsia="Arial" w:hAnsi="Arial"/>
                <w:sz w:val="18"/>
                <w:szCs w:val="18"/>
                <w:color w:val="auto"/>
                <w:w w:val="92"/>
              </w:rPr>
              <w:t>101.DEF</w:t>
            </w:r>
          </w:p>
        </w:tc>
      </w:tr>
      <w:tr>
        <w:trPr>
          <w:trHeight w:val="351"/>
        </w:trPr>
        <w:tc>
          <w:tcPr>
            <w:tcW w:w="760" w:type="dxa"/>
            <w:vAlign w:val="bottom"/>
          </w:tcPr>
          <w:p>
            <w:pPr>
              <w:spacing w:after="0"/>
              <w:rPr>
                <w:sz w:val="24"/>
                <w:szCs w:val="24"/>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140" w:type="dxa"/>
            <w:vAlign w:val="bottom"/>
          </w:tcPr>
          <w:p>
            <w:pPr>
              <w:jc w:val="center"/>
              <w:ind w:left="370"/>
              <w:spacing w:after="0"/>
              <w:rPr>
                <w:sz w:val="20"/>
                <w:szCs w:val="20"/>
                <w:color w:val="auto"/>
              </w:rPr>
            </w:pPr>
            <w:r>
              <w:rPr>
                <w:rFonts w:ascii="Arial" w:cs="Arial" w:eastAsia="Arial" w:hAnsi="Arial"/>
                <w:sz w:val="18"/>
                <w:szCs w:val="18"/>
                <w:color w:val="auto"/>
                <w:w w:val="98"/>
              </w:rPr>
              <w:t>101.LAB</w:t>
            </w:r>
          </w:p>
        </w:tc>
      </w:tr>
      <w:tr>
        <w:trPr>
          <w:trHeight w:val="338"/>
        </w:trPr>
        <w:tc>
          <w:tcPr>
            <w:tcW w:w="760" w:type="dxa"/>
            <w:vAlign w:val="bottom"/>
          </w:tcPr>
          <w:p>
            <w:pPr>
              <w:spacing w:after="0"/>
              <w:rPr>
                <w:sz w:val="24"/>
                <w:szCs w:val="24"/>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140" w:type="dxa"/>
            <w:vAlign w:val="bottom"/>
          </w:tcPr>
          <w:p>
            <w:pPr>
              <w:jc w:val="center"/>
              <w:ind w:left="370"/>
              <w:spacing w:after="0"/>
              <w:rPr>
                <w:sz w:val="20"/>
                <w:szCs w:val="20"/>
                <w:color w:val="auto"/>
              </w:rPr>
            </w:pPr>
            <w:r>
              <w:rPr>
                <w:rFonts w:ascii="Arial" w:cs="Arial" w:eastAsia="Arial" w:hAnsi="Arial"/>
                <w:sz w:val="18"/>
                <w:szCs w:val="18"/>
                <w:color w:val="auto"/>
                <w:w w:val="88"/>
              </w:rPr>
              <w:t>101.PRE</w:t>
            </w:r>
          </w:p>
        </w:tc>
      </w:tr>
    </w:tbl>
    <w:p>
      <w:pPr>
        <w:spacing w:after="0" w:line="117" w:lineRule="exact"/>
        <w:rPr>
          <w:rFonts w:ascii="Arial" w:cs="Arial" w:eastAsia="Arial" w:hAnsi="Arial"/>
          <w:sz w:val="18"/>
          <w:szCs w:val="18"/>
          <w:u w:val="single" w:color="auto"/>
          <w:color w:val="0000FF"/>
        </w:rPr>
      </w:pPr>
    </w:p>
    <w:p>
      <w:pPr>
        <w:ind w:left="980" w:hanging="747"/>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Cover Page Interactive Data File</w:t>
      </w:r>
    </w:p>
    <w:p>
      <w:pPr>
        <w:spacing w:after="0" w:line="148" w:lineRule="exact"/>
        <w:rPr>
          <w:rFonts w:ascii="Arial" w:cs="Arial" w:eastAsia="Arial" w:hAnsi="Arial"/>
          <w:sz w:val="18"/>
          <w:szCs w:val="18"/>
          <w:color w:val="auto"/>
        </w:rPr>
      </w:pPr>
    </w:p>
    <w:p>
      <w:pPr>
        <w:ind w:left="980" w:right="1180"/>
        <w:spacing w:after="0" w:line="277" w:lineRule="auto"/>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June 30, 2023, formatted in Inline XBRL (included as Exhibit 101).</w:t>
      </w:r>
    </w:p>
    <w:p>
      <w:pPr>
        <w:spacing w:after="0" w:line="200" w:lineRule="exact"/>
        <w:rPr>
          <w:rFonts w:ascii="Arial" w:cs="Arial" w:eastAsia="Arial" w:hAnsi="Arial"/>
          <w:sz w:val="18"/>
          <w:szCs w:val="18"/>
          <w:u w:val="single" w:color="auto"/>
          <w:color w:val="0000FF"/>
        </w:rPr>
      </w:pPr>
    </w:p>
    <w:p>
      <w:pPr>
        <w:spacing w:after="0" w:line="213" w:lineRule="exact"/>
        <w:rPr>
          <w:rFonts w:ascii="Arial" w:cs="Arial" w:eastAsia="Arial" w:hAnsi="Arial"/>
          <w:sz w:val="18"/>
          <w:szCs w:val="18"/>
          <w:u w:val="single" w:color="auto"/>
          <w:color w:val="0000FF"/>
        </w:rPr>
      </w:pPr>
    </w:p>
    <w:p>
      <w:pPr>
        <w:jc w:val="center"/>
        <w:ind w:right="-219"/>
        <w:spacing w:after="0"/>
        <w:rPr>
          <w:sz w:val="20"/>
          <w:szCs w:val="20"/>
          <w:color w:val="auto"/>
        </w:rPr>
      </w:pPr>
      <w:r>
        <w:rPr>
          <w:rFonts w:ascii="Arial" w:cs="Arial" w:eastAsia="Arial" w:hAnsi="Arial"/>
          <w:sz w:val="18"/>
          <w:szCs w:val="18"/>
          <w:color w:val="auto"/>
        </w:rPr>
        <w:t>46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549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THE GOODYEAR TIRE &amp; RUBBER COMPANY</w:t>
      </w:r>
    </w:p>
    <w:p>
      <w:pPr>
        <w:spacing w:after="0" w:line="63"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20"/>
        <w:spacing w:after="0"/>
        <w:tabs>
          <w:tab w:leader="none" w:pos="700" w:val="left"/>
          <w:tab w:leader="none" w:pos="6160" w:val="left"/>
          <w:tab w:leader="none" w:pos="7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w:t>
      </w:r>
      <w:r>
        <w:rPr>
          <w:rFonts w:ascii="Arial" w:cs="Arial" w:eastAsia="Arial" w:hAnsi="Arial"/>
          <w:sz w:val="13"/>
          <w:szCs w:val="13"/>
          <w:color w:val="auto"/>
        </w:rPr>
        <w:t>ARGARET</w:t>
      </w:r>
      <w:r>
        <w:rPr>
          <w:rFonts w:ascii="Arial" w:cs="Arial" w:eastAsia="Arial" w:hAnsi="Arial"/>
          <w:sz w:val="17"/>
          <w:szCs w:val="17"/>
          <w:color w:val="auto"/>
        </w:rPr>
        <w:t xml:space="preserve"> V. S</w:t>
      </w:r>
      <w:r>
        <w:rPr>
          <w:rFonts w:ascii="Arial" w:cs="Arial" w:eastAsia="Arial" w:hAnsi="Arial"/>
          <w:sz w:val="13"/>
          <w:szCs w:val="13"/>
          <w:color w:val="auto"/>
        </w:rPr>
        <w:t>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23495</wp:posOffset>
            </wp:positionV>
            <wp:extent cx="290639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Margaret V. Snyder, Vice President and Controller (Signing on behalf</w:t>
      </w:r>
    </w:p>
    <w:p>
      <w:pPr>
        <w:spacing w:after="0" w:line="46"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of the Registrant as a duly authorized officer of the Registrant and</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signing as the Principal Accounting Officer of the Registrant.)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22.1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SUBSIDIARY GUARANTORS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subsidiaries of The Goodyear Tire &amp; Rubber Company (the "Parent Company") were, as of June 30, 2023, guarantors of the Company's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9.5% senior notes due 2025, 5% senior notes due 2026, 4.875% senior notes due 2027, 5% senior notes due 2029, 5.25% senior notes due April 2031,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5.25% senior notes due July 2031 and 5.625% senior notes due 2033: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PLACE OF</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INCORPORATION</w:t>
            </w:r>
          </w:p>
        </w:tc>
      </w:tr>
      <w:tr>
        <w:trPr>
          <w:trHeight w:val="194"/>
        </w:trPr>
        <w:tc>
          <w:tcPr>
            <w:tcW w:w="20" w:type="dxa"/>
            <w:vAlign w:val="bottom"/>
          </w:tcPr>
          <w:p>
            <w:pPr>
              <w:spacing w:after="0"/>
              <w:rPr>
                <w:sz w:val="16"/>
                <w:szCs w:val="16"/>
                <w:color w:val="auto"/>
              </w:rPr>
            </w:pPr>
          </w:p>
        </w:tc>
        <w:tc>
          <w:tcPr>
            <w:tcW w:w="84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NAME OF SUBSIDIARY</w:t>
            </w:r>
          </w:p>
        </w:tc>
        <w:tc>
          <w:tcPr>
            <w:tcW w:w="28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OR ORGANIZATION</w:t>
            </w:r>
          </w:p>
        </w:tc>
      </w:tr>
      <w:tr>
        <w:trPr>
          <w:trHeight w:val="264"/>
        </w:trPr>
        <w:tc>
          <w:tcPr>
            <w:tcW w:w="20" w:type="dxa"/>
            <w:vAlign w:val="bottom"/>
          </w:tcPr>
          <w:p>
            <w:pPr>
              <w:spacing w:after="0"/>
              <w:rPr>
                <w:sz w:val="22"/>
                <w:szCs w:val="22"/>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Celeron Corporation</w:t>
            </w:r>
          </w:p>
        </w:tc>
        <w:tc>
          <w:tcPr>
            <w:tcW w:w="6440" w:type="dxa"/>
            <w:vAlign w:val="bottom"/>
          </w:tcPr>
          <w:p>
            <w:pPr>
              <w:spacing w:after="0"/>
              <w:rPr>
                <w:sz w:val="22"/>
                <w:szCs w:val="22"/>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c>
          <w:tcPr>
            <w:tcW w:w="106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Cooper International Holding Corporation</w:t>
            </w:r>
          </w:p>
        </w:tc>
        <w:tc>
          <w:tcPr>
            <w:tcW w:w="28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Cooper Tire &amp; Rubber Company LLC</w:t>
            </w:r>
          </w:p>
        </w:tc>
        <w:tc>
          <w:tcPr>
            <w:tcW w:w="28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Cooper Tire &amp; Rubber Company Vietnam Holding, LLC</w:t>
            </w:r>
          </w:p>
        </w:tc>
        <w:tc>
          <w:tcPr>
            <w:tcW w:w="28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Cooper Tire Holding Company</w:t>
            </w:r>
          </w:p>
        </w:tc>
        <w:tc>
          <w:tcPr>
            <w:tcW w:w="2800" w:type="dxa"/>
            <w:vAlign w:val="bottom"/>
            <w:gridSpan w:val="2"/>
          </w:tcPr>
          <w:p>
            <w:pPr>
              <w:spacing w:after="0"/>
              <w:rPr>
                <w:sz w:val="20"/>
                <w:szCs w:val="20"/>
                <w:color w:val="auto"/>
              </w:rPr>
            </w:pPr>
            <w:r>
              <w:rPr>
                <w:rFonts w:ascii="Arial" w:cs="Arial" w:eastAsia="Arial" w:hAnsi="Arial"/>
                <w:sz w:val="18"/>
                <w:szCs w:val="18"/>
                <w:color w:val="auto"/>
              </w:rPr>
              <w:t>Ohio</w:t>
            </w:r>
          </w:p>
        </w:tc>
      </w:tr>
      <w:tr>
        <w:trPr>
          <w:trHeight w:val="243"/>
        </w:trPr>
        <w:tc>
          <w:tcPr>
            <w:tcW w:w="20" w:type="dxa"/>
            <w:vAlign w:val="bottom"/>
          </w:tcPr>
          <w:p>
            <w:pPr>
              <w:spacing w:after="0"/>
              <w:rPr>
                <w:sz w:val="21"/>
                <w:szCs w:val="21"/>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Divested Companies Holding Company</w:t>
            </w:r>
          </w:p>
        </w:tc>
        <w:tc>
          <w:tcPr>
            <w:tcW w:w="28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Divested Litchfield Park Properties, Inc.</w:t>
            </w:r>
          </w:p>
        </w:tc>
        <w:tc>
          <w:tcPr>
            <w:tcW w:w="280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43"/>
        </w:trPr>
        <w:tc>
          <w:tcPr>
            <w:tcW w:w="20" w:type="dxa"/>
            <w:vAlign w:val="bottom"/>
          </w:tcPr>
          <w:p>
            <w:pPr>
              <w:spacing w:after="0"/>
              <w:rPr>
                <w:sz w:val="21"/>
                <w:szCs w:val="21"/>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Goodyear Canada Inc.</w:t>
            </w:r>
          </w:p>
        </w:tc>
        <w:tc>
          <w:tcPr>
            <w:tcW w:w="2800" w:type="dxa"/>
            <w:vAlign w:val="bottom"/>
            <w:gridSpan w:val="2"/>
          </w:tcPr>
          <w:p>
            <w:pPr>
              <w:spacing w:after="0"/>
              <w:rPr>
                <w:sz w:val="20"/>
                <w:szCs w:val="20"/>
                <w:color w:val="auto"/>
              </w:rPr>
            </w:pPr>
            <w:r>
              <w:rPr>
                <w:rFonts w:ascii="Arial" w:cs="Arial" w:eastAsia="Arial" w:hAnsi="Arial"/>
                <w:sz w:val="18"/>
                <w:szCs w:val="18"/>
                <w:color w:val="auto"/>
              </w:rPr>
              <w:t>Ontario, Canada</w:t>
            </w:r>
          </w:p>
        </w:tc>
      </w:tr>
      <w:tr>
        <w:trPr>
          <w:trHeight w:val="242"/>
        </w:trPr>
        <w:tc>
          <w:tcPr>
            <w:tcW w:w="20" w:type="dxa"/>
            <w:vAlign w:val="bottom"/>
          </w:tcPr>
          <w:p>
            <w:pPr>
              <w:spacing w:after="0"/>
              <w:rPr>
                <w:sz w:val="21"/>
                <w:szCs w:val="21"/>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Goodyear Export Inc.</w:t>
            </w:r>
          </w:p>
        </w:tc>
        <w:tc>
          <w:tcPr>
            <w:tcW w:w="28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Goodyear Farms, Inc.</w:t>
            </w:r>
          </w:p>
        </w:tc>
        <w:tc>
          <w:tcPr>
            <w:tcW w:w="280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43"/>
        </w:trPr>
        <w:tc>
          <w:tcPr>
            <w:tcW w:w="20" w:type="dxa"/>
            <w:vAlign w:val="bottom"/>
          </w:tcPr>
          <w:p>
            <w:pPr>
              <w:spacing w:after="0"/>
              <w:rPr>
                <w:sz w:val="21"/>
                <w:szCs w:val="21"/>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Goodyear International Corporation</w:t>
            </w:r>
          </w:p>
        </w:tc>
        <w:tc>
          <w:tcPr>
            <w:tcW w:w="28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Goodyear Western Hemisphere Corporation</w:t>
            </w:r>
          </w:p>
        </w:tc>
        <w:tc>
          <w:tcPr>
            <w:tcW w:w="28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Max-Trac Tire Co., Inc.</w:t>
            </w:r>
          </w:p>
        </w:tc>
        <w:tc>
          <w:tcPr>
            <w:tcW w:w="2800" w:type="dxa"/>
            <w:vAlign w:val="bottom"/>
            <w:gridSpan w:val="2"/>
          </w:tcPr>
          <w:p>
            <w:pPr>
              <w:spacing w:after="0"/>
              <w:rPr>
                <w:sz w:val="20"/>
                <w:szCs w:val="20"/>
                <w:color w:val="auto"/>
              </w:rPr>
            </w:pPr>
            <w:r>
              <w:rPr>
                <w:rFonts w:ascii="Arial" w:cs="Arial" w:eastAsia="Arial" w:hAnsi="Arial"/>
                <w:sz w:val="18"/>
                <w:szCs w:val="18"/>
                <w:color w:val="auto"/>
              </w:rPr>
              <w:t>Ohio</w:t>
            </w:r>
          </w:p>
        </w:tc>
      </w:tr>
      <w:tr>
        <w:trPr>
          <w:trHeight w:val="243"/>
        </w:trPr>
        <w:tc>
          <w:tcPr>
            <w:tcW w:w="20" w:type="dxa"/>
            <w:vAlign w:val="bottom"/>
          </w:tcPr>
          <w:p>
            <w:pPr>
              <w:spacing w:after="0"/>
              <w:rPr>
                <w:sz w:val="21"/>
                <w:szCs w:val="21"/>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Raben Tire Co., LLC</w:t>
            </w:r>
          </w:p>
        </w:tc>
        <w:tc>
          <w:tcPr>
            <w:tcW w:w="2800" w:type="dxa"/>
            <w:vAlign w:val="bottom"/>
            <w:gridSpan w:val="2"/>
          </w:tcPr>
          <w:p>
            <w:pPr>
              <w:spacing w:after="0"/>
              <w:rPr>
                <w:sz w:val="20"/>
                <w:szCs w:val="20"/>
                <w:color w:val="auto"/>
              </w:rPr>
            </w:pPr>
            <w:r>
              <w:rPr>
                <w:rFonts w:ascii="Arial" w:cs="Arial" w:eastAsia="Arial" w:hAnsi="Arial"/>
                <w:sz w:val="18"/>
                <w:szCs w:val="18"/>
                <w:color w:val="auto"/>
              </w:rPr>
              <w:t>Indiana</w:t>
            </w:r>
          </w:p>
        </w:tc>
      </w:tr>
      <w:tr>
        <w:trPr>
          <w:trHeight w:val="243"/>
        </w:trPr>
        <w:tc>
          <w:tcPr>
            <w:tcW w:w="20" w:type="dxa"/>
            <w:vAlign w:val="bottom"/>
          </w:tcPr>
          <w:p>
            <w:pPr>
              <w:spacing w:after="0"/>
              <w:rPr>
                <w:sz w:val="21"/>
                <w:szCs w:val="21"/>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T&amp;WA, Inc.</w:t>
            </w:r>
          </w:p>
        </w:tc>
        <w:tc>
          <w:tcPr>
            <w:tcW w:w="2800" w:type="dxa"/>
            <w:vAlign w:val="bottom"/>
            <w:gridSpan w:val="2"/>
          </w:tcPr>
          <w:p>
            <w:pPr>
              <w:spacing w:after="0"/>
              <w:rPr>
                <w:sz w:val="20"/>
                <w:szCs w:val="20"/>
                <w:color w:val="auto"/>
              </w:rPr>
            </w:pPr>
            <w:r>
              <w:rPr>
                <w:rFonts w:ascii="Arial" w:cs="Arial" w:eastAsia="Arial" w:hAnsi="Arial"/>
                <w:sz w:val="18"/>
                <w:szCs w:val="18"/>
                <w:color w:val="auto"/>
              </w:rPr>
              <w:t>Kentucky</w:t>
            </w:r>
          </w:p>
        </w:tc>
      </w:tr>
      <w:tr>
        <w:trPr>
          <w:trHeight w:val="243"/>
        </w:trPr>
        <w:tc>
          <w:tcPr>
            <w:tcW w:w="20" w:type="dxa"/>
            <w:vAlign w:val="bottom"/>
          </w:tcPr>
          <w:p>
            <w:pPr>
              <w:spacing w:after="0"/>
              <w:rPr>
                <w:sz w:val="21"/>
                <w:szCs w:val="21"/>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Wingfoot Brands LLC</w:t>
            </w:r>
          </w:p>
        </w:tc>
        <w:tc>
          <w:tcPr>
            <w:tcW w:w="28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560"/>
        </w:trPr>
        <w:tc>
          <w:tcPr>
            <w:tcW w:w="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J. Kramer, certify that:</w:t>
      </w:r>
    </w:p>
    <w:p>
      <w:pPr>
        <w:spacing w:after="0" w:line="266" w:lineRule="exact"/>
        <w:rPr>
          <w:sz w:val="20"/>
          <w:szCs w:val="20"/>
          <w:color w:val="auto"/>
        </w:rPr>
      </w:pPr>
    </w:p>
    <w:p>
      <w:pPr>
        <w:ind w:left="500" w:hanging="479"/>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Goodyear Tire &amp; Rubber Company;</w:t>
      </w:r>
    </w:p>
    <w:p>
      <w:pPr>
        <w:spacing w:after="0" w:line="184" w:lineRule="exact"/>
        <w:rPr>
          <w:rFonts w:ascii="Arial" w:cs="Arial" w:eastAsia="Arial" w:hAnsi="Arial"/>
          <w:sz w:val="18"/>
          <w:szCs w:val="18"/>
          <w:color w:val="auto"/>
        </w:rPr>
      </w:pPr>
    </w:p>
    <w:p>
      <w:pPr>
        <w:jc w:val="both"/>
        <w:ind w:left="500" w:right="20" w:hanging="479"/>
        <w:spacing w:after="0" w:line="263"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00" w:right="20" w:hanging="479"/>
        <w:spacing w:after="0" w:line="308"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00" w:right="20" w:hanging="479"/>
        <w:spacing w:after="0" w:line="263"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960" w:right="20" w:hanging="464"/>
        <w:spacing w:after="0" w:line="263" w:lineRule="auto"/>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60" w:right="20" w:hanging="464"/>
        <w:spacing w:after="0" w:line="263" w:lineRule="auto"/>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60" w:right="20" w:hanging="464"/>
        <w:spacing w:after="0" w:line="308" w:lineRule="auto"/>
        <w:tabs>
          <w:tab w:leader="none" w:pos="9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960" w:right="20" w:hanging="464"/>
        <w:spacing w:after="0" w:line="263" w:lineRule="auto"/>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00" w:right="20" w:hanging="479"/>
        <w:spacing w:after="0" w:line="308"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60" w:right="20" w:hanging="464"/>
        <w:spacing w:after="0" w:line="308" w:lineRule="auto"/>
        <w:tabs>
          <w:tab w:leader="none" w:pos="9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960" w:right="20" w:hanging="464"/>
        <w:spacing w:after="0" w:line="277" w:lineRule="auto"/>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26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J. K</w:t>
      </w:r>
      <w:r>
        <w:rPr>
          <w:rFonts w:ascii="Arial" w:cs="Arial" w:eastAsia="Arial" w:hAnsi="Arial"/>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23495</wp:posOffset>
            </wp:positionV>
            <wp:extent cx="427799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4277995" cy="8890"/>
                    </a:xfrm>
                    <a:prstGeom prst="rect">
                      <a:avLst/>
                    </a:prstGeom>
                    <a:noFill/>
                  </pic:spPr>
                </pic:pic>
              </a:graphicData>
            </a:graphic>
          </wp:anchor>
        </w:drawing>
      </w:r>
    </w:p>
    <w:p>
      <w:pPr>
        <w:spacing w:after="0" w:line="3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Richard J. Kramer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Chairman, Chief Executive Officer and President</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Christina L. Zamarro, certify that:</w:t>
      </w:r>
    </w:p>
    <w:p>
      <w:pPr>
        <w:spacing w:after="0" w:line="266" w:lineRule="exact"/>
        <w:rPr>
          <w:sz w:val="20"/>
          <w:szCs w:val="20"/>
          <w:color w:val="auto"/>
        </w:rPr>
      </w:pPr>
    </w:p>
    <w:p>
      <w:pPr>
        <w:ind w:left="500" w:hanging="479"/>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Goodyear Tire &amp; Rubber Company;</w:t>
      </w:r>
    </w:p>
    <w:p>
      <w:pPr>
        <w:spacing w:after="0" w:line="184" w:lineRule="exact"/>
        <w:rPr>
          <w:rFonts w:ascii="Arial" w:cs="Arial" w:eastAsia="Arial" w:hAnsi="Arial"/>
          <w:sz w:val="18"/>
          <w:szCs w:val="18"/>
          <w:color w:val="auto"/>
        </w:rPr>
      </w:pPr>
    </w:p>
    <w:p>
      <w:pPr>
        <w:jc w:val="both"/>
        <w:ind w:left="500" w:right="20" w:hanging="479"/>
        <w:spacing w:after="0" w:line="26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00" w:right="20" w:hanging="479"/>
        <w:spacing w:after="0" w:line="30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00" w:right="20" w:hanging="479"/>
        <w:spacing w:after="0" w:line="26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960" w:right="20" w:hanging="464"/>
        <w:spacing w:after="0" w:line="263" w:lineRule="auto"/>
        <w:tabs>
          <w:tab w:leader="none" w:pos="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60" w:right="20" w:hanging="464"/>
        <w:spacing w:after="0" w:line="263" w:lineRule="auto"/>
        <w:tabs>
          <w:tab w:leader="none" w:pos="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60" w:right="20" w:hanging="464"/>
        <w:spacing w:after="0" w:line="308" w:lineRule="auto"/>
        <w:tabs>
          <w:tab w:leader="none" w:pos="9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960" w:right="20" w:hanging="464"/>
        <w:spacing w:after="0" w:line="263" w:lineRule="auto"/>
        <w:tabs>
          <w:tab w:leader="none" w:pos="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00" w:right="20" w:hanging="479"/>
        <w:spacing w:after="0" w:line="30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60" w:right="20" w:hanging="464"/>
        <w:spacing w:after="0" w:line="308" w:lineRule="auto"/>
        <w:tabs>
          <w:tab w:leader="none" w:pos="9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960" w:right="20" w:hanging="464"/>
        <w:spacing w:after="0" w:line="277" w:lineRule="auto"/>
        <w:tabs>
          <w:tab w:leader="none" w:pos="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2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HRISTINA</w:t>
      </w:r>
      <w:r>
        <w:rPr>
          <w:rFonts w:ascii="Arial" w:cs="Arial" w:eastAsia="Arial" w:hAnsi="Arial"/>
          <w:sz w:val="18"/>
          <w:szCs w:val="18"/>
          <w:color w:val="auto"/>
        </w:rPr>
        <w:t xml:space="preserve"> L. Z</w:t>
      </w:r>
      <w:r>
        <w:rPr>
          <w:rFonts w:ascii="Arial" w:cs="Arial" w:eastAsia="Arial" w:hAnsi="Arial"/>
          <w:sz w:val="14"/>
          <w:szCs w:val="14"/>
          <w:color w:val="auto"/>
        </w:rPr>
        <w:t>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23495</wp:posOffset>
            </wp:positionV>
            <wp:extent cx="427799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4277995" cy="8890"/>
                    </a:xfrm>
                    <a:prstGeom prst="rect">
                      <a:avLst/>
                    </a:prstGeom>
                    <a:noFill/>
                  </pic:spPr>
                </pic:pic>
              </a:graphicData>
            </a:graphic>
          </wp:anchor>
        </w:drawing>
      </w:r>
    </w:p>
    <w:p>
      <w:pPr>
        <w:spacing w:after="0" w:line="3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Christina L. Zamarro</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Pursuant to Section 1350, Chapter 63 of Title 18, United States Code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Section 1350, Chapter 63 of Title 18, United States Code, each of the undersigned officers of The Goodyear Tire &amp; Rubber Company, an Ohio corporation (the “Company”), hereby certifies with respect to the Quarterly Report on Form 10-Q of the Company for the quarter ended June 30, 2023, as filed with the Securities and Exchange Commission (the “10-Q Report”) that to their knowledge:</w:t>
      </w:r>
    </w:p>
    <w:p>
      <w:pPr>
        <w:spacing w:after="0" w:line="224" w:lineRule="exact"/>
        <w:rPr>
          <w:sz w:val="20"/>
          <w:szCs w:val="20"/>
          <w:color w:val="auto"/>
        </w:rPr>
      </w:pPr>
    </w:p>
    <w:p>
      <w:pPr>
        <w:ind w:left="1000" w:hanging="560"/>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10-Q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000" w:right="20" w:hanging="560"/>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10-Q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0" w:type="dxa"/>
            <w:vAlign w:val="bottom"/>
          </w:tcPr>
          <w:p>
            <w:pPr>
              <w:ind w:left="20"/>
              <w:spacing w:after="0"/>
              <w:rPr>
                <w:sz w:val="20"/>
                <w:szCs w:val="20"/>
                <w:color w:val="auto"/>
              </w:rPr>
            </w:pPr>
            <w:r>
              <w:rPr>
                <w:rFonts w:ascii="Arial" w:cs="Arial" w:eastAsia="Arial" w:hAnsi="Arial"/>
                <w:sz w:val="18"/>
                <w:szCs w:val="18"/>
                <w:color w:val="auto"/>
              </w:rPr>
              <w:t>Dated:</w:t>
            </w:r>
          </w:p>
        </w:tc>
        <w:tc>
          <w:tcPr>
            <w:tcW w:w="3680" w:type="dxa"/>
            <w:vAlign w:val="bottom"/>
          </w:tcPr>
          <w:p>
            <w:pPr>
              <w:ind w:left="120"/>
              <w:spacing w:after="0"/>
              <w:rPr>
                <w:sz w:val="20"/>
                <w:szCs w:val="20"/>
                <w:color w:val="auto"/>
              </w:rPr>
            </w:pPr>
            <w:r>
              <w:rPr>
                <w:rFonts w:ascii="Arial" w:cs="Arial" w:eastAsia="Arial" w:hAnsi="Arial"/>
                <w:sz w:val="18"/>
                <w:szCs w:val="18"/>
                <w:color w:val="auto"/>
              </w:rPr>
              <w:t>August 3, 2023</w:t>
            </w:r>
          </w:p>
        </w:tc>
        <w:tc>
          <w:tcPr>
            <w:tcW w:w="6920" w:type="dxa"/>
            <w:vAlign w:val="bottom"/>
            <w:tcBorders>
              <w:bottom w:val="single" w:sz="8" w:color="auto"/>
            </w:tcBorders>
          </w:tcPr>
          <w:p>
            <w:pPr>
              <w:ind w:left="258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J. K</w:t>
            </w:r>
            <w:r>
              <w:rPr>
                <w:rFonts w:ascii="Arial" w:cs="Arial" w:eastAsia="Arial" w:hAnsi="Arial"/>
                <w:sz w:val="14"/>
                <w:szCs w:val="14"/>
                <w:color w:val="auto"/>
              </w:rPr>
              <w:t>RAMER</w:t>
            </w:r>
          </w:p>
        </w:tc>
      </w:tr>
      <w:tr>
        <w:trPr>
          <w:trHeight w:val="230"/>
        </w:trPr>
        <w:tc>
          <w:tcPr>
            <w:tcW w:w="6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Richard J. Kramer</w:t>
            </w:r>
          </w:p>
        </w:tc>
      </w:tr>
      <w:tr>
        <w:trPr>
          <w:trHeight w:val="242"/>
        </w:trPr>
        <w:tc>
          <w:tcPr>
            <w:tcW w:w="6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Chairman, Chief Executive Officer and President</w:t>
            </w:r>
          </w:p>
        </w:tc>
      </w:tr>
      <w:tr>
        <w:trPr>
          <w:trHeight w:val="243"/>
        </w:trPr>
        <w:tc>
          <w:tcPr>
            <w:tcW w:w="6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The Goodyear Tire &amp; Rubber Company</w:t>
            </w:r>
          </w:p>
        </w:tc>
      </w:tr>
      <w:tr>
        <w:trPr>
          <w:trHeight w:val="493"/>
        </w:trPr>
        <w:tc>
          <w:tcPr>
            <w:tcW w:w="640" w:type="dxa"/>
            <w:vAlign w:val="bottom"/>
          </w:tcPr>
          <w:p>
            <w:pPr>
              <w:ind w:left="20"/>
              <w:spacing w:after="0"/>
              <w:rPr>
                <w:sz w:val="20"/>
                <w:szCs w:val="20"/>
                <w:color w:val="auto"/>
              </w:rPr>
            </w:pPr>
            <w:r>
              <w:rPr>
                <w:rFonts w:ascii="Arial" w:cs="Arial" w:eastAsia="Arial" w:hAnsi="Arial"/>
                <w:sz w:val="18"/>
                <w:szCs w:val="18"/>
                <w:color w:val="auto"/>
              </w:rPr>
              <w:t>Dated:</w:t>
            </w:r>
          </w:p>
        </w:tc>
        <w:tc>
          <w:tcPr>
            <w:tcW w:w="3680" w:type="dxa"/>
            <w:vAlign w:val="bottom"/>
          </w:tcPr>
          <w:p>
            <w:pPr>
              <w:ind w:left="120"/>
              <w:spacing w:after="0"/>
              <w:rPr>
                <w:sz w:val="20"/>
                <w:szCs w:val="20"/>
                <w:color w:val="auto"/>
              </w:rPr>
            </w:pPr>
            <w:r>
              <w:rPr>
                <w:rFonts w:ascii="Arial" w:cs="Arial" w:eastAsia="Arial" w:hAnsi="Arial"/>
                <w:sz w:val="18"/>
                <w:szCs w:val="18"/>
                <w:color w:val="auto"/>
              </w:rPr>
              <w:t>August 3, 2023</w:t>
            </w:r>
          </w:p>
        </w:tc>
        <w:tc>
          <w:tcPr>
            <w:tcW w:w="6920" w:type="dxa"/>
            <w:vAlign w:val="bottom"/>
            <w:tcBorders>
              <w:bottom w:val="single" w:sz="8" w:color="auto"/>
            </w:tcBorders>
          </w:tcPr>
          <w:p>
            <w:pPr>
              <w:ind w:left="244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HRISTINA</w:t>
            </w:r>
            <w:r>
              <w:rPr>
                <w:rFonts w:ascii="Arial" w:cs="Arial" w:eastAsia="Arial" w:hAnsi="Arial"/>
                <w:sz w:val="18"/>
                <w:szCs w:val="18"/>
                <w:color w:val="auto"/>
              </w:rPr>
              <w:t xml:space="preserve"> L. Z</w:t>
            </w:r>
            <w:r>
              <w:rPr>
                <w:rFonts w:ascii="Arial" w:cs="Arial" w:eastAsia="Arial" w:hAnsi="Arial"/>
                <w:sz w:val="14"/>
                <w:szCs w:val="14"/>
                <w:color w:val="auto"/>
              </w:rPr>
              <w:t>AMARRO</w:t>
            </w:r>
          </w:p>
        </w:tc>
      </w:tr>
      <w:tr>
        <w:trPr>
          <w:trHeight w:val="230"/>
        </w:trPr>
        <w:tc>
          <w:tcPr>
            <w:tcW w:w="6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Christina L. Zamarro</w:t>
            </w:r>
          </w:p>
        </w:tc>
      </w:tr>
      <w:tr>
        <w:trPr>
          <w:trHeight w:val="242"/>
        </w:trPr>
        <w:tc>
          <w:tcPr>
            <w:tcW w:w="6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43"/>
        </w:trPr>
        <w:tc>
          <w:tcPr>
            <w:tcW w:w="6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The Goodyear Tire &amp; Rubber Company</w:t>
            </w:r>
          </w:p>
        </w:tc>
      </w:tr>
      <w:tr>
        <w:trPr>
          <w:trHeight w:val="588"/>
        </w:trPr>
        <w:tc>
          <w:tcPr>
            <w:tcW w:w="64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6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lowerRoman"/>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2"/>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0"/>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decimal"/>
      <w:start w:val="22"/>
    </w:lvl>
  </w:abstractNum>
  <w:abstractNum w:abstractNumId="15">
    <w:nsid w:val="3F2DBA31"/>
    <w:multiLevelType w:val="hybridMultilevel"/>
    <w:lvl w:ilvl="0">
      <w:lvlJc w:val="left"/>
      <w:lvlText w:val="%1"/>
      <w:numFmt w:val="decimal"/>
      <w:start w:val="31"/>
    </w:lvl>
  </w:abstractNum>
  <w:abstractNum w:abstractNumId="16">
    <w:nsid w:val="7C83E458"/>
    <w:multiLevelType w:val="hybridMultilevel"/>
    <w:lvl w:ilvl="0">
      <w:lvlJc w:val="left"/>
      <w:lvlText w:val="%1"/>
      <w:numFmt w:val="decimal"/>
      <w:start w:val="32"/>
    </w:lvl>
  </w:abstractNum>
  <w:abstractNum w:abstractNumId="17">
    <w:nsid w:val="257130A3"/>
    <w:multiLevelType w:val="hybridMultilevel"/>
    <w:lvl w:ilvl="0">
      <w:lvlJc w:val="left"/>
      <w:lvlText w:val="%1"/>
      <w:numFmt w:val="decimal"/>
      <w:start w:val="104"/>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26" Type="http://schemas.openxmlformats.org/officeDocument/2006/relationships/hyperlink" Target="https://www.sec.gov/Archives/edgar/data/42582/000119312523192850/d53446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2023-08-03T09:35:03Z</dcterms:created>
  <dcterms:modified xsi:type="dcterms:W3CDTF">2023-08-03T09:35:03Z</dcterms:modified>
</cp:coreProperties>
</file>