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1-1927</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GOODYEAR TIRE &amp; RUBBER COMPANY</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5"/>
          </w:tcPr>
          <w:p>
            <w:pPr>
              <w:jc w:val="center"/>
              <w:ind w:left="3470"/>
              <w:spacing w:after="0"/>
              <w:rPr>
                <w:sz w:val="20"/>
                <w:szCs w:val="20"/>
                <w:color w:val="auto"/>
              </w:rPr>
            </w:pPr>
            <w:r>
              <w:rPr>
                <w:rFonts w:ascii="Arial" w:cs="Arial" w:eastAsia="Arial" w:hAnsi="Arial"/>
                <w:sz w:val="18"/>
                <w:szCs w:val="18"/>
                <w:color w:val="auto"/>
                <w:w w:val="91"/>
              </w:rPr>
              <w:t>(Exact Name of Registrant as Specified in Its Charter)</w:t>
            </w:r>
          </w:p>
        </w:tc>
        <w:tc>
          <w:tcPr>
            <w:tcW w:w="3540" w:type="dxa"/>
            <w:vAlign w:val="bottom"/>
          </w:tcPr>
          <w:p>
            <w:pPr>
              <w:spacing w:after="0"/>
              <w:rPr>
                <w:sz w:val="20"/>
                <w:szCs w:val="20"/>
                <w:color w:val="auto"/>
              </w:rPr>
            </w:pPr>
          </w:p>
        </w:tc>
      </w:tr>
      <w:tr>
        <w:trPr>
          <w:trHeight w:val="296"/>
        </w:trPr>
        <w:tc>
          <w:tcPr>
            <w:tcW w:w="486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2"/>
              </w:rPr>
              <w:t>Ohio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34-0253240</w:t>
            </w:r>
          </w:p>
        </w:tc>
      </w:tr>
      <w:tr>
        <w:trPr>
          <w:trHeight w:val="216"/>
        </w:trPr>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1"/>
              </w:rPr>
              <w:t>(State or Other Jurisdiction of</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2"/>
              </w:rPr>
              <w:t>(I.R.S. Employer</w:t>
            </w:r>
          </w:p>
        </w:tc>
      </w:tr>
      <w:tr>
        <w:trPr>
          <w:trHeight w:val="230"/>
        </w:trPr>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5"/>
              </w:rPr>
              <w:t>Identification No.)</w:t>
            </w:r>
          </w:p>
        </w:tc>
      </w:tr>
      <w:tr>
        <w:trPr>
          <w:trHeight w:val="296"/>
        </w:trPr>
        <w:tc>
          <w:tcPr>
            <w:tcW w:w="486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1"/>
              </w:rPr>
              <w:t>200 Innovation Way, Akron, Ohio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44316-0001</w:t>
            </w:r>
          </w:p>
        </w:tc>
      </w:tr>
      <w:tr>
        <w:trPr>
          <w:trHeight w:val="230"/>
        </w:trPr>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r>
        <w:trPr>
          <w:trHeight w:val="296"/>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0"/>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1"/>
              </w:rPr>
              <w:t>(Registrant’s Telephone Number, Including Area Code)</w:t>
            </w:r>
          </w:p>
        </w:tc>
        <w:tc>
          <w:tcPr>
            <w:tcW w:w="3540" w:type="dxa"/>
            <w:vAlign w:val="bottom"/>
          </w:tcPr>
          <w:p>
            <w:pPr>
              <w:spacing w:after="0"/>
              <w:rPr>
                <w:sz w:val="20"/>
                <w:szCs w:val="20"/>
                <w:color w:val="auto"/>
              </w:rPr>
            </w:pPr>
          </w:p>
        </w:tc>
      </w:tr>
      <w:tr>
        <w:trPr>
          <w:trHeight w:val="283"/>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2"/>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3"/>
              </w:rPr>
              <w:t>Trading</w:t>
            </w:r>
          </w:p>
        </w:tc>
        <w:tc>
          <w:tcPr>
            <w:tcW w:w="3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9"/>
              </w:rPr>
              <w:t>Symbol(s)</w:t>
            </w:r>
          </w:p>
        </w:tc>
        <w:tc>
          <w:tcPr>
            <w:tcW w:w="3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Common Stock, Without Par Value</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GT</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auto"/>
                <w:w w:val="92"/>
              </w:rPr>
              <w:t>The Nasdaq Stock Market LLC</w:t>
            </w:r>
          </w:p>
        </w:tc>
      </w:tr>
    </w:tbl>
    <w:p>
      <w:pPr>
        <w:spacing w:after="0" w:line="6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p>
      <w:pPr>
        <w:ind w:left="220"/>
        <w:spacing w:after="0" w:line="207" w:lineRule="exact"/>
        <w:tabs>
          <w:tab w:leader="none" w:pos="2060" w:val="left"/>
          <w:tab w:leader="none" w:pos="2660" w:val="left"/>
          <w:tab w:leader="none" w:pos="4320" w:val="left"/>
          <w:tab w:leader="none" w:pos="4760" w:val="left"/>
          <w:tab w:leader="none" w:pos="65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24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12"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Number of Shares of Common Stock,</w:t>
            </w:r>
          </w:p>
        </w:tc>
        <w:tc>
          <w:tcPr>
            <w:tcW w:w="3100" w:type="dxa"/>
            <w:vAlign w:val="bottom"/>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Without Par Value, Outstanding at June 30, 2020:</w:t>
            </w:r>
          </w:p>
        </w:tc>
        <w:tc>
          <w:tcPr>
            <w:tcW w:w="3100" w:type="dxa"/>
            <w:vAlign w:val="bottom"/>
          </w:tcPr>
          <w:p>
            <w:pPr>
              <w:jc w:val="right"/>
              <w:spacing w:after="0"/>
              <w:rPr>
                <w:sz w:val="20"/>
                <w:szCs w:val="20"/>
                <w:color w:val="auto"/>
              </w:rPr>
            </w:pPr>
            <w:r>
              <w:rPr>
                <w:rFonts w:ascii="Arial" w:cs="Arial" w:eastAsia="Arial" w:hAnsi="Arial"/>
                <w:sz w:val="18"/>
                <w:szCs w:val="18"/>
                <w:color w:val="auto"/>
              </w:rPr>
              <w:t>233,010,562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44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9" w:lineRule="exact"/>
        <w:rPr>
          <w:sz w:val="20"/>
          <w:szCs w:val="20"/>
          <w:color w:val="auto"/>
        </w:rPr>
      </w:pPr>
    </w:p>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23" w:lineRule="exact"/>
        <w:rPr>
          <w:sz w:val="20"/>
          <w:szCs w:val="20"/>
          <w:color w:val="auto"/>
        </w:rPr>
      </w:pPr>
    </w:p>
    <w:p>
      <w:pPr>
        <w:ind w:left="5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p>
      <w:pPr>
        <w:spacing w:after="0" w:line="9" w:lineRule="exact"/>
        <w:rPr>
          <w:sz w:val="20"/>
          <w:szCs w:val="20"/>
          <w:color w:val="auto"/>
        </w:rPr>
      </w:pPr>
    </w:p>
    <w:p>
      <w:pPr>
        <w:ind w:left="5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w:t>
        </w:r>
      </w:hyperlink>
    </w:p>
    <w:p>
      <w:pPr>
        <w:spacing w:after="0" w:line="9" w:lineRule="exact"/>
        <w:rPr>
          <w:sz w:val="20"/>
          <w:szCs w:val="20"/>
          <w:color w:val="auto"/>
        </w:rPr>
      </w:pPr>
    </w:p>
    <w:p>
      <w:pPr>
        <w:ind w:left="520" w:right="59"/>
        <w:spacing w:after="0" w:line="250"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47">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48">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PART II. OTHER INFORMATION</w:t>
        </w:r>
      </w:hyperlink>
    </w:p>
    <w:p>
      <w:pPr>
        <w:spacing w:after="0" w:line="9" w:lineRule="exact"/>
        <w:rPr>
          <w:rFonts w:ascii="Arial" w:cs="Arial" w:eastAsia="Arial" w:hAnsi="Arial"/>
          <w:sz w:val="18"/>
          <w:szCs w:val="18"/>
          <w:u w:val="single" w:color="auto"/>
          <w:color w:val="0000EE"/>
        </w:rPr>
      </w:pPr>
    </w:p>
    <w:p>
      <w:pPr>
        <w:ind w:left="5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1. LEGAL PROCEEDINGS</w:t>
        </w:r>
      </w:hyperlink>
    </w:p>
    <w:p>
      <w:pPr>
        <w:spacing w:after="0" w:line="9" w:lineRule="exact"/>
        <w:rPr>
          <w:rFonts w:ascii="Arial" w:cs="Arial" w:eastAsia="Arial" w:hAnsi="Arial"/>
          <w:sz w:val="18"/>
          <w:szCs w:val="18"/>
          <w:u w:val="single" w:color="auto"/>
          <w:color w:val="0000EE"/>
        </w:rPr>
      </w:pPr>
    </w:p>
    <w:p>
      <w:pPr>
        <w:ind w:left="5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1A. RISK FACTORS</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EX-22</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EX-31.1</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EX-31.2</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EX-32.1</w:t>
        </w:r>
      </w:hyperlink>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EX-101.INS INSTANCE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EX-101.SCH SCHEMA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EX-101.CAL CALCULATION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EX-101.DEF DEFINITION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EX-101.LAB LABELS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EX-101.PRE PRESENTATION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OPERATIONS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r>
      <w:tr>
        <w:trPr>
          <w:trHeight w:val="171"/>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7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Sales (Note 2)</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2,144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3,632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7,230</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Cost of Goods Sold</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2,855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5,734</w:t>
            </w: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Selling, Administrative and General Expense</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1,133</w:t>
            </w: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Goodwill and Other Asset Impairments (Notes 8 and 9)</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Rationalizations (Note 3)</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107</w:t>
            </w: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173</w:t>
            </w: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(Note 4)</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w:t>
            </w: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United States and Foreign Tax Expense (Benefit) (Note 5)</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Income (Loss)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Minority Shareholders’ Net Income (Loss)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w:t>
            </w:r>
          </w:p>
        </w:tc>
      </w:tr>
      <w:tr>
        <w:trPr>
          <w:trHeight w:val="26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Goodyear Net Income (Loss)</w:t>
            </w:r>
          </w:p>
        </w:tc>
        <w:tc>
          <w:tcPr>
            <w:tcW w:w="7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54</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r>
      <w:tr>
        <w:trPr>
          <w:trHeight w:val="413"/>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Goodyear Net Income (Loss) — Per Share of Common Stock</w:t>
            </w:r>
          </w:p>
        </w:tc>
        <w:tc>
          <w:tcPr>
            <w:tcW w:w="7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269"/>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Basic</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0.23</w:t>
            </w:r>
          </w:p>
        </w:tc>
        <w:tc>
          <w:tcPr>
            <w:tcW w:w="1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(5.62)</w:t>
            </w:r>
          </w:p>
        </w:tc>
        <w:tc>
          <w:tcPr>
            <w:tcW w:w="14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(0.03)</w:t>
            </w:r>
          </w:p>
        </w:tc>
      </w:tr>
      <w:tr>
        <w:trPr>
          <w:trHeight w:val="210"/>
        </w:trPr>
        <w:tc>
          <w:tcPr>
            <w:tcW w:w="54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(Note 6)</w:t>
            </w:r>
          </w:p>
        </w:tc>
        <w:tc>
          <w:tcPr>
            <w:tcW w:w="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234</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233</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232</w:t>
            </w:r>
          </w:p>
        </w:tc>
      </w:tr>
      <w:tr>
        <w:trPr>
          <w:trHeight w:val="270"/>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Diluted</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0.23</w:t>
            </w:r>
          </w:p>
        </w:tc>
        <w:tc>
          <w:tcPr>
            <w:tcW w:w="1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(5.62)</w:t>
            </w:r>
          </w:p>
        </w:tc>
        <w:tc>
          <w:tcPr>
            <w:tcW w:w="14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(0.03)</w:t>
            </w:r>
          </w:p>
        </w:tc>
      </w:tr>
      <w:tr>
        <w:trPr>
          <w:trHeight w:val="210"/>
        </w:trPr>
        <w:tc>
          <w:tcPr>
            <w:tcW w:w="54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(Note 6)</w:t>
            </w:r>
          </w:p>
        </w:tc>
        <w:tc>
          <w:tcPr>
            <w:tcW w:w="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234</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COMPREHENSIVE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r>
      <w:tr>
        <w:trPr>
          <w:trHeight w:val="171"/>
        </w:trPr>
        <w:tc>
          <w:tcPr>
            <w:tcW w:w="61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5"/>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Foreign currency translation, net of tax of $4 and ($4) in 2020 ($2 and $4 in</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w:t>
            </w: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Defined benefit plans: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5"/>
        </w:trPr>
        <w:tc>
          <w:tcPr>
            <w:tcW w:w="61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Amortization of prior service cost and unrecognized gains and losses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3"/>
              </w:rPr>
              <w:t>included in total benefit cost, net of tax of $8 and $17 in 2020 ($8 and $16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 2019)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w:t>
            </w:r>
          </w:p>
        </w:tc>
      </w:tr>
      <w:tr>
        <w:trPr>
          <w:trHeight w:val="215"/>
        </w:trPr>
        <w:tc>
          <w:tcPr>
            <w:tcW w:w="6120" w:type="dxa"/>
            <w:vAlign w:val="bottom"/>
          </w:tcPr>
          <w:p>
            <w:pPr>
              <w:ind w:left="620"/>
              <w:spacing w:after="0"/>
              <w:rPr>
                <w:sz w:val="20"/>
                <w:szCs w:val="20"/>
                <w:color w:val="auto"/>
              </w:rPr>
            </w:pPr>
            <w:r>
              <w:rPr>
                <w:rFonts w:ascii="Arial" w:cs="Arial" w:eastAsia="Arial" w:hAnsi="Arial"/>
                <w:sz w:val="18"/>
                <w:szCs w:val="18"/>
                <w:color w:val="auto"/>
                <w:w w:val="96"/>
              </w:rPr>
              <w:t>(Increase)/decrease in net actuarial losses, net of tax of ($2) and ($2) in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120" w:type="dxa"/>
            <w:vAlign w:val="bottom"/>
          </w:tcPr>
          <w:p>
            <w:pPr>
              <w:ind w:left="620"/>
              <w:spacing w:after="0"/>
              <w:rPr>
                <w:sz w:val="20"/>
                <w:szCs w:val="20"/>
                <w:color w:val="auto"/>
              </w:rPr>
            </w:pPr>
            <w:r>
              <w:rPr>
                <w:rFonts w:ascii="Arial" w:cs="Arial" w:eastAsia="Arial" w:hAnsi="Arial"/>
                <w:sz w:val="18"/>
                <w:szCs w:val="18"/>
                <w:color w:val="auto"/>
              </w:rPr>
              <w:t>2020 ($3 and $4 in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w:t>
            </w:r>
          </w:p>
        </w:tc>
      </w:tr>
      <w:tr>
        <w:trPr>
          <w:trHeight w:val="215"/>
        </w:trPr>
        <w:tc>
          <w:tcPr>
            <w:tcW w:w="61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6"/>
              </w:rPr>
              <w:t>Immediate recognition of prior service cost and unrecognized gains and</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0"/>
              </w:rPr>
              <w:t>losses due to curtailments, settlements and divestitures, net of tax of $0 and</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($1) in 2020 ($0 and $0 in 2019)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6120" w:type="dxa"/>
            <w:vAlign w:val="bottom"/>
          </w:tcPr>
          <w:p>
            <w:pPr>
              <w:ind w:left="620"/>
              <w:spacing w:after="0"/>
              <w:rPr>
                <w:sz w:val="20"/>
                <w:szCs w:val="20"/>
                <w:color w:val="auto"/>
              </w:rPr>
            </w:pPr>
            <w:r>
              <w:rPr>
                <w:rFonts w:ascii="Arial" w:cs="Arial" w:eastAsia="Arial" w:hAnsi="Arial"/>
                <w:sz w:val="18"/>
                <w:szCs w:val="18"/>
                <w:color w:val="auto"/>
                <w:w w:val="94"/>
              </w:rPr>
              <w:t>Prior service cost from plan amendments, net of tax of $0 and $0 in 2020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120" w:type="dxa"/>
            <w:vAlign w:val="bottom"/>
          </w:tcPr>
          <w:p>
            <w:pPr>
              <w:ind w:left="620"/>
              <w:spacing w:after="0"/>
              <w:rPr>
                <w:sz w:val="20"/>
                <w:szCs w:val="20"/>
                <w:color w:val="auto"/>
              </w:rPr>
            </w:pPr>
            <w:r>
              <w:rPr>
                <w:rFonts w:ascii="Arial" w:cs="Arial" w:eastAsia="Arial" w:hAnsi="Arial"/>
                <w:sz w:val="18"/>
                <w:szCs w:val="18"/>
                <w:color w:val="auto"/>
              </w:rPr>
              <w:t>($0 and $0 in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Deferred derivative gains (losses), net of tax of ($4) and $1 in 2020 ($0 and $0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 2019)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r>
      <w:tr>
        <w:trPr>
          <w:trHeight w:val="215"/>
        </w:trPr>
        <w:tc>
          <w:tcPr>
            <w:tcW w:w="6120" w:type="dxa"/>
            <w:vAlign w:val="bottom"/>
          </w:tcPr>
          <w:p>
            <w:pPr>
              <w:ind w:left="620"/>
              <w:spacing w:after="0"/>
              <w:rPr>
                <w:sz w:val="20"/>
                <w:szCs w:val="20"/>
                <w:color w:val="auto"/>
              </w:rPr>
            </w:pPr>
            <w:r>
              <w:rPr>
                <w:rFonts w:ascii="Arial" w:cs="Arial" w:eastAsia="Arial" w:hAnsi="Arial"/>
                <w:sz w:val="18"/>
                <w:szCs w:val="18"/>
                <w:color w:val="auto"/>
                <w:w w:val="94"/>
              </w:rPr>
              <w:t>Reclassification adjustment for amounts recognized in income, net of tax</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12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of $0 and $0 in 2020 (($1) and ($1) in 2019)</w:t>
            </w: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77</w:t>
            </w: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71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(1,495)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89</w:t>
            </w:r>
          </w:p>
        </w:tc>
      </w:tr>
      <w:tr>
        <w:trPr>
          <w:trHeight w:val="230"/>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Comprehensive Income (Loss) Attributable to Minority Shareholders</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Goodyear Comprehensive Income (Loss)</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67</w:t>
            </w: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80" w:right="2720"/>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except share data)</w:t>
            </w:r>
          </w:p>
        </w:tc>
        <w:tc>
          <w:tcPr>
            <w:tcW w:w="9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r>
      <w:tr>
        <w:trPr>
          <w:trHeight w:val="210"/>
        </w:trPr>
        <w:tc>
          <w:tcPr>
            <w:tcW w:w="7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and Cash Equivalents</w:t>
            </w:r>
          </w:p>
        </w:tc>
        <w:tc>
          <w:tcPr>
            <w:tcW w:w="1240" w:type="dxa"/>
            <w:vAlign w:val="bottom"/>
            <w:gridSpan w:val="2"/>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1,006</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908</w:t>
            </w: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Accounts Receivable, less Allowance — $143 ($111 in 2019)</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1,941</w:t>
            </w: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Raw Materials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530</w:t>
            </w: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Work in Process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w:t>
            </w:r>
          </w:p>
        </w:tc>
      </w:tr>
      <w:tr>
        <w:trPr>
          <w:trHeight w:val="213"/>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Finished Products</w:t>
            </w:r>
          </w:p>
        </w:tc>
        <w:tc>
          <w:tcPr>
            <w:tcW w:w="9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1,752</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2,178</w:t>
            </w:r>
          </w:p>
        </w:tc>
      </w:tr>
      <w:tr>
        <w:trPr>
          <w:trHeight w:val="213"/>
        </w:trPr>
        <w:tc>
          <w:tcPr>
            <w:tcW w:w="7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2,474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2,851</w:t>
            </w:r>
          </w:p>
        </w:tc>
      </w:tr>
      <w:tr>
        <w:trPr>
          <w:trHeight w:val="213"/>
        </w:trPr>
        <w:tc>
          <w:tcPr>
            <w:tcW w:w="70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234</w:t>
            </w:r>
          </w:p>
        </w:tc>
      </w:tr>
      <w:tr>
        <w:trPr>
          <w:trHeight w:val="213"/>
        </w:trPr>
        <w:tc>
          <w:tcPr>
            <w:tcW w:w="704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5,413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5,934</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Goodwill (Note 8)</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565</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(Note 8)</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Deferred Income Taxes (Note 5)</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1,527</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Other Assets (Note 9)</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959</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855</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 less Accumulated Depreciation — $10,293 ($10,488 in 2019)</w:t>
            </w:r>
          </w:p>
        </w:tc>
        <w:tc>
          <w:tcPr>
            <w:tcW w:w="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6,799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7,208</w:t>
            </w:r>
          </w:p>
        </w:tc>
      </w:tr>
      <w:tr>
        <w:trPr>
          <w:trHeight w:val="247"/>
        </w:trPr>
        <w:tc>
          <w:tcPr>
            <w:tcW w:w="7040" w:type="dxa"/>
            <w:vAlign w:val="bottom"/>
            <w:tcBorders>
              <w:bottom w:val="single" w:sz="8" w:color="CFF0FC"/>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9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15,827</w:t>
            </w: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17,185</w:t>
            </w:r>
          </w:p>
        </w:tc>
      </w:tr>
      <w:tr>
        <w:trPr>
          <w:trHeight w:val="199"/>
        </w:trPr>
        <w:tc>
          <w:tcPr>
            <w:tcW w:w="70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Accounts Payable — Trade</w:t>
            </w:r>
          </w:p>
        </w:tc>
        <w:tc>
          <w:tcPr>
            <w:tcW w:w="12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1,858</w:t>
            </w:r>
          </w:p>
        </w:tc>
        <w:tc>
          <w:tcPr>
            <w:tcW w:w="16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2,908</w:t>
            </w: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Compensation and Benefits (Notes 12 and 13)</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536</w:t>
            </w: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734</w:t>
            </w: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Notes Payable and Overdrafts (Note 10)</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348</w:t>
            </w: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Operating Lease Liabilities due Within One Year</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199</w:t>
            </w: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Long Term Debt and Finance Leases due Within One Year (Note 10)</w:t>
            </w:r>
          </w:p>
        </w:tc>
        <w:tc>
          <w:tcPr>
            <w:tcW w:w="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562</w:t>
            </w:r>
          </w:p>
        </w:tc>
      </w:tr>
      <w:tr>
        <w:trPr>
          <w:trHeight w:val="207"/>
        </w:trPr>
        <w:tc>
          <w:tcPr>
            <w:tcW w:w="7040" w:type="dxa"/>
            <w:vAlign w:val="bottom"/>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4,626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5,287</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668</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Long Term Debt and Finance Leases (Note 10)</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5,688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4,753</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 (Notes 12 and 13)</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1,334</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Deferred Income Taxes (Note 5)</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Other Long Term Liabilities</w:t>
            </w:r>
          </w:p>
        </w:tc>
        <w:tc>
          <w:tcPr>
            <w:tcW w:w="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508</w:t>
            </w:r>
          </w:p>
        </w:tc>
      </w:tr>
      <w:tr>
        <w:trPr>
          <w:trHeight w:val="207"/>
        </w:trPr>
        <w:tc>
          <w:tcPr>
            <w:tcW w:w="7040" w:type="dxa"/>
            <w:vAlign w:val="bottom"/>
          </w:tcPr>
          <w:p>
            <w:pPr>
              <w:ind w:left="380"/>
              <w:spacing w:after="0"/>
              <w:rPr>
                <w:sz w:val="20"/>
                <w:szCs w:val="20"/>
                <w:color w:val="auto"/>
              </w:rPr>
            </w:pPr>
            <w:r>
              <w:rPr>
                <w:rFonts w:ascii="Arial" w:cs="Arial" w:eastAsia="Arial" w:hAnsi="Arial"/>
                <w:sz w:val="16"/>
                <w:szCs w:val="16"/>
                <w:b w:val="1"/>
                <w:bCs w:val="1"/>
                <w:color w:val="auto"/>
              </w:rPr>
              <w:t>Total Liabilities</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12,814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12,640</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Contingent Liabilities (Note 14)</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Goodyear Shareholders’ Equity:</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Common Stock, no par value: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Authorized, 450 million shares, Outstanding shares — 233 million in 2020 and 2019</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233</w:t>
            </w: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Capital Surplus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2,141</w:t>
            </w: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Retained Earnings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4,748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6,113</w:t>
            </w:r>
          </w:p>
        </w:tc>
      </w:tr>
      <w:tr>
        <w:trPr>
          <w:trHeight w:val="213"/>
        </w:trPr>
        <w:tc>
          <w:tcPr>
            <w:tcW w:w="70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9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(4,302)</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(4,136)</w:t>
            </w:r>
          </w:p>
        </w:tc>
      </w:tr>
      <w:tr>
        <w:trPr>
          <w:trHeight w:val="213"/>
        </w:trPr>
        <w:tc>
          <w:tcPr>
            <w:tcW w:w="704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Goodyear Shareholders’ Equity</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2,833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4,351</w:t>
            </w:r>
          </w:p>
        </w:tc>
      </w:tr>
      <w:tr>
        <w:trPr>
          <w:trHeight w:val="213"/>
        </w:trPr>
        <w:tc>
          <w:tcPr>
            <w:tcW w:w="7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Minority Shareholders’ Equity — Nonredeemable</w:t>
            </w:r>
          </w:p>
        </w:tc>
        <w:tc>
          <w:tcPr>
            <w:tcW w:w="9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w:t>
            </w:r>
          </w:p>
        </w:tc>
      </w:tr>
      <w:tr>
        <w:trPr>
          <w:trHeight w:val="212"/>
        </w:trPr>
        <w:tc>
          <w:tcPr>
            <w:tcW w:w="704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Total Shareholders’ Equity</w:t>
            </w:r>
          </w:p>
        </w:tc>
        <w:tc>
          <w:tcPr>
            <w:tcW w:w="9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3,013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4,545</w:t>
            </w:r>
          </w:p>
        </w:tc>
      </w:tr>
      <w:tr>
        <w:trPr>
          <w:trHeight w:val="207"/>
        </w:trPr>
        <w:tc>
          <w:tcPr>
            <w:tcW w:w="704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Shareholders’ Equity</w:t>
            </w:r>
          </w:p>
        </w:tc>
        <w:tc>
          <w:tcPr>
            <w:tcW w:w="98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15,827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17,185</w:t>
            </w:r>
          </w:p>
        </w:tc>
      </w:tr>
      <w:tr>
        <w:trPr>
          <w:trHeight w:val="20"/>
        </w:trPr>
        <w:tc>
          <w:tcPr>
            <w:tcW w:w="7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Minority</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Goodyear</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1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3"/>
              </w:rPr>
              <w:t>Common Stock</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Comprehensive</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Equity —</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Non-</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i w:val="1"/>
                <w:iCs w:val="1"/>
                <w:color w:val="auto"/>
              </w:rPr>
              <w:t>(Dollars in millions, except per share amounts)</w:t>
            </w:r>
          </w:p>
        </w:tc>
        <w:tc>
          <w:tcPr>
            <w:tcW w:w="96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68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Surplus</w:t>
            </w:r>
          </w:p>
        </w:tc>
        <w:tc>
          <w:tcPr>
            <w:tcW w:w="7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c>
          <w:tcPr>
            <w:tcW w:w="10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Redeemable</w:t>
            </w:r>
          </w:p>
        </w:tc>
        <w:tc>
          <w:tcPr>
            <w:tcW w:w="160" w:type="dxa"/>
            <w:vAlign w:val="bottom"/>
          </w:tcPr>
          <w:p>
            <w:pPr>
              <w:spacing w:after="0"/>
              <w:rPr>
                <w:sz w:val="13"/>
                <w:szCs w:val="13"/>
                <w:color w:val="auto"/>
              </w:rPr>
            </w:pPr>
          </w:p>
        </w:tc>
        <w:tc>
          <w:tcPr>
            <w:tcW w:w="82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8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9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(after deducting 45,813,109 common treasury shares)</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232,650,318</w:t>
            </w:r>
          </w:p>
        </w:tc>
        <w:tc>
          <w:tcPr>
            <w:tcW w:w="3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b w:val="1"/>
                <w:bCs w:val="1"/>
                <w:color w:val="auto"/>
              </w:rPr>
              <w:t>233</w:t>
            </w: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2,141</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6,113</w:t>
            </w: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(4,136)</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4,351</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194</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4,545</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Comprehensive income (loss):</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(net of tax of ($8))</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3"/>
        </w:trPr>
        <w:tc>
          <w:tcPr>
            <w:tcW w:w="3840" w:type="dxa"/>
            <w:vAlign w:val="bottom"/>
          </w:tcPr>
          <w:p>
            <w:pPr>
              <w:ind w:left="260"/>
              <w:spacing w:after="0" w:line="143" w:lineRule="exact"/>
              <w:rPr>
                <w:sz w:val="20"/>
                <w:szCs w:val="20"/>
                <w:color w:val="auto"/>
              </w:rPr>
            </w:pPr>
            <w:r>
              <w:rPr>
                <w:rFonts w:ascii="Arial" w:cs="Arial" w:eastAsia="Arial" w:hAnsi="Arial"/>
                <w:sz w:val="14"/>
                <w:szCs w:val="14"/>
                <w:color w:val="auto"/>
              </w:rPr>
              <w:t>Amortization of prior service cost and unrecognized gains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60"/>
              <w:spacing w:after="0" w:line="149" w:lineRule="exact"/>
              <w:rPr>
                <w:sz w:val="20"/>
                <w:szCs w:val="20"/>
                <w:color w:val="auto"/>
              </w:rPr>
            </w:pPr>
            <w:r>
              <w:rPr>
                <w:rFonts w:ascii="Arial" w:cs="Arial" w:eastAsia="Arial" w:hAnsi="Arial"/>
                <w:sz w:val="14"/>
                <w:szCs w:val="14"/>
                <w:color w:val="auto"/>
              </w:rPr>
              <w:t>and losses included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260"/>
              <w:spacing w:after="0"/>
              <w:rPr>
                <w:sz w:val="20"/>
                <w:szCs w:val="20"/>
                <w:color w:val="auto"/>
              </w:rPr>
            </w:pPr>
            <w:r>
              <w:rPr>
                <w:rFonts w:ascii="Arial" w:cs="Arial" w:eastAsia="Arial" w:hAnsi="Arial"/>
                <w:sz w:val="14"/>
                <w:szCs w:val="14"/>
                <w:color w:val="auto"/>
              </w:rPr>
              <w:t>in total benefit cost (net of tax of $9)</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Increase in net actuarial losses (net of tax of $0)</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3"/>
        </w:trPr>
        <w:tc>
          <w:tcPr>
            <w:tcW w:w="3840" w:type="dxa"/>
            <w:vAlign w:val="bottom"/>
          </w:tcPr>
          <w:p>
            <w:pPr>
              <w:ind w:left="260"/>
              <w:spacing w:after="0" w:line="143" w:lineRule="exact"/>
              <w:rPr>
                <w:sz w:val="20"/>
                <w:szCs w:val="20"/>
                <w:color w:val="auto"/>
              </w:rPr>
            </w:pPr>
            <w:r>
              <w:rPr>
                <w:rFonts w:ascii="Arial" w:cs="Arial" w:eastAsia="Arial" w:hAnsi="Arial"/>
                <w:sz w:val="14"/>
                <w:szCs w:val="14"/>
                <w:color w:val="auto"/>
              </w:rPr>
              <w:t>Immediate recognition of prior service cost and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60"/>
              <w:spacing w:after="0" w:line="149" w:lineRule="exact"/>
              <w:rPr>
                <w:sz w:val="20"/>
                <w:szCs w:val="20"/>
                <w:color w:val="auto"/>
              </w:rPr>
            </w:pPr>
            <w:r>
              <w:rPr>
                <w:rFonts w:ascii="Arial" w:cs="Arial" w:eastAsia="Arial" w:hAnsi="Arial"/>
                <w:sz w:val="14"/>
                <w:szCs w:val="14"/>
                <w:color w:val="auto"/>
              </w:rPr>
              <w:t>unrecognized gains and losses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60"/>
              <w:spacing w:after="0" w:line="149" w:lineRule="exact"/>
              <w:rPr>
                <w:sz w:val="20"/>
                <w:szCs w:val="20"/>
                <w:color w:val="auto"/>
              </w:rPr>
            </w:pPr>
            <w:r>
              <w:rPr>
                <w:rFonts w:ascii="Arial" w:cs="Arial" w:eastAsia="Arial" w:hAnsi="Arial"/>
                <w:sz w:val="14"/>
                <w:szCs w:val="14"/>
                <w:color w:val="auto"/>
                <w:w w:val="97"/>
              </w:rPr>
              <w:t>due to curtailments, settlements and divestitures (net of tax</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260"/>
              <w:spacing w:after="0"/>
              <w:rPr>
                <w:sz w:val="20"/>
                <w:szCs w:val="20"/>
                <w:color w:val="auto"/>
              </w:rPr>
            </w:pPr>
            <w:r>
              <w:rPr>
                <w:rFonts w:ascii="Arial" w:cs="Arial" w:eastAsia="Arial" w:hAnsi="Arial"/>
                <w:sz w:val="14"/>
                <w:szCs w:val="14"/>
                <w:color w:val="auto"/>
              </w:rPr>
              <w:t>of ($1))</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derivative gains (net of tax of $5)</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3"/>
        </w:trPr>
        <w:tc>
          <w:tcPr>
            <w:tcW w:w="3840" w:type="dxa"/>
            <w:vAlign w:val="bottom"/>
          </w:tcPr>
          <w:p>
            <w:pPr>
              <w:ind w:left="380"/>
              <w:spacing w:after="0" w:line="143" w:lineRule="exact"/>
              <w:rPr>
                <w:sz w:val="20"/>
                <w:szCs w:val="20"/>
                <w:color w:val="auto"/>
              </w:rPr>
            </w:pPr>
            <w:r>
              <w:rPr>
                <w:rFonts w:ascii="Arial" w:cs="Arial" w:eastAsia="Arial" w:hAnsi="Arial"/>
                <w:sz w:val="14"/>
                <w:szCs w:val="14"/>
                <w:color w:val="auto"/>
              </w:rPr>
              <w:t>Reclassification adjustment for amounts recognized in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income (net of tax of $0)</w:t>
            </w:r>
          </w:p>
        </w:tc>
        <w:tc>
          <w:tcPr>
            <w:tcW w:w="9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5"/>
        </w:trPr>
        <w:tc>
          <w:tcPr>
            <w:tcW w:w="384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b w:val="1"/>
                <w:bCs w:val="1"/>
                <w:color w:val="auto"/>
              </w:rPr>
              <w:t>Other comprehensive income (loss)</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(177)</w:t>
            </w: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w:t>
            </w: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56"/>
        </w:trPr>
        <w:tc>
          <w:tcPr>
            <w:tcW w:w="38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Total comprehensive income (loss)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(803)</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Adoption of new accounting standards update (Note 1)</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 plans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Dividends declared</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384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347,232</w:t>
            </w: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3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2020</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(after deducting 45,465,877 common treasury shares)</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232,997,550</w:t>
            </w:r>
          </w:p>
        </w:tc>
        <w:tc>
          <w:tcPr>
            <w:tcW w:w="3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b w:val="1"/>
                <w:bCs w:val="1"/>
                <w:color w:val="auto"/>
              </w:rPr>
              <w:t>233</w:t>
            </w: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2,146</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5,444</w:t>
            </w: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(4,313)</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3,510</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187</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3,697</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Comprehensive income (loss):</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(net of tax of $4)</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3840" w:type="dxa"/>
            <w:vAlign w:val="bottom"/>
          </w:tcPr>
          <w:p>
            <w:pPr>
              <w:ind w:left="260"/>
              <w:spacing w:after="0" w:line="143" w:lineRule="exact"/>
              <w:rPr>
                <w:sz w:val="20"/>
                <w:szCs w:val="20"/>
                <w:color w:val="auto"/>
              </w:rPr>
            </w:pPr>
            <w:r>
              <w:rPr>
                <w:rFonts w:ascii="Arial" w:cs="Arial" w:eastAsia="Arial" w:hAnsi="Arial"/>
                <w:sz w:val="14"/>
                <w:szCs w:val="14"/>
                <w:color w:val="auto"/>
              </w:rPr>
              <w:t>Amortization of prior service cost and unrecognized gains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260"/>
              <w:spacing w:after="0" w:line="149" w:lineRule="exact"/>
              <w:rPr>
                <w:sz w:val="20"/>
                <w:szCs w:val="20"/>
                <w:color w:val="auto"/>
              </w:rPr>
            </w:pPr>
            <w:r>
              <w:rPr>
                <w:rFonts w:ascii="Arial" w:cs="Arial" w:eastAsia="Arial" w:hAnsi="Arial"/>
                <w:sz w:val="14"/>
                <w:szCs w:val="14"/>
                <w:color w:val="auto"/>
              </w:rPr>
              <w:t>and losses included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260"/>
              <w:spacing w:after="0"/>
              <w:rPr>
                <w:sz w:val="20"/>
                <w:szCs w:val="20"/>
                <w:color w:val="auto"/>
              </w:rPr>
            </w:pPr>
            <w:r>
              <w:rPr>
                <w:rFonts w:ascii="Arial" w:cs="Arial" w:eastAsia="Arial" w:hAnsi="Arial"/>
                <w:sz w:val="14"/>
                <w:szCs w:val="14"/>
                <w:color w:val="auto"/>
              </w:rPr>
              <w:t>in total benefit cost (net of tax of $8)</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Increase in net actuarial losses (net of tax of ($2))</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3840" w:type="dxa"/>
            <w:vAlign w:val="bottom"/>
          </w:tcPr>
          <w:p>
            <w:pPr>
              <w:ind w:left="260"/>
              <w:spacing w:after="0" w:line="143" w:lineRule="exact"/>
              <w:rPr>
                <w:sz w:val="20"/>
                <w:szCs w:val="20"/>
                <w:color w:val="auto"/>
              </w:rPr>
            </w:pPr>
            <w:r>
              <w:rPr>
                <w:rFonts w:ascii="Arial" w:cs="Arial" w:eastAsia="Arial" w:hAnsi="Arial"/>
                <w:sz w:val="14"/>
                <w:szCs w:val="14"/>
                <w:color w:val="auto"/>
              </w:rPr>
              <w:t>Immediate recognition of prior service cost and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60"/>
              <w:spacing w:after="0" w:line="149" w:lineRule="exact"/>
              <w:rPr>
                <w:sz w:val="20"/>
                <w:szCs w:val="20"/>
                <w:color w:val="auto"/>
              </w:rPr>
            </w:pPr>
            <w:r>
              <w:rPr>
                <w:rFonts w:ascii="Arial" w:cs="Arial" w:eastAsia="Arial" w:hAnsi="Arial"/>
                <w:sz w:val="14"/>
                <w:szCs w:val="14"/>
                <w:color w:val="auto"/>
              </w:rPr>
              <w:t>unrecognized gains and losses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60"/>
              <w:spacing w:after="0" w:line="149" w:lineRule="exact"/>
              <w:rPr>
                <w:sz w:val="20"/>
                <w:szCs w:val="20"/>
                <w:color w:val="auto"/>
              </w:rPr>
            </w:pPr>
            <w:r>
              <w:rPr>
                <w:rFonts w:ascii="Arial" w:cs="Arial" w:eastAsia="Arial" w:hAnsi="Arial"/>
                <w:sz w:val="14"/>
                <w:szCs w:val="14"/>
                <w:color w:val="auto"/>
                <w:w w:val="97"/>
              </w:rPr>
              <w:t>due to curtailments, settlements and divestitures (net of tax</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260"/>
              <w:spacing w:after="0"/>
              <w:rPr>
                <w:sz w:val="20"/>
                <w:szCs w:val="20"/>
                <w:color w:val="auto"/>
              </w:rPr>
            </w:pPr>
            <w:r>
              <w:rPr>
                <w:rFonts w:ascii="Arial" w:cs="Arial" w:eastAsia="Arial" w:hAnsi="Arial"/>
                <w:sz w:val="14"/>
                <w:szCs w:val="14"/>
                <w:color w:val="auto"/>
              </w:rPr>
              <w:t>of $0)</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derivative gains (net of tax of ($4))</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3"/>
        </w:trPr>
        <w:tc>
          <w:tcPr>
            <w:tcW w:w="3840" w:type="dxa"/>
            <w:vAlign w:val="bottom"/>
          </w:tcPr>
          <w:p>
            <w:pPr>
              <w:ind w:left="380"/>
              <w:spacing w:after="0" w:line="143" w:lineRule="exact"/>
              <w:rPr>
                <w:sz w:val="20"/>
                <w:szCs w:val="20"/>
                <w:color w:val="auto"/>
              </w:rPr>
            </w:pPr>
            <w:r>
              <w:rPr>
                <w:rFonts w:ascii="Arial" w:cs="Arial" w:eastAsia="Arial" w:hAnsi="Arial"/>
                <w:sz w:val="14"/>
                <w:szCs w:val="14"/>
                <w:color w:val="auto"/>
              </w:rPr>
              <w:t>Reclassification adjustment for amounts recognized in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income (net of tax of $0)</w:t>
            </w:r>
          </w:p>
        </w:tc>
        <w:tc>
          <w:tcPr>
            <w:tcW w:w="9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5"/>
        </w:trPr>
        <w:tc>
          <w:tcPr>
            <w:tcW w:w="384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b w:val="1"/>
                <w:bCs w:val="1"/>
                <w:color w:val="auto"/>
              </w:rPr>
              <w:t>Other comprehensive income (loss)</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11</w:t>
            </w: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55"/>
        </w:trPr>
        <w:tc>
          <w:tcPr>
            <w:tcW w:w="38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Total comprehensive income (loss)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(685)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(692)</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 plans</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84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13,012</w:t>
            </w: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2020</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(after deducting 45,452,865 common treasury shares)</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233,010,562</w:t>
            </w:r>
          </w:p>
        </w:tc>
        <w:tc>
          <w:tcPr>
            <w:tcW w:w="3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b w:val="1"/>
                <w:bCs w:val="1"/>
                <w:color w:val="auto"/>
              </w:rPr>
              <w:t>233</w:t>
            </w: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2,154</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4,748</w:t>
            </w: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(4,302)</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2,833</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180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3,013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We declared and paid cash dividends of $0.16 per Common Share for the six months ended June 30,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Minority</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Goodyear</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1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3"/>
              </w:rPr>
              <w:t>Common Stock</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Comprehensive</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Equity —</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Non-</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i w:val="1"/>
                <w:iCs w:val="1"/>
                <w:color w:val="auto"/>
              </w:rPr>
              <w:t>(Dollars in millions, except per share amounts)</w:t>
            </w:r>
          </w:p>
        </w:tc>
        <w:tc>
          <w:tcPr>
            <w:tcW w:w="96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68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Surplus</w:t>
            </w:r>
          </w:p>
        </w:tc>
        <w:tc>
          <w:tcPr>
            <w:tcW w:w="7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c>
          <w:tcPr>
            <w:tcW w:w="10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Redeemable</w:t>
            </w:r>
          </w:p>
        </w:tc>
        <w:tc>
          <w:tcPr>
            <w:tcW w:w="160" w:type="dxa"/>
            <w:vAlign w:val="bottom"/>
          </w:tcPr>
          <w:p>
            <w:pPr>
              <w:spacing w:after="0"/>
              <w:rPr>
                <w:sz w:val="13"/>
                <w:szCs w:val="13"/>
                <w:color w:val="auto"/>
              </w:rPr>
            </w:pPr>
          </w:p>
        </w:tc>
        <w:tc>
          <w:tcPr>
            <w:tcW w:w="82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8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2018</w:t>
            </w:r>
          </w:p>
        </w:tc>
        <w:tc>
          <w:tcPr>
            <w:tcW w:w="9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(after deducting 46,292,384 common treasury shares)</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232,171,043</w:t>
            </w:r>
          </w:p>
        </w:tc>
        <w:tc>
          <w:tcPr>
            <w:tcW w:w="3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b w:val="1"/>
                <w:bCs w:val="1"/>
                <w:color w:val="auto"/>
              </w:rPr>
              <w:t>232</w:t>
            </w: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2,111</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6,597</w:t>
            </w: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(4,076)</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4,864</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206</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5,070</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Comprehensive income:</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(net of tax of $2)</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3"/>
        </w:trPr>
        <w:tc>
          <w:tcPr>
            <w:tcW w:w="3840" w:type="dxa"/>
            <w:vAlign w:val="bottom"/>
          </w:tcPr>
          <w:p>
            <w:pPr>
              <w:ind w:left="260"/>
              <w:spacing w:after="0" w:line="143" w:lineRule="exact"/>
              <w:rPr>
                <w:sz w:val="20"/>
                <w:szCs w:val="20"/>
                <w:color w:val="auto"/>
              </w:rPr>
            </w:pPr>
            <w:r>
              <w:rPr>
                <w:rFonts w:ascii="Arial" w:cs="Arial" w:eastAsia="Arial" w:hAnsi="Arial"/>
                <w:sz w:val="14"/>
                <w:szCs w:val="14"/>
                <w:color w:val="auto"/>
              </w:rPr>
              <w:t>Amortization of prior service cost and unrecognized gains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60"/>
              <w:spacing w:after="0" w:line="149" w:lineRule="exact"/>
              <w:rPr>
                <w:sz w:val="20"/>
                <w:szCs w:val="20"/>
                <w:color w:val="auto"/>
              </w:rPr>
            </w:pPr>
            <w:r>
              <w:rPr>
                <w:rFonts w:ascii="Arial" w:cs="Arial" w:eastAsia="Arial" w:hAnsi="Arial"/>
                <w:sz w:val="14"/>
                <w:szCs w:val="14"/>
                <w:color w:val="auto"/>
              </w:rPr>
              <w:t>and losses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260"/>
              <w:spacing w:after="0"/>
              <w:rPr>
                <w:sz w:val="20"/>
                <w:szCs w:val="20"/>
                <w:color w:val="auto"/>
              </w:rPr>
            </w:pPr>
            <w:r>
              <w:rPr>
                <w:rFonts w:ascii="Arial" w:cs="Arial" w:eastAsia="Arial" w:hAnsi="Arial"/>
                <w:sz w:val="14"/>
                <w:szCs w:val="14"/>
                <w:color w:val="auto"/>
              </w:rPr>
              <w:t>included in total benefit cost (net of tax of $8)</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Decrease in net actuarial losses (net of tax of $1)</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Deferred derivative gains (net of tax of $0)</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3"/>
        </w:trPr>
        <w:tc>
          <w:tcPr>
            <w:tcW w:w="384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Reclassification adjustment for amounts recognized in</w:t>
            </w: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(net of tax of $0)</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384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b w:val="1"/>
                <w:bCs w:val="1"/>
                <w:color w:val="auto"/>
              </w:rPr>
              <w:t>Other comprehensive income</w:t>
            </w:r>
          </w:p>
        </w:tc>
        <w:tc>
          <w:tcPr>
            <w:tcW w:w="9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62</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56"/>
        </w:trPr>
        <w:tc>
          <w:tcPr>
            <w:tcW w:w="384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comprehensive income</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17</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Adoption of new accounting standards update</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 plans</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Dividends declared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299,670</w:t>
            </w:r>
          </w:p>
        </w:tc>
        <w:tc>
          <w:tcPr>
            <w:tcW w:w="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38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2019</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(after deducting 45,992,714 common treasury shares)</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232,470,713</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232</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96"/>
              </w:rPr>
              <w:t>2,114</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6,476</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(4,014)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4,808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223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5,031</w:t>
            </w: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Comprehensive income (loss):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Foreign currency translation (net of tax of $2)</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3"/>
        </w:trPr>
        <w:tc>
          <w:tcPr>
            <w:tcW w:w="38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Amortization of prior service cost and unrecognized gains</w:t>
            </w: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and losses</w:t>
            </w: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included in total benefit cost (net of tax of $8)</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Decrease in net actuarial losses (net of tax of $3)</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3"/>
        </w:trPr>
        <w:tc>
          <w:tcPr>
            <w:tcW w:w="38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Prior service (cost) credit from plan amendments (net of tax</w:t>
            </w: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of $0)</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Deferred derivative gains (losses) (net of tax of $0)</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3"/>
        </w:trPr>
        <w:tc>
          <w:tcPr>
            <w:tcW w:w="384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Reclassification adjustment for amounts recognized in</w:t>
            </w: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(net of tax of ($1))</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384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b w:val="1"/>
                <w:bCs w:val="1"/>
                <w:color w:val="auto"/>
              </w:rPr>
              <w:t>Other comprehensive income</w:t>
            </w:r>
          </w:p>
        </w:tc>
        <w:tc>
          <w:tcPr>
            <w:tcW w:w="9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12</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55"/>
        </w:trPr>
        <w:tc>
          <w:tcPr>
            <w:tcW w:w="384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comprehensive income</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66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 plans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Dividends declared</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50,457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Purchase of minority shares</w:t>
            </w:r>
          </w:p>
        </w:tc>
        <w:tc>
          <w:tcPr>
            <w:tcW w:w="96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2019</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(after deducting 45,942,257 common treasury shares)</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232,521,170</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233</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96"/>
              </w:rPr>
              <w:t>2,124</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6,492</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(4,002)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4,847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202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5,049</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We declared and paid cash dividends of $0.16 and $0.32 per Common Share for the three and six months ended June 30, 2019,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CASH FLOWS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r>
      <w:tr>
        <w:trPr>
          <w:trHeight w:val="162"/>
        </w:trPr>
        <w:tc>
          <w:tcPr>
            <w:tcW w:w="6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ind w:right="329"/>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14"/>
                <w:szCs w:val="14"/>
                <w:color w:val="auto"/>
              </w:rPr>
            </w:pPr>
          </w:p>
        </w:tc>
      </w:tr>
      <w:tr>
        <w:trPr>
          <w:trHeight w:val="171"/>
        </w:trPr>
        <w:tc>
          <w:tcPr>
            <w:tcW w:w="69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r>
      <w:tr>
        <w:trPr>
          <w:trHeight w:val="209"/>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400" w:type="dxa"/>
            <w:vAlign w:val="bottom"/>
            <w:gridSpan w:val="2"/>
          </w:tcPr>
          <w:p>
            <w:pPr>
              <w:jc w:val="right"/>
              <w:ind w:right="164"/>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(1,320)</w:t>
            </w:r>
          </w:p>
        </w:tc>
        <w:tc>
          <w:tcPr>
            <w:tcW w:w="180" w:type="dxa"/>
            <w:vAlign w:val="bottom"/>
          </w:tcPr>
          <w:p>
            <w:pPr>
              <w:spacing w:after="0"/>
              <w:rPr>
                <w:sz w:val="18"/>
                <w:szCs w:val="18"/>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12</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389</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and Write-Off of Debt Issuance Costs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Goodwill and Other Asset Impairments (Notes 8 and 9)</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Deferred Income Taxes (Note 5)</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Net Pension Curtailments and Settlements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Rationalization Charges (Note 3)</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Rationalization Payments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(Gains) Losses on Asset Sales (Note 4)</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Operating Lease Expense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148</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Payments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Pension Contributions and Direct Payments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Changes in Operating Assets and Liabilities, Net of Asset Acquisitions and Dispositions: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(445)</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Accounts Payable — Trade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Compensation and Benefits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 and Liabilities</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Total Cash Flows from Operating Activities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(291)</w:t>
            </w:r>
          </w:p>
        </w:tc>
      </w:tr>
      <w:tr>
        <w:trPr>
          <w:trHeight w:val="219"/>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Asset Dispositions (Note 4)</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Short Term Securities Acquired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 Term Securities Redeemed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Notes Receivable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 Transactions</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Total Cash Flows from Investing Activities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(390)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(419)</w:t>
            </w:r>
          </w:p>
        </w:tc>
      </w:tr>
      <w:tr>
        <w:trPr>
          <w:trHeight w:val="219"/>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Short Term Debt and Overdrafts Incurred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983</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 Term Debt and Overdrafts Paid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Long Term Debt Incurred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4,886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3,479</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Long Term Debt Paid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(2,628)</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Common Stock Issued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Stock Dividends Paid (Note 15)</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Transactions with Minority Interests in Subsidiaries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Debt Related Costs and Other Transactions</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Total Cash Flows from Financing Activities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1,324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811</w:t>
            </w:r>
          </w:p>
        </w:tc>
      </w:tr>
      <w:tr>
        <w:trPr>
          <w:trHeight w:val="219"/>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r>
      <w:tr>
        <w:trPr>
          <w:trHeight w:val="207"/>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64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107</w:t>
            </w:r>
          </w:p>
        </w:tc>
      </w:tr>
      <w:tr>
        <w:trPr>
          <w:trHeight w:val="219"/>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974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873</w:t>
            </w:r>
          </w:p>
        </w:tc>
      </w:tr>
      <w:tr>
        <w:trPr>
          <w:trHeight w:val="207"/>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Cash, Cash Equivalents and Restricted Cash at End of the Period</w:t>
            </w:r>
          </w:p>
        </w:tc>
        <w:tc>
          <w:tcPr>
            <w:tcW w:w="1080" w:type="dxa"/>
            <w:vAlign w:val="bottom"/>
          </w:tcPr>
          <w:p>
            <w:pPr>
              <w:spacing w:after="0"/>
              <w:rPr>
                <w:sz w:val="17"/>
                <w:szCs w:val="17"/>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1,038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980</w:t>
            </w:r>
          </w:p>
        </w:tc>
      </w:tr>
      <w:tr>
        <w:trPr>
          <w:trHeight w:val="20"/>
        </w:trPr>
        <w:tc>
          <w:tcPr>
            <w:tcW w:w="6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NOTES TO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2019 (the “2019 Form 10-K”).</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robust business continuity plan to adequately respond to situations such as the COVID-19 pandemic, including a framework for remote work arrangements, in order to effectively maintain operations, including financial reporting systems, internal controls over financial reporting and disclosure controls and procedures.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2020, we early adopted, as permitted, SEC amendments to the financial disclosure requirements for registered debt securities with subsidiary guarantees. The amendments replace the condensed consolidating financial information with summarized financial information of the issuers and guarantors, require expanded qualitative disclosures with respect to information about guarantors, the terms and conditions of guarantees and the factors that may affect payment, and permit these disclosures to be provided outside the footnotes to the parent company’s audited annual and interim consolidated financial statements. We have elected to provide this information in Management’s Discussion and Analysis of Financial Condition and Results of Operations.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six months ended June 30, 2020 are not necessarily indicative of the results expected in subsequent quarters or for the year ending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January 1, 2020, we adopted an accounting standards update with new guidance on accounting for credit losses on financial instruments. The new guidance includes an impairment model for estimating credit losses that is based on expected losses, rather than incurred losses. As a result of using the modified retrospective adoption approach, $12 million was recorded as a cumulative effect adjustment to decrease Retained Earnings, with Accounts Receivable decreasing by $15 million and Deferred Income Taxes increasing by $3 million.</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balance of allowances for credit losses, which represents our allowance for doubtful accounts associated with accounts receivable, and the changes during the three months ended March 31, 2020 and June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Europe, Middle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7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Americas</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East &amp; Africa</w:t>
            </w: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Asia Pacific</w:t>
            </w: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January 1, 2020</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126</w:t>
            </w: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Current period provision</w:t>
            </w:r>
          </w:p>
        </w:tc>
        <w:tc>
          <w:tcPr>
            <w:tcW w:w="2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Write-offs charged against the allowance</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Translation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8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03"/>
        </w:trPr>
        <w:tc>
          <w:tcPr>
            <w:tcW w:w="3820" w:type="dxa"/>
            <w:vAlign w:val="bottom"/>
            <w:shd w:val="clear" w:color="auto" w:fill="CFF0FC"/>
          </w:tcPr>
          <w:p>
            <w:pPr>
              <w:spacing w:after="0" w:line="203" w:lineRule="exact"/>
              <w:rPr>
                <w:sz w:val="20"/>
                <w:szCs w:val="20"/>
                <w:color w:val="auto"/>
              </w:rPr>
            </w:pPr>
            <w:r>
              <w:rPr>
                <w:rFonts w:ascii="Arial" w:cs="Arial" w:eastAsia="Arial" w:hAnsi="Arial"/>
                <w:sz w:val="18"/>
                <w:szCs w:val="18"/>
                <w:b w:val="1"/>
                <w:bCs w:val="1"/>
                <w:color w:val="auto"/>
              </w:rPr>
              <w:t>Balance at March 31, 2020</w:t>
            </w:r>
          </w:p>
        </w:tc>
        <w:tc>
          <w:tcPr>
            <w:tcW w:w="1520" w:type="dxa"/>
            <w:vAlign w:val="bottom"/>
            <w:gridSpan w:val="2"/>
            <w:shd w:val="clear" w:color="auto" w:fill="CFF0FC"/>
          </w:tcPr>
          <w:p>
            <w:pPr>
              <w:jc w:val="right"/>
              <w:ind w:right="487"/>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b w:val="1"/>
                <w:bCs w:val="1"/>
                <w:color w:val="auto"/>
              </w:rPr>
              <w:t>34</w:t>
            </w:r>
          </w:p>
        </w:tc>
        <w:tc>
          <w:tcPr>
            <w:tcW w:w="800" w:type="dxa"/>
            <w:vAlign w:val="bottom"/>
            <w:gridSpan w:val="2"/>
            <w:shd w:val="clear" w:color="auto" w:fill="CFF0FC"/>
          </w:tcPr>
          <w:p>
            <w:pPr>
              <w:jc w:val="right"/>
              <w:ind w:right="470"/>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b w:val="1"/>
                <w:bCs w:val="1"/>
                <w:color w:val="auto"/>
              </w:rPr>
              <w:t>87</w:t>
            </w:r>
          </w:p>
        </w:tc>
        <w:tc>
          <w:tcPr>
            <w:tcW w:w="800" w:type="dxa"/>
            <w:vAlign w:val="bottom"/>
            <w:gridSpan w:val="2"/>
            <w:shd w:val="clear" w:color="auto" w:fill="CFF0FC"/>
          </w:tcPr>
          <w:p>
            <w:pPr>
              <w:jc w:val="right"/>
              <w:ind w:right="470"/>
              <w:spacing w:after="0" w:line="203"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b w:val="1"/>
                <w:bCs w:val="1"/>
                <w:color w:val="auto"/>
              </w:rPr>
              <w:t>10</w:t>
            </w:r>
          </w:p>
        </w:tc>
        <w:tc>
          <w:tcPr>
            <w:tcW w:w="760" w:type="dxa"/>
            <w:vAlign w:val="bottom"/>
            <w:gridSpan w:val="2"/>
            <w:shd w:val="clear" w:color="auto" w:fill="CFF0FC"/>
          </w:tcPr>
          <w:p>
            <w:pPr>
              <w:jc w:val="right"/>
              <w:ind w:right="447"/>
              <w:spacing w:after="0" w:line="203"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b w:val="1"/>
                <w:bCs w:val="1"/>
                <w:color w:val="auto"/>
              </w:rPr>
              <w:t>131</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Current period provision</w:t>
            </w: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Write-offs charged against the allowance</w:t>
            </w:r>
          </w:p>
        </w:tc>
        <w:tc>
          <w:tcPr>
            <w:tcW w:w="8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Translation</w:t>
            </w:r>
          </w:p>
        </w:tc>
        <w:tc>
          <w:tcPr>
            <w:tcW w:w="8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8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41</w:t>
            </w: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91</w:t>
            </w: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11</w:t>
            </w:r>
          </w:p>
        </w:tc>
        <w:tc>
          <w:tcPr>
            <w:tcW w:w="1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143</w:t>
            </w: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2020, we adopted an accounting standards update with new guidance requiring a customer in a cloud computing arrangement that is a service contract to follow existing internal-use software guidance to determine which implementation costs to capitalize as an asset. The adoption of this standards update did not impact our consolidated financial statements.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Effective April 1, 2020, we early adopted, as permitted, an accounting standards update with new guidance that changes the accounting for certain income tax transactions. The adoption of this standards update did not have a material impact on our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2020, the Financial Accounting Standards Board issued an accounting standards update which eliminates differences in practice among fair value accounting for investments in equity securities, equity method investments and certain derivative instruments. The new standard is expected to increase comparability of the accounting for these items. The standards update is effective prospectively for fiscal years and interim periods beginning after December 15, 2020, with early adoption permitted. We do not expect the adoption of this standards update to have a material impact on our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carried at cost. All intercompany balances and transactions have been eliminated in consolidation.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within the 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60" w:type="dxa"/>
            <w:vAlign w:val="bottom"/>
          </w:tcPr>
          <w:p>
            <w:pPr>
              <w:spacing w:after="0"/>
              <w:rPr>
                <w:sz w:val="14"/>
                <w:szCs w:val="14"/>
                <w:color w:val="auto"/>
              </w:rPr>
            </w:pPr>
          </w:p>
        </w:tc>
      </w:tr>
      <w:tr>
        <w:trPr>
          <w:trHeight w:val="171"/>
        </w:trPr>
        <w:tc>
          <w:tcPr>
            <w:tcW w:w="70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2019</w:t>
            </w: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917</w:t>
            </w:r>
          </w:p>
        </w:tc>
      </w:tr>
      <w:tr>
        <w:trPr>
          <w:trHeight w:val="229"/>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63</w:t>
            </w: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1,038</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980</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Restricted Cash, which is included in Prepaid Expenses and Other Current Assets in the Consolidated Balance Sheets, primarily represents amounts required to be set aside in connection with accounts receivable factoring programs. The restrictions lapse when cash from factored accounts receivable is remitted to the purchaser of those receivables.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 and Adjustments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disaggregated net sales from contracts with customers by major source: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 June 30, 2020</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46"/>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Europe, Middle East</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and Africa</w:t>
            </w:r>
          </w:p>
        </w:tc>
        <w:tc>
          <w:tcPr>
            <w:tcW w:w="240" w:type="dxa"/>
            <w:vAlign w:val="bottom"/>
          </w:tcPr>
          <w:p>
            <w:pPr>
              <w:spacing w:after="0"/>
              <w:rPr>
                <w:sz w:val="14"/>
                <w:szCs w:val="14"/>
                <w:color w:val="auto"/>
              </w:rPr>
            </w:pPr>
          </w:p>
        </w:tc>
        <w:tc>
          <w:tcPr>
            <w:tcW w:w="1340" w:type="dxa"/>
            <w:vAlign w:val="bottom"/>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6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 sales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835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595</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304</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1,734</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195</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161</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49</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1,134</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676</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334</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2,144</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 June 30, 2019</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6"/>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Europe, Middle East</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and Africa</w:t>
            </w:r>
          </w:p>
        </w:tc>
        <w:tc>
          <w:tcPr>
            <w:tcW w:w="240" w:type="dxa"/>
            <w:vAlign w:val="bottom"/>
          </w:tcPr>
          <w:p>
            <w:pPr>
              <w:spacing w:after="0"/>
              <w:rPr>
                <w:sz w:val="14"/>
                <w:szCs w:val="14"/>
                <w:color w:val="auto"/>
              </w:rPr>
            </w:pPr>
          </w:p>
        </w:tc>
        <w:tc>
          <w:tcPr>
            <w:tcW w:w="1340" w:type="dxa"/>
            <w:vAlign w:val="bottom"/>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6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 sales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1,547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1,035</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472</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3,054</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297</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162</w:t>
            </w: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114</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1,971</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1,141</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3,632</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34"/>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 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46"/>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Europe, Middle East</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and Africa</w:t>
            </w:r>
          </w:p>
        </w:tc>
        <w:tc>
          <w:tcPr>
            <w:tcW w:w="240" w:type="dxa"/>
            <w:vAlign w:val="bottom"/>
          </w:tcPr>
          <w:p>
            <w:pPr>
              <w:spacing w:after="0"/>
              <w:rPr>
                <w:sz w:val="14"/>
                <w:szCs w:val="14"/>
                <w:color w:val="auto"/>
              </w:rPr>
            </w:pPr>
          </w:p>
        </w:tc>
        <w:tc>
          <w:tcPr>
            <w:tcW w:w="1340" w:type="dxa"/>
            <w:vAlign w:val="bottom"/>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6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 sales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2,141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1,499</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647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4,287</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441</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324</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140</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8</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2,807</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1,671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5,200</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 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6"/>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Europe, Middle East</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and Africa</w:t>
            </w:r>
          </w:p>
        </w:tc>
        <w:tc>
          <w:tcPr>
            <w:tcW w:w="240" w:type="dxa"/>
            <w:vAlign w:val="bottom"/>
          </w:tcPr>
          <w:p>
            <w:pPr>
              <w:spacing w:after="0"/>
              <w:rPr>
                <w:sz w:val="14"/>
                <w:szCs w:val="14"/>
                <w:color w:val="auto"/>
              </w:rPr>
            </w:pPr>
          </w:p>
        </w:tc>
        <w:tc>
          <w:tcPr>
            <w:tcW w:w="1340" w:type="dxa"/>
            <w:vAlign w:val="bottom"/>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6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 sales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3,034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2,155</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925</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6,114</w:t>
            </w: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563</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317</w:t>
            </w: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223</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13</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3,847</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ind w:right="36"/>
              <w:spacing w:after="0"/>
              <w:rPr>
                <w:sz w:val="20"/>
                <w:szCs w:val="20"/>
                <w:color w:val="auto"/>
              </w:rPr>
            </w:pPr>
            <w:r>
              <w:rPr>
                <w:rFonts w:ascii="Arial" w:cs="Arial" w:eastAsia="Arial" w:hAnsi="Arial"/>
                <w:sz w:val="18"/>
                <w:szCs w:val="18"/>
                <w:b w:val="1"/>
                <w:bCs w:val="1"/>
                <w:color w:val="auto"/>
              </w:rPr>
              <w:t>2,362</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33"/>
              <w:spacing w:after="0"/>
              <w:rPr>
                <w:sz w:val="20"/>
                <w:szCs w:val="20"/>
                <w:color w:val="auto"/>
              </w:rPr>
            </w:pPr>
            <w:r>
              <w:rPr>
                <w:rFonts w:ascii="Arial" w:cs="Arial" w:eastAsia="Arial" w:hAnsi="Arial"/>
                <w:sz w:val="18"/>
                <w:szCs w:val="18"/>
                <w:b w:val="1"/>
                <w:bCs w:val="1"/>
                <w:color w:val="auto"/>
              </w:rPr>
              <w:t>1,021</w:t>
            </w:r>
          </w:p>
        </w:tc>
        <w:tc>
          <w:tcPr>
            <w:tcW w:w="220" w:type="dxa"/>
            <w:vAlign w:val="bottom"/>
            <w:gridSpan w:val="2"/>
          </w:tcPr>
          <w:p>
            <w:pPr>
              <w:spacing w:after="0"/>
              <w:rPr>
                <w:sz w:val="19"/>
                <w:szCs w:val="19"/>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Pr>
          <w:p>
            <w:pPr>
              <w:jc w:val="right"/>
              <w:ind w:right="53"/>
              <w:spacing w:after="0"/>
              <w:rPr>
                <w:sz w:val="20"/>
                <w:szCs w:val="20"/>
                <w:color w:val="auto"/>
              </w:rPr>
            </w:pPr>
            <w:r>
              <w:rPr>
                <w:rFonts w:ascii="Arial" w:cs="Arial" w:eastAsia="Arial" w:hAnsi="Arial"/>
                <w:sz w:val="18"/>
                <w:szCs w:val="18"/>
                <w:b w:val="1"/>
                <w:bCs w:val="1"/>
                <w:color w:val="auto"/>
              </w:rPr>
              <w:t>7,230</w:t>
            </w: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Tire unit sales consist of consumer, commercial, farm and off-the-road tire sales, including the sale of new Company-branded tires through Company-owned retail channels. Other tire and related sales consist of aviation, race, motorcycle and all-terrain vehicle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$26 million and $23 million at June 30, 2020 and December 31, 2019, respectively. Deferred revenue included in Other Long Term Liabilities in the Consolidated Balance Sheets totaled $26 million and $31 million at June 30, 2020 and December 31, 2019, respectively. We recognize deferred revenue after we have transferred control of the goods or services to the customer and all revenue recognition criteria are met.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balance of deferred revenue related to contracts with customers, and changes during the six months ended June 30, 2020:</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0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30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54</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Revenue deferred during period</w:t>
            </w:r>
          </w:p>
        </w:tc>
        <w:tc>
          <w:tcPr>
            <w:tcW w:w="2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during period</w:t>
            </w:r>
          </w:p>
        </w:tc>
        <w:tc>
          <w:tcPr>
            <w:tcW w:w="2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Impact of foreign currency translation</w:t>
            </w:r>
          </w:p>
        </w:tc>
        <w:tc>
          <w:tcPr>
            <w:tcW w:w="23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23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52</w:t>
            </w:r>
          </w:p>
        </w:tc>
      </w:tr>
      <w:tr>
        <w:trPr>
          <w:trHeight w:val="20"/>
        </w:trPr>
        <w:tc>
          <w:tcPr>
            <w:tcW w:w="5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COSTS ASSOCIATED WITH RATIONALIZATION PROGRAMS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to maintain our global competitiveness, we have implemented rationalization actions over the past several years to reduce high-cost and excess manufacturing capacity and associate headcount.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roll-forward of our liability between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280" w:type="dxa"/>
            <w:vAlign w:val="bottom"/>
          </w:tcPr>
          <w:p>
            <w:pPr>
              <w:jc w:val="right"/>
              <w:ind w:right="79"/>
              <w:spacing w:after="0"/>
              <w:rPr>
                <w:sz w:val="20"/>
                <w:szCs w:val="20"/>
                <w:color w:val="auto"/>
              </w:rPr>
            </w:pPr>
            <w:r>
              <w:rPr>
                <w:rFonts w:ascii="Arial" w:cs="Arial" w:eastAsia="Arial" w:hAnsi="Arial"/>
                <w:sz w:val="14"/>
                <w:szCs w:val="14"/>
                <w:b w:val="1"/>
                <w:bCs w:val="1"/>
                <w:color w:val="auto"/>
              </w:rPr>
              <w:t>Associate-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57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Related Costs</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Other Costs</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Total</w:t>
            </w: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220</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16"/>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220</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2020 Charges</w:t>
            </w:r>
            <w:r>
              <w:rPr>
                <w:rFonts w:ascii="Arial" w:cs="Arial" w:eastAsia="Arial" w:hAnsi="Arial"/>
                <w:sz w:val="15"/>
                <w:szCs w:val="15"/>
                <w:color w:val="auto"/>
              </w:rPr>
              <w:t>(1)</w:t>
            </w:r>
          </w:p>
        </w:tc>
        <w:tc>
          <w:tcPr>
            <w:tcW w:w="128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107</w:t>
            </w:r>
          </w:p>
        </w:tc>
      </w:tr>
      <w:tr>
        <w:trPr>
          <w:trHeight w:val="215"/>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w w:val="98"/>
              </w:rPr>
              <w:t>Incurred, net of foreign currency translation of ($1) million and $0 million,</w:t>
            </w: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respectively</w:t>
            </w:r>
          </w:p>
        </w:tc>
        <w:tc>
          <w:tcPr>
            <w:tcW w:w="128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r>
      <w:tr>
        <w:trPr>
          <w:trHeight w:val="228"/>
        </w:trPr>
        <w:tc>
          <w:tcPr>
            <w:tcW w:w="570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1280" w:type="dxa"/>
            <w:vAlign w:val="bottom"/>
          </w:tcPr>
          <w:p>
            <w:pPr>
              <w:jc w:val="right"/>
              <w:ind w:right="1099"/>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225</w:t>
            </w:r>
          </w:p>
        </w:tc>
        <w:tc>
          <w:tcPr>
            <w:tcW w:w="180" w:type="dxa"/>
            <w:vAlign w:val="bottom"/>
          </w:tcPr>
          <w:p>
            <w:pPr>
              <w:spacing w:after="0"/>
              <w:rPr>
                <w:sz w:val="19"/>
                <w:szCs w:val="19"/>
                <w:color w:val="auto"/>
              </w:rPr>
            </w:pPr>
          </w:p>
        </w:tc>
        <w:tc>
          <w:tcPr>
            <w:tcW w:w="1300" w:type="dxa"/>
            <w:vAlign w:val="bottom"/>
          </w:tcPr>
          <w:p>
            <w:pPr>
              <w:jc w:val="right"/>
              <w:ind w:right="1116"/>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Pr>
          <w:p>
            <w:pPr>
              <w:jc w:val="right"/>
              <w:ind w:right="54"/>
              <w:spacing w:after="0"/>
              <w:rPr>
                <w:sz w:val="20"/>
                <w:szCs w:val="20"/>
                <w:color w:val="auto"/>
              </w:rPr>
            </w:pPr>
            <w:r>
              <w:rPr>
                <w:rFonts w:ascii="Arial" w:cs="Arial" w:eastAsia="Arial" w:hAnsi="Arial"/>
                <w:sz w:val="18"/>
                <w:szCs w:val="18"/>
                <w:b w:val="1"/>
                <w:bCs w:val="1"/>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-2540</wp:posOffset>
            </wp:positionV>
            <wp:extent cx="3514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 w:lineRule="exact"/>
        <w:rPr>
          <w:sz w:val="20"/>
          <w:szCs w:val="20"/>
          <w:color w:val="auto"/>
        </w:rPr>
      </w:pPr>
    </w:p>
    <w:p>
      <w:pPr>
        <w:ind w:left="800" w:hanging="792"/>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Charges of $107 million in 2020 exclude net charges of $1 million for benefit plan curtailments and settlements recorded in Rationalizations in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-302260</wp:posOffset>
            </wp:positionV>
            <wp:extent cx="3514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17, 2020, we reached a tentative bargaining agreement and subsequently approved a plan to permanently close our Gadsden, Alabama manufacturing facility (“Gadsden”) as part of our strategy to strengthen the competitiveness of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manufacturing footprint by curtailing production of tires for declining, less profitable segments of the tire market. The plan, which was approved by the membership of the local union on May 1, 2020, will result in approximately 470 job reductions. We have $51 million accrued related to this plan at June 30, 2020, which is expected to be substantially paid through 2021.</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2019, we approved a plan to modernize two of our tire manufacturing facilities in Germany. We have $96 million accrued related to this plan at June 30, 2020, which is expected to be substantially paid through 2022.</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remainder of the accrual balance at June 30, 2020 is expected to be substantially utilized in the next 12 months and includes $27 million related to the closed Amiens, France manufacturing facility, $16 million related to plans to reduce manufacturing headcount and improve operating efficiency in Europe, Middle East and Africa ("EMEA"), $13 million related to global plans to reduce Selling, Administrative and General Expense (“SAG”) headcount, $9 million related to a plan primarily to offer voluntary buy-outs to certain associates at Gadsden and $4 million related to a plan to reduce manufacturing headcount and improve operating efficiency in Americas.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net rationalization charges included in Income (Loss) before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4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8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Current Year Plans</w:t>
            </w:r>
          </w:p>
        </w:tc>
        <w:tc>
          <w:tcPr>
            <w:tcW w:w="10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Associate Severance and Other Related Costs</w:t>
            </w:r>
          </w:p>
        </w:tc>
        <w:tc>
          <w:tcPr>
            <w:tcW w:w="1800" w:type="dxa"/>
            <w:vAlign w:val="bottom"/>
            <w:gridSpan w:val="2"/>
          </w:tcPr>
          <w:p>
            <w:pPr>
              <w:jc w:val="right"/>
              <w:ind w:right="575"/>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98</w:t>
            </w: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Benefit Plan Termination Benefits</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Exit Costs</w:t>
            </w:r>
          </w:p>
        </w:tc>
        <w:tc>
          <w:tcPr>
            <w:tcW w:w="10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r>
      <w:tr>
        <w:trPr>
          <w:trHeight w:val="223"/>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Current Year Plans - Net Charges</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5"/>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3"/>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73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103</w:t>
            </w:r>
          </w:p>
        </w:tc>
      </w:tr>
      <w:tr>
        <w:trPr>
          <w:trHeight w:val="229"/>
        </w:trPr>
        <w:tc>
          <w:tcPr>
            <w:tcW w:w="5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Prior Year Plans</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Associate Severance and Other Related Costs</w:t>
            </w:r>
          </w:p>
        </w:tc>
        <w:tc>
          <w:tcPr>
            <w:tcW w:w="1800" w:type="dxa"/>
            <w:vAlign w:val="bottom"/>
            <w:gridSpan w:val="2"/>
          </w:tcPr>
          <w:p>
            <w:pPr>
              <w:jc w:val="right"/>
              <w:ind w:right="575"/>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Benefit Plan Termination Benefits</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Exit Costs</w:t>
            </w:r>
          </w:p>
        </w:tc>
        <w:tc>
          <w:tcPr>
            <w:tcW w:w="10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r>
      <w:tr>
        <w:trPr>
          <w:trHeight w:val="223"/>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Prior Year Plans - Net Charges</w:t>
            </w:r>
          </w:p>
        </w:tc>
        <w:tc>
          <w:tcPr>
            <w:tcW w:w="10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35</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w:t>
            </w:r>
          </w:p>
        </w:tc>
      </w:tr>
      <w:tr>
        <w:trPr>
          <w:trHeight w:val="263"/>
        </w:trPr>
        <w:tc>
          <w:tcPr>
            <w:tcW w:w="5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Charges</w:t>
            </w:r>
          </w:p>
        </w:tc>
        <w:tc>
          <w:tcPr>
            <w:tcW w:w="104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108</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w:t>
            </w: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Write-off and Accelerated Depreciation Charges</w:t>
            </w:r>
            <w:r>
              <w:rPr>
                <w:rFonts w:ascii="Arial" w:cs="Arial" w:eastAsia="Arial" w:hAnsi="Arial"/>
                <w:sz w:val="15"/>
                <w:szCs w:val="15"/>
                <w:color w:val="auto"/>
              </w:rPr>
              <w:t>(1)</w:t>
            </w:r>
          </w:p>
        </w:tc>
        <w:tc>
          <w:tcPr>
            <w:tcW w:w="10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7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800" w:hanging="792"/>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write-off and accelerated depreciation charges for the three and six months ended June 30, 2020 are primarily related to the permanent closure of Gadsden.</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Substantially all of the new charges for the three and six months ended June 30, 2020 and 2019 related to future cash outflows. Current year plan charges for the three and six months ended June 30, 2020 primarily related to the permanent closure of Gadsden, including a $5 million termination charge for one of our defined benefit pension plans. Net current year plan charges for the three and six months ended June 30, 2019 included $1 million and $94 million, respectively, related to a plan to modernize two of our tire manufacturing facilities in Germany and $2 million and $9 million, respectively, related to a plan to reduce manufacturing headcount and improve operating efficiency in Americas.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prior year plan charges for the three and six months ended June 30, 2020 included $25 million related to additional termination benefits for associates at the closed Amiens, France manufacturing facility. Refer to Note to the Consolidated Financial Statements No. 14, Commitments and Contingent Liabilities. In addition, net prior year plan charges for the six months ended June 30, 2020 included $6 million related to a plan to modernize two of our tire manufacturing facilities in Germany and $4 million related to a plan primarily to offer voluntary buy-outs to certain associates at Gadsden. Net prior year plan charges for the six months ended June 30, 2020 also included a curtailment credit of $4 million for a postretirement benefit plan related to the exit of employees under an approved rationalization plan. Net prior year plan charges for the three and six months ended June 30, 2019 primarily related to EMEA manufacturing plans. Net prior year plan charges for the six months ended June 30, 2019 also included reversals of $2 million for actions no longer needed for their originally intended purposes.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Ongoing rationalization plans had approximately $930 million in charges incurred prior to 2020 and approximately $100 million is expected to be incurred in future periods.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Approximately 550 associates will be released under new plans initiated in 2020, of which approximately 400 were released through June 30, 2020. In the first six months of 2020, approximately 850 associates were released under plans initiated in prior years. Approximately 750 associates remain to be released under all ongoing rationalization plans.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OTHER (INCOME)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5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r>
      <w:tr>
        <w:trPr>
          <w:trHeight w:val="171"/>
        </w:trPr>
        <w:tc>
          <w:tcPr>
            <w:tcW w:w="55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Non-service related pension and other postretirement benefits cost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Financing fees and financial instruments expense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foreign currency exchange (gains) losses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General and product liability expense - discontinued products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Royalty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Net (gains) losses on asset sales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 (income) expense</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5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17</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61</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39</w:t>
            </w:r>
          </w:p>
        </w:tc>
      </w:tr>
      <w:tr>
        <w:trPr>
          <w:trHeight w:val="20"/>
        </w:trPr>
        <w:tc>
          <w:tcPr>
            <w:tcW w:w="5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For further information, refer to Note to the Consolidated Financial Statements No. 12, Pension, Savings and Other Postretirement Benefit Plans.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Expense also includes financing fees and financial instruments expense which consists of commitment fees and charges incurred in connection with financing transactions; net foreign currency exchange (gains) and losses; general and product liability expense - discontinued products, which consists of charges for claims against us related primarily to asbestos personal injury claims, net of probable insurance recoveries; royalty income which is derived primarily from licensing arrangements; net (gains) and losses on asset sales; and interest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second quarter of 2020, we recorded a tax benefit of $186 million on a loss before income taxes of $889 million. For the first six months of 2020, we recorded tax expense of $63 million on a loss before income taxes of $1,257 million. Income tax expense for the three and six months ended June 30, 2020 includes net discrete charges of $2 million and $293 million, respectively, including the establishment of a $295 million valuation allowance on deferred tax assets for foreign tax credits during the first quarter of 2020 as discussed below.</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second quarter of 2019, we recorded tax expense of $26 million on income before income taxes of $82 million. For the first six months of 2019, we recorded tax expense of $32 million on income before income taxes of $44 million. Income tax expense for the three and six months ended June 30, 2019 includes net discrete charges of $6 million and $13 million, respectively. Net discrete tax charges include a second quarter charge of $6 million related to adjusting our deferred tax assets in Luxembourg for a change in the tax rate and various first quarter net discrete charges of $7 million.</w:t>
      </w:r>
    </w:p>
    <w:p>
      <w:pPr>
        <w:spacing w:after="0" w:line="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record taxes based on overall estimated annual effective tax rates. The difference between our effective tax rate and the U.S. statutory rate of 21% for the three and six months ended June 30, 2020 primarily relates to the discrete items noted above, a first quarter non-cash goodwill impairment charge of $182 million, and forecasted losses for the full year in foreign jurisdictions in which no tax benefits are recorded, which have been accentuated during 2020 by business interruptions resulting from the COVID-19 pandemic. The difference between our effective tax rate and the U.S. statutory rate of 21% for the three and six months ended June 30, 2019 primarily relates to the discrete items noted above and the overall higher effective tax rate in the foreign jurisdictions in which we operate, partially offset by a benefit from our foreign derived intangible income deduction. For further information regarding the non-cash goodwill impairment charge, refer to Note to the Consolidated Financial Statements No. 8, Goodwill and Intangible Assets.</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consider tax planning strategies available to accelerate taxable amounts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we had approximately $1.1 billion of U.S. federal, state and local deferred tax assets, net of valuation allowances totaling $308 million, primarily related to foreign tax credits with limited lives. Approximately $900 million of these U.S. net deferred tax assets have unlimited lives and approximately $200 million have limited lives, substantially all of which expire after 2025. In the U.S., we have cumulative positive profitability in the three-year period ended June 30, 2020; however,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negative evidence of reduced profitability as a result of the continuing business disruption created by the COVID-19 pandemic must be considered in our assessment of our ability to realize our net deferred tax assets. While the disruption to our business is expected to be temporary, there is considerable uncertainty around the extent and duration of that disruption and we are currently expecting to incur a significant U.S. tax loss during the second half of 2020 as a result. Depending upon the magnitude of this loss as well as the continuing duration of pandemic-related disruptions and the timing of the subsequent recovery, a valuation allowance may be required against all of our U.S. net deferred tax assets in a future period.</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June 30, 2020 and December 31, 2019, our U.S. deferred tax assets included approximately $118 million and $403 million of foreign tax credits, net of valuation allowances of $298 million and $3 million, respectively, generated primarily from the receipt of foreign dividends. During the first quarter of 2020, we established a valuation allowance of $295 million against substantially all of these foreign tax credits with expiration dates through 2025. Due to the sudden and sharp decline in industry demand and the temporary suspension of production at our U.S. manufacturing facilities as a result of the COVID-19 pandemic, we expect to incur a significant U.S. tax loss for 2020. As loss carry-forwards must be utilized prior to foreign tax credits in offsetting future income for tax purposes, we concluded that it was no longer more likely than not that we will be able to utilize these foreign tax credits prior to their expiration. Our earnings and forecasts of future profitability along with three significant sources of foreign income provide us sufficient positive evidence that we will be able to utilize our remaining foreign tax credits that expire between 2025 and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evidence to conclude that it is more likely than not that, at June 30, 2020, our U.S. net deferred tax assets, including our foreign tax credits, net of valuation allowances, will be fully utilized.</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2020 and December 31, 2019, we had approximately $1.3 billion and $1.2 billion of foreign deferred tax assets and valuation allowances of $993 million and $969 million,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$893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ending June 30, 2020, changes to our unrecognized tax benefits did not, and for the full year of 2020 are not expected to, have a significant impact on our financial position or results of operations.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the President signed the Coronavirus Aid, Relief, and Economic Security Act (the “CARES Act”), a substantial tax and spending package intended to provide economic stimulus to address the impact of the COVID-19 pandemic. The CARES Act allows corporations with net operating losses generated in 2018, 2019 and 2020 to elect to carryback those losses for a period of five years and relaxes the limitation for business interest deductions for 2019 and 2020. We do not anticipate that these provisions will have a material impact on our operating results. We will, however, benefit from a CARES Act provision that accelerates the ability of corporations to claim a refund of alternative minimum tax credit carryforwards. Under this provision, we anticipate receiving a refund of approximately $5 million during the third quarter of 2020 that would otherwise have been received in two equal annual installments in 2021 and 2022.</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open to examination in the United States for 2019 and in Germany from 2016 onward. Generally, for our remaining tax jurisdictions, years from 2014 onward are still open to examination.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EARNINGS PER SHARE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common share are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9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(loss) per share — basic:</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140"/>
              <w:spacing w:after="0"/>
              <w:rPr>
                <w:sz w:val="20"/>
                <w:szCs w:val="20"/>
                <w:color w:val="auto"/>
              </w:rPr>
            </w:pPr>
            <w:r>
              <w:rPr>
                <w:rFonts w:ascii="Arial" w:cs="Arial" w:eastAsia="Arial" w:hAnsi="Arial"/>
                <w:sz w:val="18"/>
                <w:szCs w:val="18"/>
                <w:color w:val="auto"/>
              </w:rPr>
              <w:t>Goodyear net income (loss)</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3"/>
                <w:szCs w:val="23"/>
                <w:color w:val="auto"/>
              </w:rPr>
            </w:pP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(1,315)</w:t>
            </w:r>
          </w:p>
        </w:tc>
        <w:tc>
          <w:tcPr>
            <w:tcW w:w="14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234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Earnings (loss) per common share — basic</w:t>
            </w: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tcBorders>
              <w:bottom w:val="single" w:sz="8" w:color="CFF0FC"/>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0.23</w:t>
            </w: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w:t>
            </w: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b w:val="1"/>
                <w:bCs w:val="1"/>
                <w:color w:val="auto"/>
              </w:rPr>
              <w:t>Earnings (loss) per share — diluted:</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Goodyear net income (loss)</w:t>
            </w: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Dilutive effect of stock options and other dilutive securities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9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Earnings (loss) per common share — diluted</w:t>
            </w: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1"/>
              </w:rPr>
              <w:t>0.23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Weighted average shares outstanding – diluted for the six months ended June 30, 2019 excludes the dilutive effect of approximately 2 million equivalent shares related primarily to options with exercise prices less than the average market price of our common shares (i.e., “in-the-money” options) as their inclusion would have been anti-dilutive due to the Goodyear net loss. There were no in-the-money options at June 30, 2020. Additionally, weighted average shares outstanding – diluted for the three and six months ended June 30, 2020 excludes approximately 9 million equivalent shares related to options with exercise prices greater than the average market price of our common shares (i.e., "underwater" options). There were approximately 2 million equivalent shares related to underwater options for the three and six months ended June 30,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BUSINESS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3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Americas</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1,971</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2,807</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1,671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Asia Pacific</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520</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Sales</w:t>
            </w:r>
          </w:p>
        </w:tc>
        <w:tc>
          <w:tcPr>
            <w:tcW w:w="1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2,144</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3,632</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5,200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7,230</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Segment Operating Income (Loss):</w:t>
            </w: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1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Asia Pacific</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Segment Operating Income (Loss)</w:t>
            </w:r>
          </w:p>
        </w:tc>
        <w:tc>
          <w:tcPr>
            <w:tcW w:w="13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219</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w:t>
            </w: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Goodwill and Other Asset Impairments (Notes 8 and 9)</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Rationalizations (Note 3)</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(Note 4)</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Asset write-offs and accelerated depreciation (Note 3)</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incentive compensation plans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Retained expenses of divested operations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900" w:type="dxa"/>
            <w:vAlign w:val="bottom"/>
          </w:tcPr>
          <w:p>
            <w:pPr>
              <w:ind w:left="380"/>
              <w:spacing w:after="0"/>
              <w:rPr>
                <w:sz w:val="20"/>
                <w:szCs w:val="20"/>
                <w:color w:val="auto"/>
              </w:rPr>
            </w:pPr>
            <w:r>
              <w:rPr>
                <w:rFonts w:ascii="Arial" w:cs="Arial" w:eastAsia="Arial" w:hAnsi="Arial"/>
                <w:sz w:val="18"/>
                <w:szCs w:val="18"/>
                <w:b w:val="1"/>
                <w:bCs w:val="1"/>
                <w:color w:val="auto"/>
              </w:rPr>
              <w:t>Income (Loss) before Income Taxes</w:t>
            </w:r>
          </w:p>
        </w:tc>
        <w:tc>
          <w:tcPr>
            <w:tcW w:w="1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00" w:type="dxa"/>
            <w:vAlign w:val="bottom"/>
            <w:vMerge w:val="restart"/>
          </w:tcPr>
          <w:p>
            <w:pPr>
              <w:jc w:val="right"/>
              <w:ind w:right="39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and other asset impairments, as described in Note to the Consolidated Financial Statements No. 8, Goodwill and Intangible Assets, and Note to the Consolidated Financial Statements No. 9, Other Assets and Investments; rationalizations, as described in Note to the Consolidated Financial Statements No. 3, Costs Associated with Rationalization Programs; net (gains) losses on asset sales, as described in Note to the Consolidated Financial Statements No. 4, Other (Income) Expense; and asset write-offs and accelerated depreciation were not charged to the strategic business units ("SBUs") for performance evaluation purposes but were attributable to the SBUs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r>
      <w:tr>
        <w:trPr>
          <w:trHeight w:val="171"/>
        </w:trPr>
        <w:tc>
          <w:tcPr>
            <w:tcW w:w="53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9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Goodwill and Other Asset Impairments: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Americas</w:t>
            </w:r>
          </w:p>
        </w:tc>
        <w:tc>
          <w:tcPr>
            <w:tcW w:w="11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63"/>
        </w:trPr>
        <w:tc>
          <w:tcPr>
            <w:tcW w:w="530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Goodwill and Other Asset Impairments</w:t>
            </w:r>
          </w:p>
        </w:tc>
        <w:tc>
          <w:tcPr>
            <w:tcW w:w="9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148</w:t>
            </w: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330</w:t>
            </w:r>
          </w:p>
        </w:tc>
        <w:tc>
          <w:tcPr>
            <w:tcW w:w="1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r>
      <w:tr>
        <w:trPr>
          <w:trHeight w:val="210"/>
        </w:trPr>
        <w:tc>
          <w:tcPr>
            <w:tcW w:w="5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color w:val="auto"/>
              </w:rPr>
              <w:t>Rationalizations: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11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w:t>
            </w:r>
          </w:p>
        </w:tc>
      </w:tr>
      <w:tr>
        <w:trPr>
          <w:trHeight w:val="230"/>
        </w:trPr>
        <w:tc>
          <w:tcPr>
            <w:tcW w:w="53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Europe, Middle East and Africa</w:t>
            </w: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w:t>
            </w:r>
          </w:p>
        </w:tc>
      </w:tr>
      <w:tr>
        <w:trPr>
          <w:trHeight w:val="223"/>
        </w:trPr>
        <w:tc>
          <w:tcPr>
            <w:tcW w:w="53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Rationalizations</w:t>
            </w:r>
          </w:p>
        </w:tc>
        <w:tc>
          <w:tcPr>
            <w:tcW w:w="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99</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108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107</w:t>
            </w:r>
          </w:p>
        </w:tc>
      </w:tr>
      <w:tr>
        <w:trPr>
          <w:trHeight w:val="20"/>
        </w:trPr>
        <w:tc>
          <w:tcPr>
            <w:tcW w:w="5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5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(Gains) Losses on Asset Sales: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11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3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Net (Gains) Losses on Asset Sales</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r>
      <w:tr>
        <w:trPr>
          <w:trHeight w:val="20"/>
        </w:trPr>
        <w:tc>
          <w:tcPr>
            <w:tcW w:w="5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5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 Write-offs and Accelerated Depreciation:</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Americas</w:t>
            </w:r>
          </w:p>
        </w:tc>
        <w:tc>
          <w:tcPr>
            <w:tcW w:w="11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23"/>
        </w:trPr>
        <w:tc>
          <w:tcPr>
            <w:tcW w:w="5300" w:type="dxa"/>
            <w:vAlign w:val="bottom"/>
          </w:tcPr>
          <w:p>
            <w:pPr>
              <w:ind w:left="380"/>
              <w:spacing w:after="0"/>
              <w:rPr>
                <w:sz w:val="20"/>
                <w:szCs w:val="20"/>
                <w:color w:val="auto"/>
              </w:rPr>
            </w:pPr>
            <w:r>
              <w:rPr>
                <w:rFonts w:ascii="Arial" w:cs="Arial" w:eastAsia="Arial" w:hAnsi="Arial"/>
                <w:sz w:val="18"/>
                <w:szCs w:val="18"/>
                <w:b w:val="1"/>
                <w:bCs w:val="1"/>
                <w:color w:val="auto"/>
              </w:rPr>
              <w:t>Total Asset Write-offs and Accelerated Depreciation</w:t>
            </w:r>
          </w:p>
        </w:tc>
        <w:tc>
          <w:tcPr>
            <w:tcW w:w="9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86</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90</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w:t>
            </w:r>
          </w:p>
        </w:tc>
      </w:tr>
      <w:tr>
        <w:trPr>
          <w:trHeight w:val="20"/>
        </w:trPr>
        <w:tc>
          <w:tcPr>
            <w:tcW w:w="5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GOODWILL AND INTANGIBLE ASSETS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Goodwill and intangible assets totaled $383 million and $135 million, respectively, at June 30, 2020, compared to $565 million and $137 million, respectively, at December 31, 2019. Goodwill and intangible assets with indefinite useful lives are tested for impairment annually either on a quantitative or qualitative basis, or more frequently when events or circumstances change that indicate the fair value of the asset may be below its carrying amount. As a result of the continuing COVID-19 pandemic and the resulting decline in the macroeconomic environment, as well as a significant decrease in our market capitalization, we performed a quantitative interim impairment analysis as of March 31, 2020 utilizing a discounted cash flow model.</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the goodwill associated with reporting units in our EMEA, Americas and Asia Pacific segments was $229 million, $91 million and $63 million, respectively.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quarter of 2020, based on the results of our quantitative interim impairment analysis, we recorded a non-cash impairment charge of $182 million related to our EMEA reporting unit. The most critical assumptions used in the calculation of the estimated fair value of our reporting units were the extent and duration of, as well as the timing of the recovery from, the ongoing COVID-19 pandemic, the projected long term operating margin and the discount rate. Since the date of our previous annual quantitative goodwill impairment assessment, the overall discount rate had increased, reflecting an increase in the risk premium components of the rate partially offset by a decrease in the risk-free interest rate component as a result of the macroeconomic environment. Also, we gave consideration to the expected near-term negative cash flow impact of the COVID-19 pandemic and subsequent recovery, based on our forecasts at that time, as well as a decrease in our market capitalization.</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Since the first quarter of 2020, our forecasts as well as our market capitalization have both improved. Thus, we concluded, on a qualitative basis, that it was not more likely than not that the carrying values of our reporting units were less than their fair values during the second quarter of 2020. Nonetheless, if we make future adverse revisions to our significant assumptions, including as a result of business performance or market conditions, or if our market capitalization declines and if such a decline becomes indicative that the fair value of our reporting units has declined below their carrying values, we may need to record a material, non-cash goodwill impairment charge in a future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with indefinite lives totaled $118 million at both June 30, 2020 and December 31, 2019. We also conducted a qualitative assessment of our intangible assets with indefinite lives as of June 30, 2020, which indicated no impairment existed.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OTHER ASSETS AND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 TireHub, LLC</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value of our investment in TireHub, LLC (“TireHub”), a distribution joint venture in the U.S., was $88 million and $262 million at June 30, 2020 and December 31, 2019, respectively, and was included in Other Assets on our Consolidated Balance Sheets. In addition, we have an outstanding loan receivable from TireHub of $36 million at June 30, 2020 which is also included in Other Assets on our Consolidated Balance Sheet. Our investment in TireHub is accounted for under the equity method of accounting and, as such, includes our 50% share of the net losses of TireHub, which totaled $14 million and $26 million for the three and six months ended June 30, 2020, respectively, and $15 million and $25 million for the three and six months ended June 30, 2019, respectively.</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regularly review our investment in TireHub for potential impairment and will recognize an impairment charge if the estimated fair value of our investment declines below its recorded amount and such decline is determined to be other-than-temporary. The most critical assumptions used in our discounted cash flow model for estimating the fair value of our investment during the second quarter of 2020 were forecasted tire unit volume for TireHub, including the extent and duration of, as well as the timing of the recovery from, the ongoing impacts of the COVID-19 pandemic, and the discount rate.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TireHub joint venture was initially formed during the second quarter of 2018 and, as previously disclosed, its net losses included higher than expected start-up expenses and additional costs incurred to build out TireHub’s distribution footprint for future growth. These additional costs as well as TireHub’s net losses were expected to moderate in 2020. However, higher than expected net losses for TireHub continued into 2020, driven by the impacts of the COVID-19 pandemic.</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severe macroeconomic impacts of the COVID-19 pandemic that began in the U.S. in March 2020 persisted during the second quarter of 2020, driving significant net losses for TireHub during the first half of the year. As a result, we evaluated our investment and concluded that there has now been an other-than-temporary decline in the fair value of our investment. We conducted an impairment assessment and estimated the fair value of our investment utilizing current forecasts of TireHub’s tire unit volume, revised expectations as to the extent and duration of, as well as the timing of the recovery from, the COVID-19 pandemic and an updated discount rate reflective of current market conditions. As a result, during the second quarter of 2020, we recognized a non-cash impairment charge of $148 million.</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remains a high degree of uncertainty as to the extent and duration of, and timing of the subsequent recovery from, the COVID-19 pandemic. If we make future adverse revisions to these or our other significant assumptions, including as a result of business performance or market conditions, we may need to record an additional material, non-cash impairment charge in a future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Assets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Assets at June 30, 2020 included a $30 million trade receivable from a customer that was refinanced into a collateral-backed note receivable in the second quarter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FINANCING ARRANGEMENTS AND DERIVATIVE FINANCIAL INSTRUMENTS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we had total credit arrangements of $9,751 million, of which $2,938 million were unused. At that date, 30% of our debt was at variable interest rates averaging 3.03%.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Notes Payable and Overdrafts, Long Term Debt and Finance Leases due Within One Year and Short Term Financing Arrangements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June 30, 2020, we had short term committed and uncommitted credit arrangements totaling $965 million, of which $236 million were unused. These arrangements are available primarily to certain of our foreign subsidiaries through various banks at quoted market interest rates.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due within one year: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right"/>
              <w:ind w:right="6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9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Chinese credit facilities</w:t>
            </w:r>
          </w:p>
        </w:tc>
        <w:tc>
          <w:tcPr>
            <w:tcW w:w="1320" w:type="dxa"/>
            <w:vAlign w:val="bottom"/>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domestic and foreign debt</w:t>
            </w: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Notes Payable and Overdrafts</w:t>
            </w:r>
          </w:p>
        </w:tc>
        <w:tc>
          <w:tcPr>
            <w:tcW w:w="1320" w:type="dxa"/>
            <w:vAlign w:val="bottom"/>
            <w:tcBorders>
              <w:bottom w:val="single" w:sz="8" w:color="auto"/>
            </w:tcBorders>
            <w:shd w:val="clear" w:color="auto" w:fill="CFF0FC"/>
          </w:tcPr>
          <w:p>
            <w:pPr>
              <w:jc w:val="right"/>
              <w:ind w:right="1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712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b w:val="1"/>
                <w:bCs w:val="1"/>
                <w:color w:val="auto"/>
              </w:rPr>
              <w:t>348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40"/>
              <w:spacing w:after="0"/>
              <w:rPr>
                <w:sz w:val="20"/>
                <w:szCs w:val="20"/>
                <w:color w:val="auto"/>
              </w:rPr>
            </w:pPr>
            <w:r>
              <w:rPr>
                <w:rFonts w:ascii="Arial" w:cs="Arial" w:eastAsia="Arial" w:hAnsi="Arial"/>
                <w:sz w:val="18"/>
                <w:szCs w:val="18"/>
                <w:color w:val="auto"/>
              </w:rPr>
              <w:t>Weighted average interest rate</w:t>
            </w: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Chinese credit facilities</w:t>
            </w:r>
          </w:p>
        </w:tc>
        <w:tc>
          <w:tcPr>
            <w:tcW w:w="1320" w:type="dxa"/>
            <w:vAlign w:val="bottom"/>
          </w:tcPr>
          <w:p>
            <w:pPr>
              <w:jc w:val="right"/>
              <w:ind w:right="11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8.75% due 2020</w:t>
            </w:r>
          </w:p>
        </w:tc>
        <w:tc>
          <w:tcPr>
            <w:tcW w:w="1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domestic and foreign debt (including finance leases)</w:t>
            </w: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Long Term Debt and Finance Leases due Within One Year</w:t>
            </w:r>
          </w:p>
        </w:tc>
        <w:tc>
          <w:tcPr>
            <w:tcW w:w="1320" w:type="dxa"/>
            <w:vAlign w:val="bottom"/>
            <w:tcBorders>
              <w:bottom w:val="single" w:sz="8" w:color="auto"/>
            </w:tcBorders>
            <w:shd w:val="clear" w:color="auto" w:fill="CFF0FC"/>
          </w:tcPr>
          <w:p>
            <w:pPr>
              <w:jc w:val="right"/>
              <w:ind w:right="1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581</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b w:val="1"/>
                <w:bCs w:val="1"/>
                <w:color w:val="auto"/>
              </w:rPr>
              <w:t>562</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40"/>
              <w:spacing w:after="0"/>
              <w:rPr>
                <w:sz w:val="20"/>
                <w:szCs w:val="20"/>
                <w:color w:val="auto"/>
              </w:rPr>
            </w:pPr>
            <w:r>
              <w:rPr>
                <w:rFonts w:ascii="Arial" w:cs="Arial" w:eastAsia="Arial" w:hAnsi="Arial"/>
                <w:sz w:val="18"/>
                <w:szCs w:val="18"/>
                <w:color w:val="auto"/>
              </w:rPr>
              <w:t>Weighted average interest rate</w:t>
            </w: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FF0FC"/>
            </w:tcBorders>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obligations due within one year</w:t>
            </w:r>
          </w:p>
        </w:tc>
        <w:tc>
          <w:tcPr>
            <w:tcW w:w="1320" w:type="dxa"/>
            <w:vAlign w:val="bottom"/>
            <w:tcBorders>
              <w:bottom w:val="single" w:sz="8" w:color="auto"/>
            </w:tcBorders>
            <w:shd w:val="clear" w:color="auto" w:fill="CFF0FC"/>
          </w:tcPr>
          <w:p>
            <w:pPr>
              <w:jc w:val="right"/>
              <w:ind w:right="1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1,293</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b w:val="1"/>
                <w:bCs w:val="1"/>
                <w:color w:val="auto"/>
              </w:rPr>
              <w:t>910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 Term Debt and Finance Leases and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we had long term credit arrangements totaling $8,786 million, of which $2,702 million were unused.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long term debt and finance leases, net of unamortized discounts, and interest rates: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June 30, 2020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w w:val="90"/>
              </w:rPr>
              <w:t>December 31, 2019</w:t>
            </w:r>
          </w:p>
        </w:tc>
        <w:tc>
          <w:tcPr>
            <w:tcW w:w="1120" w:type="dxa"/>
            <w:vAlign w:val="bottom"/>
            <w:tcBorders>
              <w:bottom w:val="single" w:sz="8" w:color="auto"/>
            </w:tcBorders>
          </w:tcPr>
          <w:p>
            <w:pPr>
              <w:spacing w:after="0"/>
              <w:rPr>
                <w:sz w:val="14"/>
                <w:szCs w:val="14"/>
                <w:color w:val="auto"/>
              </w:rPr>
            </w:pPr>
          </w:p>
        </w:tc>
      </w:tr>
      <w:tr>
        <w:trPr>
          <w:trHeight w:val="146"/>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left="288"/>
              <w:spacing w:after="0" w:line="147" w:lineRule="exact"/>
              <w:rPr>
                <w:sz w:val="20"/>
                <w:szCs w:val="20"/>
                <w:color w:val="auto"/>
              </w:rPr>
            </w:pPr>
            <w:r>
              <w:rPr>
                <w:rFonts w:ascii="Arial" w:cs="Arial" w:eastAsia="Arial" w:hAnsi="Arial"/>
                <w:sz w:val="14"/>
                <w:szCs w:val="14"/>
                <w:b w:val="1"/>
                <w:bCs w:val="1"/>
                <w:color w:val="auto"/>
                <w:w w:val="94"/>
              </w:rPr>
              <w:t>Interest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554"/>
              <w:spacing w:after="0" w:line="147" w:lineRule="exact"/>
              <w:rPr>
                <w:sz w:val="20"/>
                <w:szCs w:val="20"/>
                <w:color w:val="auto"/>
              </w:rPr>
            </w:pPr>
            <w:r>
              <w:rPr>
                <w:rFonts w:ascii="Arial" w:cs="Arial" w:eastAsia="Arial" w:hAnsi="Arial"/>
                <w:sz w:val="14"/>
                <w:szCs w:val="14"/>
                <w:b w:val="1"/>
                <w:bCs w:val="1"/>
                <w:color w:val="auto"/>
                <w:w w:val="90"/>
              </w:rPr>
              <w:t>Interest</w:t>
            </w:r>
          </w:p>
        </w:tc>
      </w:tr>
      <w:tr>
        <w:trPr>
          <w:trHeight w:val="171"/>
        </w:trPr>
        <w:tc>
          <w:tcPr>
            <w:tcW w:w="46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8"/>
              </w:rPr>
              <w:t>Rate</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Rate</w:t>
            </w: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Notes: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8.75% due 2020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gridSpan w:val="3"/>
          </w:tcPr>
          <w:p>
            <w:pPr>
              <w:jc w:val="right"/>
              <w:ind w:right="76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5.125% due 2023</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3.75% Euro Notes due 2023</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9.5% due 2025</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5% due 2026</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4.875% due 2027</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7% due 2028</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Credit Facilities: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First lien revolving credit facility due 2025</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gridSpan w:val="3"/>
          </w:tcPr>
          <w:p>
            <w:pPr>
              <w:jc w:val="right"/>
              <w:ind w:right="1208"/>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1222"/>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Second lien term loan facility due 2025</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European revolving credit facility due 2024</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Pan-European accounts receivable facility</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Mexican credit facility</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Chinese credit facilities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foreign and domestic debt</w:t>
            </w: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857</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661</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4.02%</w:t>
            </w:r>
          </w:p>
        </w:tc>
      </w:tr>
      <w:tr>
        <w:trPr>
          <w:trHeight w:val="223"/>
        </w:trPr>
        <w:tc>
          <w:tcPr>
            <w:tcW w:w="4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8"/>
              </w:rPr>
              <w:t>6,058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5,094</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Unamortized deferred financing fees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r>
      <w:tr>
        <w:trPr>
          <w:trHeight w:val="223"/>
        </w:trPr>
        <w:tc>
          <w:tcPr>
            <w:tcW w:w="4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8"/>
              </w:rPr>
              <w:t>6,023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5,066</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15"/>
                <w:szCs w:val="15"/>
                <w:color w:val="auto"/>
              </w:rPr>
              <w:t>(2)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r>
      <w:tr>
        <w:trPr>
          <w:trHeight w:val="223"/>
        </w:trPr>
        <w:tc>
          <w:tcPr>
            <w:tcW w:w="4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8"/>
              </w:rPr>
              <w:t>6,269</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5,315</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portion due within one year</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w w:val="88"/>
              </w:rPr>
              <w:t>5,688</w:t>
            </w:r>
          </w:p>
        </w:tc>
        <w:tc>
          <w:tcPr>
            <w:tcW w:w="1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88"/>
              </w:rPr>
              <w:t>4,753</w:t>
            </w:r>
          </w:p>
        </w:tc>
        <w:tc>
          <w:tcPr>
            <w:tcW w:w="1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40"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 are weighted average interest rates related to various foreign credit facilities with customary terms and conditions.</w:t>
      </w:r>
    </w:p>
    <w:p>
      <w:pPr>
        <w:spacing w:after="0" w:line="23" w:lineRule="exact"/>
        <w:rPr>
          <w:rFonts w:ascii="Arial" w:cs="Arial" w:eastAsia="Arial" w:hAnsi="Arial"/>
          <w:sz w:val="18"/>
          <w:szCs w:val="18"/>
          <w:color w:val="auto"/>
        </w:rPr>
      </w:pPr>
    </w:p>
    <w:p>
      <w:pPr>
        <w:ind w:left="800" w:hanging="79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non-cash financing additions of $2 million during the six month period ended June 30,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we had $4,115 million of outstanding notes, compared to $3,311 million at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9.5% Senior Notes due 2025</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May 18, 2020, we issued $600 million in aggregate principal amount of 9.5% senior notes due 2025. These notes were sold at 100% of the principal amount and will mature on May 31, 2025. On May 22, 2020, we issued $200 million in aggregate principal amount of additional notes, which were sold at 101.75% of the principal amount at an effective yield of 9.056%. These notes are</w:t>
      </w:r>
    </w:p>
    <w:p>
      <w:pPr>
        <w:sectPr>
          <w:pgSz w:w="11900" w:h="16838" w:orient="portrait"/>
          <w:cols w:equalWidth="0" w:num="1">
            <w:col w:w="11240"/>
          </w:cols>
          <w:pgMar w:left="320" w:top="233"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unsecured senior obligations and are guaranteed by our U.S. and Canadian subsidiaries that also guarantee our obligations under our U.S. senior secured credit facilities described below.</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the option to redeem these notes, in whole or in part, at any time on or after May 31, 2022 at a redemption price of 104.75%, 102.375% and 100% during the 12-month periods commencing on May 31, 2022, 2023 and 2024 and thereafter, respectively, plus accrued and unpaid interest to the redemption date. Prior to May 31, 2022, we may redeem these notes, in whole or in part, at a redemption price equal to 100% of the principal amount plus a make-whole premium and accrued and unpaid interest to the redemption date. In addition, prior to May 31, 2022, we may redeem up to 35% of the original aggregate principal amount of these notes from the net cash proceeds of certain equity offerings at a redemption price equal to 109.5% of the principal amount plus accrued and unpaid interest to the redemption date.</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terms of the indenture for these notes, among other things, limit the ability of the Company and certain of its subsidiaries to (i) incur additional debt or issue redeemable preferred stock, (ii) pay dividends, repurchase shares or make certain other restricted payments or investments, (iii) incur liens, (iv) sell assets, (v) 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For example, if these notes are assigned an investment grade rating by at least two of Moody's, Standard and Poor's and Fitch and no default has occurred and is continuing, certain covenants will be suspended and we may elect to suspend the subsidiary guarantees. The indenture has customary defaults, including a cross-default to material indebtedness of Goodyear and our subsidiaries.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 billion Amended and Restated First Lien Revolving Credit Facility due 2025</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9, 2020, we amended and restated our $2.0 billion first lien revolving credit facility. Changes to the facility include extending the maturity to April 9, 2025 and increasing the borrowing base for the facility by increasing the amount attributable to the value of our principal trademarks by $100 million and adding the value of eligible machinery and equipment. The interest rate for loans under the facility increased by 50 basis points to LIBOR plus 175 basis points, based on our current liquidity as described below, and undrawn amounts under the facility will be subject to an annual commitment fee of 25 basis points.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 Our obligations under the facility are guaranteed by most of our wholly-owned U.S. and Canadian subsidiaries. Our obligations under the facility and our subsidiaries' obligations under the related guarantees are secured by first priority security interests in a variety of collateral.</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$200 million. To the extent that our eligible accounts receivable and inventory and other components of the borrowing base decline in value, our borrowing base will decrease and the availability under the facility may decrease below $2.0 billion. As of June 30, 2020, our borrowing base, and therefore our availability, under this facility was $331 million below the facility's stated amount of $2.0 billion.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2019. The facility also has customary defaults, including a cross-default to material indebtedness of Goodyear and our subsidiaries.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Available Cash (as defined in the facility) plus the availability under the facility is greater than $750 million, amounts drawn under the facility will bear interest, at our option, at (i) 175 basis points over LIBOR or (ii) 75 basis points over an alternative base rate (the higher of (a) the prime rate, (b) the federal funds effective rate or the overnight bank funding rate plus 50 basis points or (c) LIBOR plus 100 basis points). If Available Cash plus the availability under the facility is equal to or less than $750 million, then amounts drawn under the facility will bear interest, at our option, at (i) 200 basis points over LIBOR or (ii) 100 basis points over an alternative base rate.</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we had no borrowings and $17 million of letters of credit issued under the revolving credit facility. At December 31, 2019, we had no borrowings and $37 million of letters of credit issued under the revolving credit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obligations under our second lien term loan facility are guaranteed by most of our wholly-owned U.S. and Canadian subsidiaries and are secured by second priority security interests in the same collateral securing the $2.0 billion first lien revolving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and December 31, 2019, the amounts outstanding under this facility were $400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w:t>
      </w:r>
      <w:r>
        <w:rPr>
          <w:rFonts w:ascii="Arial" w:cs="Arial" w:eastAsia="Arial" w:hAnsi="Arial"/>
          <w:sz w:val="18"/>
          <w:szCs w:val="18"/>
          <w:i w:val="1"/>
          <w:iCs w:val="1"/>
          <w:color w:val="auto"/>
        </w:rPr>
        <w:t>24</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Dunlop Tires Germany GmbH (“GDTG”) and (ii) a €620 million all-borrower tranche that is available to Goodyear Europe B.V.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senior secured credit facilities described above also provide unsecured guarantees in support of the facility.</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2018. The facility also has customary defaults, including a cross-default to material indebtedness of Goodyear and our subsidiaries.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there were no borrowings outstanding under the German tranche, $135 million (€120 million) of borrowings outstanding under the all-borrower tranche and no letters of credit outstanding under the European revolving credit facility. At December 31, 2019, there were no borrowings and no letters of credit outstanding under the European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18, 2018 through October 15, 2020, the designated maximum amount of the facility is €320 million.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15, 2020.</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the amounts available and utilized under this program totaled $157 million (€140 million). At December 31, 2019, the amounts available and utilized under this program totaled $327 million (€291 million). The program does not qualify for sale accounting, and accordingly, these amounts are included in Long Term Debt and Finance Leases.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description of the collateral securing the credit facilities described above as well as the covenants applicable to them, refer to Note to the Consolidated Financial Statements No. 15, Financing Arrangements and Derivative Financial Instruments, in our 2019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June 30, 2020, the gross amount of receivables sold was $349 million, compared to $548 million at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Foreign Credit Facilities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Mexican subsidiary and a U.S. subsidiary have a revolving credit facility in Mexico. At June 30, 2020 and December 31, 2019, the amounts available and utilized under this facility were $200 million. The facility ultimately matures in 2022, has covenants relating to the Mexican and U.S. subsidiary, and has customary representations and warranties and default provisions relating to the Mexican and U.S. subsidiary’s ability to perform its respective obligations under the facility.</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Chinese subsidiary has several financing arrangements in China. At June 30, 2020 and December 31, 2019, the amounts available under these facilities were $825 million and $735 million, respectively. At June 30, 2020, the amount utilized under these facilities was $447 million, of which $253 million represented notes payable and $194 million represented long term debt. At June 30, 2020, $40 million of the long term debt was due within a year. At December 31, 2019, the amount utilized under these facilities was $313 million, of which $118 million represented notes payable and $195 million represented long term debt. At December 31, 2019, $95 million of the long term debt was due within a year. The facilities contain covenants relating to the Chinese subsidiary and have customary representations and warranties and defaults relating to the Chinese subsidiary’s ability to perform its obligations under the facilities. Certain of the facilities can only be used to finance the expansion of our manufacturing facility in China and, at June 30, 2020 and December 31, 2019, the unused amounts available under these facilities were $107 million and $106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fair values for foreign currency hedge contracts that do not meet the criteria to be accounted for as cash flow hedging instruments: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79"/>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0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4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839"/>
              <w:spacing w:after="0"/>
              <w:rPr>
                <w:sz w:val="20"/>
                <w:szCs w:val="20"/>
                <w:color w:val="auto"/>
              </w:rPr>
            </w:pPr>
            <w:r>
              <w:rPr>
                <w:rFonts w:ascii="Arial" w:cs="Arial" w:eastAsia="Arial" w:hAnsi="Arial"/>
                <w:sz w:val="14"/>
                <w:szCs w:val="14"/>
                <w:b w:val="1"/>
                <w:bCs w:val="1"/>
                <w:color w:val="auto"/>
              </w:rPr>
              <w:t>2019</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Values — Current asset (liability):</w:t>
            </w:r>
          </w:p>
        </w:tc>
        <w:tc>
          <w:tcPr>
            <w:tcW w:w="20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440" w:type="dxa"/>
            <w:vAlign w:val="bottom"/>
            <w:gridSpan w:val="2"/>
          </w:tcPr>
          <w:p>
            <w:pPr>
              <w:jc w:val="right"/>
              <w:ind w:right="124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9"/>
              <w:spacing w:after="0"/>
              <w:rPr>
                <w:sz w:val="20"/>
                <w:szCs w:val="20"/>
                <w:color w:val="auto"/>
              </w:rPr>
            </w:pPr>
            <w:r>
              <w:rPr>
                <w:rFonts w:ascii="Arial" w:cs="Arial" w:eastAsia="Arial" w:hAnsi="Arial"/>
                <w:sz w:val="18"/>
                <w:szCs w:val="18"/>
                <w:color w:val="auto"/>
              </w:rPr>
              <w:t>1</w:t>
            </w: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liabilities</w:t>
            </w:r>
          </w:p>
        </w:tc>
        <w:tc>
          <w:tcPr>
            <w:tcW w:w="20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June 30, 2020 and December 31, 2019, these outstanding foreign currency derivatives had notional amounts of $2,096 million and $1,707 million, respectively, and were primarily related to intercompany loans. Other (Income) Expense included net transaction losses on derivatives of $41 million and $3 million for the three and six months ended June 30, 2020, respectively. Other (Income) Expense included transaction losses on derivatives of $6 million and net transaction gains of $9 million for the three and six months ended June 30, 2019, respectively. These amounts were substantially offset in Other (Income) Expense by the effect of changing exchange rates on the underlying currency exposures.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values for foreign currency hedge contracts that meet the criteria to be accounted for as cash flow hedging instruments: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7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3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1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836"/>
              <w:spacing w:after="0"/>
              <w:rPr>
                <w:sz w:val="20"/>
                <w:szCs w:val="20"/>
                <w:color w:val="auto"/>
              </w:rPr>
            </w:pPr>
            <w:r>
              <w:rPr>
                <w:rFonts w:ascii="Arial" w:cs="Arial" w:eastAsia="Arial" w:hAnsi="Arial"/>
                <w:sz w:val="14"/>
                <w:szCs w:val="14"/>
                <w:b w:val="1"/>
                <w:bCs w:val="1"/>
                <w:color w:val="auto"/>
              </w:rPr>
              <w:t>2019</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Values — Current asset (liability):</w:t>
            </w:r>
          </w:p>
        </w:tc>
        <w:tc>
          <w:tcPr>
            <w:tcW w:w="27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160" w:type="dxa"/>
            <w:vAlign w:val="bottom"/>
            <w:gridSpan w:val="2"/>
          </w:tcPr>
          <w:p>
            <w:pPr>
              <w:jc w:val="right"/>
              <w:ind w:right="12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6"/>
              <w:spacing w:after="0"/>
              <w:rPr>
                <w:sz w:val="20"/>
                <w:szCs w:val="20"/>
                <w:color w:val="auto"/>
              </w:rPr>
            </w:pPr>
            <w:r>
              <w:rPr>
                <w:rFonts w:ascii="Arial" w:cs="Arial" w:eastAsia="Arial" w:hAnsi="Arial"/>
                <w:sz w:val="18"/>
                <w:szCs w:val="18"/>
                <w:color w:val="auto"/>
              </w:rPr>
              <w:t>9</w:t>
            </w:r>
          </w:p>
        </w:tc>
      </w:tr>
      <w:tr>
        <w:trPr>
          <w:trHeight w:val="230"/>
        </w:trPr>
        <w:tc>
          <w:tcPr>
            <w:tcW w:w="4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liabilities</w:t>
            </w:r>
          </w:p>
        </w:tc>
        <w:tc>
          <w:tcPr>
            <w:tcW w:w="27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360" w:type="dxa"/>
            <w:vAlign w:val="bottom"/>
          </w:tcPr>
          <w:p>
            <w:pPr>
              <w:spacing w:after="0"/>
              <w:rPr>
                <w:sz w:val="20"/>
                <w:szCs w:val="20"/>
                <w:color w:val="auto"/>
              </w:rPr>
            </w:pPr>
            <w:r>
              <w:rPr>
                <w:rFonts w:ascii="Arial" w:cs="Arial" w:eastAsia="Arial" w:hAnsi="Arial"/>
                <w:sz w:val="18"/>
                <w:szCs w:val="18"/>
                <w:b w:val="1"/>
                <w:bCs w:val="1"/>
                <w:color w:val="auto"/>
              </w:rPr>
              <w:t>Fair Values — Long term asset (liability):</w:t>
            </w:r>
          </w:p>
        </w:tc>
        <w:tc>
          <w:tcPr>
            <w:tcW w:w="2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assets</w:t>
            </w:r>
          </w:p>
        </w:tc>
        <w:tc>
          <w:tcPr>
            <w:tcW w:w="4160" w:type="dxa"/>
            <w:vAlign w:val="bottom"/>
            <w:gridSpan w:val="2"/>
            <w:shd w:val="clear" w:color="auto" w:fill="CFF0FC"/>
          </w:tcPr>
          <w:p>
            <w:pPr>
              <w:jc w:val="right"/>
              <w:ind w:right="12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Other long term liabilities</w:t>
            </w:r>
          </w:p>
        </w:tc>
        <w:tc>
          <w:tcPr>
            <w:tcW w:w="2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1"/>
        </w:trPr>
        <w:tc>
          <w:tcPr>
            <w:tcW w:w="4360" w:type="dxa"/>
            <w:vAlign w:val="bottom"/>
          </w:tcPr>
          <w:p>
            <w:pPr>
              <w:spacing w:after="0"/>
              <w:rPr>
                <w:sz w:val="24"/>
                <w:szCs w:val="24"/>
                <w:color w:val="auto"/>
              </w:rPr>
            </w:pPr>
          </w:p>
        </w:tc>
        <w:tc>
          <w:tcPr>
            <w:tcW w:w="2700" w:type="dxa"/>
            <w:vAlign w:val="bottom"/>
          </w:tcPr>
          <w:p>
            <w:pPr>
              <w:jc w:val="right"/>
              <w:ind w:right="1255"/>
              <w:spacing w:after="0"/>
              <w:rPr>
                <w:sz w:val="20"/>
                <w:szCs w:val="20"/>
                <w:color w:val="auto"/>
              </w:rPr>
            </w:pPr>
            <w:r>
              <w:rPr>
                <w:rFonts w:ascii="Arial" w:cs="Arial" w:eastAsia="Arial" w:hAnsi="Arial"/>
                <w:sz w:val="18"/>
                <w:szCs w:val="18"/>
                <w:color w:val="auto"/>
              </w:rPr>
              <w:t>19</w:t>
            </w: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and December 31, 2019, these outstanding foreign currency derivatives had notional amounts of $46 million and $365 million, respectively, and primarily related to U.S. dollar denominated intercompany transactions. Based on our current forecasts, including the expected impacts of the COVID-19 pandemic, we believe that it is probable that the underlying hedge transactions will occur within an appropriate time frame in order to continue to qualify for cash flow hedge accounting treatment.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classification of changes in fair values of foreign currency hedge contracts that meet the criteria to be accounted for as cash flow hedging instruments (before tax and minority):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center"/>
              <w:ind w:right="296"/>
              <w:spacing w:after="0"/>
              <w:rPr>
                <w:sz w:val="20"/>
                <w:szCs w:val="20"/>
                <w:color w:val="auto"/>
              </w:rPr>
            </w:pPr>
            <w:r>
              <w:rPr>
                <w:rFonts w:ascii="Arial" w:cs="Arial" w:eastAsia="Arial" w:hAnsi="Arial"/>
                <w:sz w:val="14"/>
                <w:szCs w:val="14"/>
                <w:b w:val="1"/>
                <w:bCs w:val="1"/>
                <w:color w:val="auto"/>
                <w:w w:val="93"/>
              </w:rPr>
              <w:t>Six Months Ended</w:t>
            </w:r>
          </w:p>
        </w:tc>
      </w:t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Pr>
          <w:p>
            <w:pPr>
              <w:spacing w:after="0"/>
              <w:rPr>
                <w:sz w:val="14"/>
                <w:szCs w:val="14"/>
                <w:color w:val="auto"/>
              </w:rPr>
            </w:pPr>
          </w:p>
        </w:tc>
      </w:tr>
      <w:tr>
        <w:trPr>
          <w:trHeight w:val="171"/>
        </w:trPr>
        <w:tc>
          <w:tcPr>
            <w:tcW w:w="62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0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w w:val="99"/>
              </w:rPr>
              <w:t>Amount of gains (losses) deferred to Accumulated Other Comprehensive Loss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("AOCL")</w:t>
            </w:r>
            <w:r>
              <w:rPr>
                <w:rFonts w:ascii="Arial" w:cs="Arial" w:eastAsia="Arial" w:hAnsi="Arial"/>
                <w:sz w:val="15"/>
                <w:szCs w:val="15"/>
                <w:color w:val="auto"/>
              </w:rPr>
              <w:t>(1)</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w:t>
            </w:r>
          </w:p>
        </w:tc>
      </w:tr>
      <w:tr>
        <w:trPr>
          <w:trHeight w:val="215"/>
        </w:trPr>
        <w:tc>
          <w:tcPr>
            <w:tcW w:w="6200" w:type="dxa"/>
            <w:vAlign w:val="bottom"/>
          </w:tcPr>
          <w:p>
            <w:pPr>
              <w:spacing w:after="0"/>
              <w:rPr>
                <w:sz w:val="20"/>
                <w:szCs w:val="20"/>
                <w:color w:val="auto"/>
              </w:rPr>
            </w:pPr>
            <w:r>
              <w:rPr>
                <w:rFonts w:ascii="Arial" w:cs="Arial" w:eastAsia="Arial" w:hAnsi="Arial"/>
                <w:sz w:val="18"/>
                <w:szCs w:val="18"/>
                <w:color w:val="auto"/>
              </w:rPr>
              <w:t>Reclassification adjustment for amounts recognized in Cost of Goods Sold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("CGS")</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94" w:lineRule="exact"/>
        <w:rPr>
          <w:sz w:val="20"/>
          <w:szCs w:val="20"/>
          <w:color w:val="auto"/>
        </w:rPr>
      </w:pPr>
    </w:p>
    <w:p>
      <w:pPr>
        <w:ind w:left="800" w:right="20" w:hanging="79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Excluded components deferred to AOCL and excluded components reclassified from AOCL to CGS for the three and six months ended June 30, 2020 and 2019 were not material.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net amount of deferred gains at June 30, 2020 that are expected to be reclassified to earnings within the next twelve months is $11 million.</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assets and liabilities recorded at fair value on the Consolidated Balance Sheets at June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Total Carrying Value</w:t>
            </w:r>
          </w:p>
        </w:tc>
        <w:tc>
          <w:tcPr>
            <w:tcW w:w="120" w:type="dxa"/>
            <w:vAlign w:val="bottom"/>
          </w:tcPr>
          <w:p>
            <w:pPr>
              <w:spacing w:after="0"/>
              <w:rPr>
                <w:sz w:val="14"/>
                <w:szCs w:val="14"/>
                <w:color w:val="auto"/>
              </w:rPr>
            </w:pPr>
          </w:p>
        </w:tc>
        <w:tc>
          <w:tcPr>
            <w:tcW w:w="174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2"/>
              </w:rPr>
              <w:t>Quoted Prices in Active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vMerge w:val="restart"/>
          </w:tcPr>
          <w:p>
            <w:pPr>
              <w:jc w:val="center"/>
              <w:ind w:right="193"/>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4"/>
              </w:rPr>
              <w:t>Significant</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left="339"/>
              <w:spacing w:after="0" w:line="149" w:lineRule="exact"/>
              <w:rPr>
                <w:sz w:val="20"/>
                <w:szCs w:val="20"/>
                <w:color w:val="auto"/>
              </w:rPr>
            </w:pPr>
            <w:r>
              <w:rPr>
                <w:rFonts w:ascii="Arial" w:cs="Arial" w:eastAsia="Arial" w:hAnsi="Arial"/>
                <w:sz w:val="14"/>
                <w:szCs w:val="14"/>
                <w:b w:val="1"/>
                <w:bCs w:val="1"/>
                <w:color w:val="auto"/>
                <w:w w:val="96"/>
              </w:rPr>
              <w:t>in the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4"/>
          </w:tcPr>
          <w:p>
            <w:pPr>
              <w:jc w:val="center"/>
              <w:ind w:right="133"/>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center"/>
              <w:ind w:right="213"/>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740" w:type="dxa"/>
            <w:vAlign w:val="bottom"/>
            <w:gridSpan w:val="4"/>
          </w:tcPr>
          <w:p>
            <w:pPr>
              <w:jc w:val="center"/>
              <w:ind w:right="133"/>
              <w:spacing w:after="0" w:line="149" w:lineRule="exact"/>
              <w:rPr>
                <w:sz w:val="20"/>
                <w:szCs w:val="20"/>
                <w:color w:val="auto"/>
              </w:rPr>
            </w:pPr>
            <w:r>
              <w:rPr>
                <w:rFonts w:ascii="Arial" w:cs="Arial" w:eastAsia="Arial" w:hAnsi="Arial"/>
                <w:sz w:val="14"/>
                <w:szCs w:val="14"/>
                <w:b w:val="1"/>
                <w:bCs w:val="1"/>
                <w:color w:val="auto"/>
                <w:w w:val="90"/>
              </w:rPr>
              <w:t>Assets/Liabilities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9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left="299"/>
              <w:spacing w:after="0" w:line="149" w:lineRule="exact"/>
              <w:rPr>
                <w:sz w:val="20"/>
                <w:szCs w:val="20"/>
                <w:color w:val="auto"/>
              </w:rPr>
            </w:pPr>
            <w:r>
              <w:rPr>
                <w:rFonts w:ascii="Arial" w:cs="Arial" w:eastAsia="Arial" w:hAnsi="Arial"/>
                <w:sz w:val="14"/>
                <w:szCs w:val="14"/>
                <w:b w:val="1"/>
                <w:bCs w:val="1"/>
                <w:color w:val="auto"/>
                <w:w w:val="95"/>
              </w:rPr>
              <w:t>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7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4"/>
                <w:szCs w:val="14"/>
                <w:color w:val="auto"/>
              </w:rPr>
            </w:pPr>
          </w:p>
        </w:tc>
        <w:tc>
          <w:tcPr>
            <w:tcW w:w="1060" w:type="dxa"/>
            <w:vAlign w:val="bottom"/>
            <w:gridSpan w:val="3"/>
          </w:tcPr>
          <w:p>
            <w:pPr>
              <w:jc w:val="center"/>
              <w:ind w:left="358"/>
              <w:spacing w:after="0"/>
              <w:rPr>
                <w:sz w:val="20"/>
                <w:szCs w:val="20"/>
                <w:color w:val="auto"/>
              </w:rPr>
            </w:pPr>
            <w:r>
              <w:rPr>
                <w:rFonts w:ascii="Arial" w:cs="Arial" w:eastAsia="Arial" w:hAnsi="Arial"/>
                <w:sz w:val="14"/>
                <w:szCs w:val="14"/>
                <w:b w:val="1"/>
                <w:bCs w:val="1"/>
                <w:color w:val="auto"/>
                <w:w w:val="94"/>
              </w:rPr>
              <w:t>(Level 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94"/>
              </w:rPr>
              <w:t>(Level 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4"/>
              </w:rPr>
              <w:t>(Level 3)</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Liabilities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78"/>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supplemental fair value information about long term fixed rate and variable rate debt, excluding finance leases, at June 30, 2020 and 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jc w:val="right"/>
              <w:ind w:right="7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Fixed Rate Debt:</w:t>
            </w:r>
            <w:r>
              <w:rPr>
                <w:rFonts w:ascii="Arial" w:cs="Arial" w:eastAsia="Arial" w:hAnsi="Arial"/>
                <w:sz w:val="15"/>
                <w:szCs w:val="15"/>
                <w:b w:val="1"/>
                <w:bCs w:val="1"/>
                <w:color w:val="auto"/>
              </w:rPr>
              <w:t>(1)</w:t>
            </w:r>
          </w:p>
        </w:tc>
        <w:tc>
          <w:tcPr>
            <w:tcW w:w="25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Carrying amount — liability</w:t>
            </w:r>
          </w:p>
        </w:tc>
        <w:tc>
          <w:tcPr>
            <w:tcW w:w="3840" w:type="dxa"/>
            <w:vAlign w:val="bottom"/>
            <w:gridSpan w:val="2"/>
          </w:tcPr>
          <w:p>
            <w:pPr>
              <w:jc w:val="right"/>
              <w:ind w:right="116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4,299</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 — liability</w:t>
            </w:r>
          </w:p>
        </w:tc>
        <w:tc>
          <w:tcPr>
            <w:tcW w:w="25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3,558</w:t>
            </w:r>
          </w:p>
        </w:tc>
        <w:tc>
          <w:tcPr>
            <w:tcW w:w="12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Variable Rate Debt:</w:t>
            </w:r>
            <w:r>
              <w:rPr>
                <w:rFonts w:ascii="Arial" w:cs="Arial" w:eastAsia="Arial" w:hAnsi="Arial"/>
                <w:sz w:val="15"/>
                <w:szCs w:val="15"/>
                <w:b w:val="1"/>
                <w:bCs w:val="1"/>
                <w:color w:val="auto"/>
              </w:rPr>
              <w:t>(1)</w:t>
            </w:r>
          </w:p>
        </w:tc>
        <w:tc>
          <w:tcPr>
            <w:tcW w:w="25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Carrying amount — liability</w:t>
            </w:r>
          </w:p>
        </w:tc>
        <w:tc>
          <w:tcPr>
            <w:tcW w:w="3840" w:type="dxa"/>
            <w:vAlign w:val="bottom"/>
            <w:gridSpan w:val="2"/>
          </w:tcPr>
          <w:p>
            <w:pPr>
              <w:jc w:val="right"/>
              <w:ind w:right="116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1,724</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 — liability</w:t>
            </w:r>
          </w:p>
        </w:tc>
        <w:tc>
          <w:tcPr>
            <w:tcW w:w="25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12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jc w:val="both"/>
        <w:ind w:left="800" w:right="20" w:hanging="792"/>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Notes Payable and Overdrafts of $712 million and $348 million at June 30, 2020 and December 31, 2019, respectively, of which $316 million and $143 million, respectively, are at fixed rates and $396 million and $205 million, respectively, are at variable rates. The carrying value of Notes Payable and Overdrafts approximates fair value due to the short term nature of the facilities.</w:t>
      </w:r>
    </w:p>
    <w:p>
      <w:pPr>
        <w:spacing w:after="0" w:line="76"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Long term debt with fair values of $4,364 million and $3,808 million at June 30, 2020 and December 31, 2019, respectively, were estimated using quoted Level 1 market prices. The carrying value of the remaining debt was based upon internal estimates of fair value derived from market prices for similar debt.</w:t>
      </w:r>
    </w:p>
    <w:p>
      <w:pPr>
        <w:spacing w:after="0" w:line="107" w:lineRule="exact"/>
        <w:rPr>
          <w:sz w:val="20"/>
          <w:szCs w:val="20"/>
          <w:color w:val="auto"/>
        </w:rPr>
      </w:pPr>
    </w:p>
    <w:p>
      <w:pPr>
        <w:ind w:right="4420"/>
        <w:spacing w:after="0" w:line="391" w:lineRule="auto"/>
        <w:rPr>
          <w:sz w:val="20"/>
          <w:szCs w:val="20"/>
          <w:color w:val="auto"/>
        </w:rPr>
      </w:pPr>
      <w:r>
        <w:rPr>
          <w:rFonts w:ascii="Arial" w:cs="Arial" w:eastAsia="Arial" w:hAnsi="Arial"/>
          <w:sz w:val="18"/>
          <w:szCs w:val="18"/>
          <w:b w:val="1"/>
          <w:bCs w:val="1"/>
          <w:u w:val="single" w:color="auto"/>
          <w:color w:val="auto"/>
        </w:rPr>
        <w:t xml:space="preserve">NOTE 12. PENSION, SAVINGS AND OTHER POSTRETIREMENT BENEFIT PLANS </w:t>
      </w:r>
      <w:r>
        <w:rPr>
          <w:rFonts w:ascii="Arial" w:cs="Arial" w:eastAsia="Arial" w:hAnsi="Arial"/>
          <w:sz w:val="18"/>
          <w:szCs w:val="18"/>
          <w:color w:val="auto"/>
        </w:rPr>
        <w:t>We provide employees with defined benefit pension or defined contribution savings plans. Defined benefit pension cost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left="496"/>
              <w:spacing w:after="0"/>
              <w:rPr>
                <w:sz w:val="20"/>
                <w:szCs w:val="20"/>
                <w:color w:val="auto"/>
              </w:rPr>
            </w:pPr>
            <w:r>
              <w:rPr>
                <w:rFonts w:ascii="Arial" w:cs="Arial" w:eastAsia="Arial" w:hAnsi="Arial"/>
                <w:sz w:val="14"/>
                <w:szCs w:val="14"/>
                <w:b w:val="1"/>
                <w:bCs w:val="1"/>
                <w:color w:val="auto"/>
                <w:w w:val="95"/>
              </w:rPr>
              <w:t>U.S.</w:t>
            </w: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6"/>
        </w:trPr>
        <w:tc>
          <w:tcPr>
            <w:tcW w:w="4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5"/>
          </w:tcPr>
          <w:p>
            <w:pPr>
              <w:jc w:val="center"/>
              <w:ind w:left="247"/>
              <w:spacing w:after="0" w:line="147" w:lineRule="exact"/>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7"/>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Six Months Ended</w:t>
            </w:r>
          </w:p>
        </w:tc>
      </w:tr>
      <w:tr>
        <w:trPr>
          <w:trHeight w:val="162"/>
        </w:trPr>
        <w:tc>
          <w:tcPr>
            <w:tcW w:w="4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5"/>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8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1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Interest cost</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net losses</w:t>
            </w:r>
          </w:p>
        </w:tc>
        <w:tc>
          <w:tcPr>
            <w:tcW w:w="1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auto"/>
            </w:tcBorders>
          </w:tcPr>
          <w:p>
            <w:pPr>
              <w:spacing w:after="0"/>
              <w:rPr>
                <w:sz w:val="19"/>
                <w:szCs w:val="19"/>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periodic pension cost</w:t>
            </w: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b w:val="1"/>
                <w:bCs w:val="1"/>
                <w:color w:val="auto"/>
              </w:rPr>
              <w:t>33</w:t>
            </w:r>
          </w:p>
        </w:tc>
        <w:tc>
          <w:tcPr>
            <w:tcW w:w="20" w:type="dxa"/>
            <w:vAlign w:val="bottom"/>
            <w:shd w:val="clear" w:color="auto" w:fill="CFF0FC"/>
          </w:tcPr>
          <w:p>
            <w:pPr>
              <w:spacing w:after="0"/>
              <w:rPr>
                <w:sz w:val="19"/>
                <w:szCs w:val="19"/>
                <w:color w:val="auto"/>
              </w:rPr>
            </w:pPr>
          </w:p>
        </w:tc>
      </w:tr>
      <w:tr>
        <w:trPr>
          <w:trHeight w:val="229"/>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curtailments/settlements/termination benefits</w:t>
            </w:r>
          </w:p>
        </w:tc>
        <w:tc>
          <w:tcPr>
            <w:tcW w:w="1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defined benefit pension cost</w:t>
            </w:r>
          </w:p>
        </w:tc>
        <w:tc>
          <w:tcPr>
            <w:tcW w:w="1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16</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b w:val="1"/>
                <w:bCs w:val="1"/>
                <w:color w:val="auto"/>
              </w:rPr>
              <w:t>32</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b w:val="1"/>
                <w:bCs w:val="1"/>
                <w:color w:val="auto"/>
              </w:rPr>
              <w:t>33</w:t>
            </w:r>
          </w:p>
        </w:tc>
        <w:tc>
          <w:tcPr>
            <w:tcW w:w="20" w:type="dxa"/>
            <w:vAlign w:val="bottom"/>
            <w:tcBorders>
              <w:bottom w:val="single" w:sz="8" w:color="auto"/>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66"/>
        </w:trPr>
        <w:tc>
          <w:tcPr>
            <w:tcW w:w="4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350"/>
              <w:spacing w:after="0"/>
              <w:rPr>
                <w:sz w:val="20"/>
                <w:szCs w:val="20"/>
                <w:color w:val="auto"/>
              </w:rPr>
            </w:pPr>
            <w:r>
              <w:rPr>
                <w:rFonts w:ascii="Arial" w:cs="Arial" w:eastAsia="Arial" w:hAnsi="Arial"/>
                <w:sz w:val="14"/>
                <w:szCs w:val="14"/>
                <w:b w:val="1"/>
                <w:bCs w:val="1"/>
                <w:color w:val="auto"/>
                <w:w w:val="94"/>
              </w:rPr>
              <w:t>Non-U.S.</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left="476"/>
              <w:spacing w:after="0"/>
              <w:rPr>
                <w:sz w:val="20"/>
                <w:szCs w:val="20"/>
                <w:color w:val="auto"/>
              </w:rPr>
            </w:pPr>
            <w:r>
              <w:rPr>
                <w:rFonts w:ascii="Arial" w:cs="Arial" w:eastAsia="Arial" w:hAnsi="Arial"/>
                <w:sz w:val="14"/>
                <w:szCs w:val="14"/>
                <w:b w:val="1"/>
                <w:bCs w:val="1"/>
                <w:color w:val="auto"/>
                <w:w w:val="94"/>
              </w:rPr>
              <w:t>Non-U.S.</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4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5"/>
          </w:tcPr>
          <w:p>
            <w:pPr>
              <w:jc w:val="center"/>
              <w:ind w:left="227"/>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6"/>
          </w:tcPr>
          <w:p>
            <w:pPr>
              <w:jc w:val="center"/>
              <w:ind w:right="272"/>
              <w:spacing w:after="0" w:line="147" w:lineRule="exact"/>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2"/>
                <w:szCs w:val="12"/>
                <w:color w:val="auto"/>
              </w:rPr>
            </w:pPr>
          </w:p>
        </w:tc>
      </w:tr>
      <w:tr>
        <w:trPr>
          <w:trHeight w:val="162"/>
        </w:trPr>
        <w:tc>
          <w:tcPr>
            <w:tcW w:w="4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4"/>
          </w:tcPr>
          <w:p>
            <w:pPr>
              <w:jc w:val="center"/>
              <w:ind w:right="35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5"/>
          </w:tcPr>
          <w:p>
            <w:pPr>
              <w:jc w:val="center"/>
              <w:ind w:left="456"/>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8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06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1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ind w:right="56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Interest cost</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losses</w:t>
            </w:r>
          </w:p>
        </w:tc>
        <w:tc>
          <w:tcPr>
            <w:tcW w:w="13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Net periodic pension cost</w:t>
            </w:r>
          </w:p>
        </w:tc>
        <w:tc>
          <w:tcPr>
            <w:tcW w:w="1320" w:type="dxa"/>
            <w:vAlign w:val="bottom"/>
          </w:tcPr>
          <w:p>
            <w:pPr>
              <w:spacing w:after="0"/>
              <w:rPr>
                <w:sz w:val="19"/>
                <w:szCs w:val="19"/>
                <w:color w:val="auto"/>
              </w:rPr>
            </w:pPr>
          </w:p>
        </w:tc>
        <w:tc>
          <w:tcPr>
            <w:tcW w:w="740" w:type="dxa"/>
            <w:vAlign w:val="bottom"/>
            <w:gridSpan w:val="2"/>
          </w:tcPr>
          <w:p>
            <w:pPr>
              <w:jc w:val="right"/>
              <w:ind w:right="567"/>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ind w:right="34"/>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7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6"/>
              <w:spacing w:after="0"/>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curtailments/settlements/termination benefits</w:t>
            </w:r>
          </w:p>
        </w:tc>
        <w:tc>
          <w:tcPr>
            <w:tcW w:w="13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Total defined benefit pension cost</w:t>
            </w:r>
          </w:p>
        </w:tc>
        <w:tc>
          <w:tcPr>
            <w:tcW w:w="13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567"/>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Service cost is recorded in CGS or SAG. Other components of net periodic pension cost are recorded in Other (Income) Expense. Net curtailments, settlements and termination benefits are recorded in Other (Income) Expense or Rationalizations if related to a rationalization plan.</w:t>
      </w:r>
    </w:p>
    <w:p>
      <w:pPr>
        <w:spacing w:after="0" w:line="3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For the second quarter and first six months of 2020, pension settlement charges of $1 million and $3 million, respectively, were recorded in Other (Income) Expense and a pension termination benefits charge of $5 million was recorded in Rationalizations, related to the exit of employees under an approved rationalization plan.</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also provide certain U.S. employees and employees at certain non-U.S. subsidiaries with health care benefits or life insurance benefits upon retirement. Other postretirement benefits expense (credit) for the three months ended June 30, 2020 and 2019 was $2 million and $1 million, respectively. Other postretirement benefits expense (credit) for the six months ended June 30, 2020</w:t>
      </w:r>
    </w:p>
    <w:p>
      <w:pPr>
        <w:sectPr>
          <w:pgSz w:w="11900" w:h="16838" w:orient="portrait"/>
          <w:cols w:equalWidth="0" w:num="1">
            <w:col w:w="11260"/>
          </w:cols>
          <w:pgMar w:left="320" w:top="233" w:right="31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was ($1) million and included a curtailment credit of $4 million related to the exit of employees under an approved rationalization plan. Other postretirement benefits expense (credit) for the six months ended June 30, 2019 was $3 million.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contribute approximately $25 million to our funded non-U.S. pension plans in 2020. For the three and six months ended June 30, 2020, we contributed $4 million and $11 million, respectively, to our non-U.S. plans.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expense recognized for our contributions to defined contribution savings plans for the three months ended June 30, 2020 and 2019 was $20 million and $28 million, respectively, and for the six months ended June 30, 2020 and 2019 was $50 million and $56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STOCK COMPENSATION PLANS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granted 4.2 million stock options, 0.4 million restricted stock units and 0.2 million performance share units during the six months ended June 30, 2020 under our stock compensation plans. The weighted average exercise price per share and weighted average fair value per share of the stock option grants during the six months ended June 30, 2020 were $10.12 and $1.97, respectively. We estimated the fair value of the stock options using the following assumptions in our Black-Scholes model:</w:t>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Expected term: 7.5 years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Interest rate: 1.29%</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Volatility: 41.28%</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Dividend yield: 6.54%</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$9.48 for restricted stock units and $7.80 for performance share units granted during the six months ended June 30, 2020.</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stock-based compensation expense of $8 million and $14 million during the three and six months ended June 30, 2020, respectively. At June 30, 2020, unearned compensation cost related to the unvested portion of all stock-based awards was approximately $31 million and is expected to be recognized over the remaining vesting period of the respective grants, through the first quarter of 2024. We recognized stock-based compensation expense of $8 million and $11 million during the three and six months ended June 30, 2019,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recorded liabilities totaling $48 million at both June 30, 2020 and December 31, 2019, for anticipated costs related to various environmental matters, primarily the remediation of numerous waste disposal sites and certain properties sold by us. Of these amounts, $11 million and $13 million were included in Other Current Liabilities at June 30, 2020 and December 31, 2019,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recorded liabilities, on a discounted basis, totaling $202 million and $198 million for anticipated costs related to workers’ compensation at June 30, 2020 and December 31, 2019, respectively. Of these amounts, $39 million was included in Current Liabilities as part of Compensation and Benefits at both June 30, 2020 and December 31, 2019.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June 30, 2020 and December 31, 2019, the liability was discounted using a risk-free rate of return. At June 30, 2020, we estimate that it is reasonably possible that the liability could exceed our recorded amounts by approximately $25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Product Liability and Other Litigation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recorded liabilities totaling $304 million and $293 million, including related legal fees expected to be incurred, for potential product liability and other tort claims, including asbestos claims, at June 30, 2020 and December 31, 2019, respectively. Of these amounts, $53 million and $43 million was included in Other Current Liabilities at June 30, 2020 and December 31, 2019, respectively. The amounts recorded were estimated based on an assessment of potential liability using an analysis of available information with respect to pending claims, historical experience and, where available, recent and current trends. Based upon that assessment, at June 30, 2020,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an indemnification asset within Accounts Receivable of $3 million and within Other Assets of $22 million for Sumitomo Rubber Industries, Ltd.'s ("SRI") obligation to indemnify us for certain product liability claims related to products manufactured by a formerly consolidated joint venture entity, subject to certain caps and restrictions.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Asbestos. </w:t>
      </w:r>
      <w:r>
        <w:rPr>
          <w:rFonts w:ascii="Arial" w:cs="Arial" w:eastAsia="Arial" w:hAnsi="Arial"/>
          <w:sz w:val="17"/>
          <w:szCs w:val="17"/>
          <w:color w:val="auto"/>
        </w:rPr>
        <w:t>We are a defendant in numerous lawsuits alleging various asbestos-related personal injuries purported to result from alleged exposure to asbestos</w:t>
      </w:r>
      <w:r>
        <w:rPr>
          <w:rFonts w:ascii="Arial" w:cs="Arial" w:eastAsia="Arial" w:hAnsi="Arial"/>
          <w:sz w:val="17"/>
          <w:szCs w:val="17"/>
          <w:b w:val="1"/>
          <w:bCs w:val="1"/>
          <w:color w:val="auto"/>
        </w:rPr>
        <w:t xml:space="preserve"> </w:t>
      </w:r>
      <w:r>
        <w:rPr>
          <w:rFonts w:ascii="Arial" w:cs="Arial" w:eastAsia="Arial" w:hAnsi="Arial"/>
          <w:sz w:val="17"/>
          <w:szCs w:val="17"/>
          <w:color w:val="auto"/>
        </w:rPr>
        <w:t>in certain products manufactured by us or present in certain of our facilities. Typically, these lawsuits have been brought against multiple defendants in state and federal courts. To date, we have disposed of approximately 153,600 claims by defending, obtaining the dismissal thereof, or entering into a settlement. The sum of our accrued asbestos-related liability and gross payments to date, including legal costs, by us and our insurers totaled approximately $560 million through June 30, 2020 and $554 million through December 31, 2019</w:t>
      </w:r>
      <w:r>
        <w:rPr>
          <w:rFonts w:ascii="Arial" w:cs="Arial" w:eastAsia="Arial" w:hAnsi="Arial"/>
          <w:sz w:val="17"/>
          <w:szCs w:val="17"/>
          <w:b w:val="1"/>
          <w:bCs w:val="1"/>
          <w:color w:val="auto"/>
        </w:rPr>
        <w:t>.</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jc w:val="right"/>
              <w:ind w:right="395"/>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right"/>
              <w:ind w:right="635"/>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9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(Dollars in millions)</w:t>
            </w:r>
          </w:p>
        </w:tc>
        <w:tc>
          <w:tcPr>
            <w:tcW w:w="2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9"/>
              </w:rPr>
              <w:t>December 31, 2019</w:t>
            </w: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Pending claims, beginning of period</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39,600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43,100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New claims filed</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ind w:right="35"/>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55"/>
              <w:spacing w:after="0"/>
              <w:rPr>
                <w:sz w:val="20"/>
                <w:szCs w:val="20"/>
                <w:color w:val="auto"/>
              </w:rPr>
            </w:pPr>
            <w:r>
              <w:rPr>
                <w:rFonts w:ascii="Arial" w:cs="Arial" w:eastAsia="Arial" w:hAnsi="Arial"/>
                <w:sz w:val="18"/>
                <w:szCs w:val="18"/>
                <w:color w:val="auto"/>
              </w:rPr>
              <w:t>1,500</w:t>
            </w: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Claims settled/dismissed</w:t>
            </w:r>
          </w:p>
        </w:tc>
        <w:tc>
          <w:tcPr>
            <w:tcW w:w="2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r>
      <w:tr>
        <w:trPr>
          <w:trHeight w:val="26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Pending claims, end of period</w:t>
            </w:r>
          </w:p>
        </w:tc>
        <w:tc>
          <w:tcPr>
            <w:tcW w:w="2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38,800</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39,600</w:t>
            </w: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Payments</w:t>
            </w:r>
            <w:r>
              <w:rPr>
                <w:rFonts w:ascii="Arial" w:cs="Arial" w:eastAsia="Arial" w:hAnsi="Arial"/>
                <w:sz w:val="15"/>
                <w:szCs w:val="15"/>
                <w:color w:val="auto"/>
              </w:rPr>
              <w:t>(1)</w:t>
            </w:r>
          </w:p>
        </w:tc>
        <w:tc>
          <w:tcPr>
            <w:tcW w:w="2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22</w:t>
            </w:r>
          </w:p>
        </w:tc>
      </w:tr>
      <w:tr>
        <w:trPr>
          <w:trHeight w:val="20"/>
        </w:trPr>
        <w:tc>
          <w:tcPr>
            <w:tcW w:w="4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800" w:hanging="79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cash payments made during the period by us and our insurers on asbestos litigation defense and claim resolution.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$154 million and $153 million at June 30, 2020 and December 31, 2019,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recorded a receivable related to asbestos claims of $95 million at both June 30, 2020 and December 31, 2019. We expect that approximately 60% of asbestos claim related losses would be recoverable through insurance during the ten-year period covered by the estimated liability. Of these amounts, $13 million was included in Current Assets as part of Accounts Receivable at both June 30, 2020 and December 31, 2019.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at December 31, 2019, we had approximately $555 million in excess level policy limits applicable to indemnity and defense costs for asbestos products claims under coverage-in-place agreements. We also had additional unsettled excess level policy limits potentially applicable to such costs.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exposure), alleged date of first exposure to our products or premises and disease alleged. Recoveries may be limited by insurer insolvencies or financial difficulties. Depending upon the nature of these characteristics or events, as well as the resolution of certain legal issues, some portion of the insurance may not be accessible by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Amiens Labor Claims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Approximately 850 former employees of the closed Amiens, France manufacturing facility have asserted wrongful termination or other claims totaling approximately €140 million ($157 million) against Goodyear France SAS. On May 28, 2020, Goodyear France SAS received a judgment from the labor court with respect to approximately 790 of these former employees. As a result of this ruling, we accrued €22 million ($25 million) in the second quarter of 2020 for estimated damages. We have appealed this ruling and will continue to vigorously defend ourselves against these claims and any additional claims that may be asserted against 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Matters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apply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off-balance sheet financial guarantees and other commitments totaling approximately $72 million and $74 million at June 30, 2020 and December 31, 2019, respectively. We issue guarantees to financial institutions or other entities on behalf of certain of our affiliates, lessors or customers. We generally do not require collateral in connection with the issuance of these guarantees.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2017, we issued a guarantee of approximately PLN165 million ($41 million) in connection with an indirect tax assessment in EMEA. This guarantee amount was subsequently increased to PLN 181 million ($46 million). We have concluded our performance under this guarantee is not probable and, therefore, have not recorded a liability for this guarantee. In 2015, as a result of the dissolution of the global alliance with SRI, we issued a guarantee of approximately $46 million to an insurance company related to SRI's obligation to pay certain outstanding workers' compensation claims of a formerly consolidated joint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venture entity. As of June 30, 2020, this guarantee amount has been reduced to $26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 If our performance under these guarantees is triggered by non-payment or another specified event, we would be obligated to make payment to the financial institution or the other entity, and would typically have recourse to the affiliate, lessor, customer, or SRI. Except for the workers' compensation guarantee described above, the guarantees expire at various times through 2021. We are unable to estimate the extent to which our affiliates’, lessors’, customers’, or SRI's assets would be adequate to recover any payments made by us under the related guarantees.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six months of 2020, we paid cash dividends of $37 million on our common stock, all of which was paid in the first quarter of 2020. This amount excludes dividends earned on stock-based compensation plans of approximately $1 million during the first six months of 2020. On April 16, 2020, we announced that we have temporarily suspended the quarterly dividend on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may repurchase shares delivered to us by employees as payment for the exercise price of stock options and the withholding taxes due upon the exercise of stock options or the vesting or payment of stock awards. During the first six months of 2020, we did not repurchase any shares from employees.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RECLASSIFICATIONS OUT OF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changes in AOCL, by component, for the six months ended June 30, 2020 and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center"/>
              <w:ind w:right="259"/>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color w:val="auto"/>
                <w:w w:val="90"/>
              </w:rPr>
              <w:t>Unrecognized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 Actuarial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Losses and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Prior Service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Income (Loss)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7"/>
              </w:rPr>
              <w:t>Gains (Losses)</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(4,136)</w:t>
            </w:r>
          </w:p>
        </w:tc>
        <w:tc>
          <w:tcPr>
            <w:tcW w:w="0" w:type="dxa"/>
            <w:vAlign w:val="bottom"/>
          </w:tcPr>
          <w:p>
            <w:pPr>
              <w:spacing w:after="0"/>
              <w:rPr>
                <w:sz w:val="1"/>
                <w:szCs w:val="1"/>
                <w:color w:val="auto"/>
              </w:rPr>
            </w:pPr>
          </w:p>
        </w:tc>
      </w:tr>
      <w:tr>
        <w:trPr>
          <w:trHeight w:val="215"/>
        </w:trPr>
        <w:tc>
          <w:tcPr>
            <w:tcW w:w="4900" w:type="dxa"/>
            <w:vAlign w:val="bottom"/>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reclassifications, net of tax</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5"/>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comprehensive loss, net of tax</w:t>
            </w: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vMerge w:val="restart"/>
          </w:tcPr>
          <w:p>
            <w:pPr>
              <w:jc w:val="center"/>
              <w:ind w:right="259"/>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color w:val="auto"/>
                <w:w w:val="90"/>
              </w:rPr>
              <w:t>Unrecognized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 Actuarial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Losses and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Prior Service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Income (Loss)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7"/>
              </w:rPr>
              <w:t>Gains (Losses)</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(2,923)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auto"/>
              </w:rPr>
              <w:t>7</w:t>
            </w:r>
          </w:p>
        </w:tc>
        <w:tc>
          <w:tcPr>
            <w:tcW w:w="160" w:type="dxa"/>
            <w:vAlign w:val="bottom"/>
            <w:gridSpan w:val="2"/>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(4,076)</w:t>
            </w:r>
          </w:p>
        </w:tc>
        <w:tc>
          <w:tcPr>
            <w:tcW w:w="0" w:type="dxa"/>
            <w:vAlign w:val="bottom"/>
          </w:tcPr>
          <w:p>
            <w:pPr>
              <w:spacing w:after="0"/>
              <w:rPr>
                <w:sz w:val="1"/>
                <w:szCs w:val="1"/>
                <w:color w:val="auto"/>
              </w:rPr>
            </w:pPr>
          </w:p>
        </w:tc>
      </w:tr>
      <w:tr>
        <w:trPr>
          <w:trHeight w:val="215"/>
        </w:trPr>
        <w:tc>
          <w:tcPr>
            <w:tcW w:w="4900" w:type="dxa"/>
            <w:vAlign w:val="bottom"/>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reclassifications, net of tax</w:t>
            </w: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5"/>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comprehensive loss, net of tax</w:t>
            </w: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(1,149)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(2,859)</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38"/>
              <w:spacing w:after="0"/>
              <w:rPr>
                <w:sz w:val="20"/>
                <w:szCs w:val="20"/>
                <w:color w:val="auto"/>
              </w:rPr>
            </w:pPr>
            <w:r>
              <w:rPr>
                <w:rFonts w:ascii="Arial" w:cs="Arial" w:eastAsia="Arial" w:hAnsi="Arial"/>
                <w:sz w:val="18"/>
                <w:szCs w:val="18"/>
                <w:b w:val="1"/>
                <w:bCs w:val="1"/>
                <w:color w:val="auto"/>
              </w:rPr>
              <w:t>6</w:t>
            </w:r>
          </w:p>
        </w:tc>
        <w:tc>
          <w:tcPr>
            <w:tcW w:w="160" w:type="dxa"/>
            <w:vAlign w:val="bottom"/>
            <w:gridSpan w:val="2"/>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(4,002)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reclassifications out of AOCL: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6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 (Income) Expense</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4"/>
                <w:szCs w:val="14"/>
                <w:color w:val="auto"/>
              </w:rPr>
            </w:pPr>
          </w:p>
        </w:tc>
        <w:tc>
          <w:tcPr>
            <w:tcW w:w="31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46"/>
        </w:trPr>
        <w:tc>
          <w:tcPr>
            <w:tcW w:w="4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center"/>
              <w:ind w:right="152"/>
              <w:spacing w:after="0" w:line="147" w:lineRule="exact"/>
              <w:rPr>
                <w:sz w:val="20"/>
                <w:szCs w:val="20"/>
                <w:color w:val="auto"/>
              </w:rPr>
            </w:pPr>
            <w:r>
              <w:rPr>
                <w:rFonts w:ascii="Arial" w:cs="Arial" w:eastAsia="Arial" w:hAnsi="Arial"/>
                <w:sz w:val="14"/>
                <w:szCs w:val="14"/>
                <w:b w:val="1"/>
                <w:bCs w:val="1"/>
                <w:color w:val="auto"/>
                <w:w w:val="90"/>
              </w:rPr>
              <w:t>Amount Reclassified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172"/>
              <w:spacing w:after="0" w:line="147" w:lineRule="exact"/>
              <w:rPr>
                <w:sz w:val="20"/>
                <w:szCs w:val="20"/>
                <w:color w:val="auto"/>
              </w:rPr>
            </w:pPr>
            <w:r>
              <w:rPr>
                <w:rFonts w:ascii="Arial" w:cs="Arial" w:eastAsia="Arial" w:hAnsi="Arial"/>
                <w:sz w:val="14"/>
                <w:szCs w:val="14"/>
                <w:b w:val="1"/>
                <w:bCs w:val="1"/>
                <w:color w:val="auto"/>
                <w:w w:val="90"/>
              </w:rPr>
              <w:t>Amount Reclassified</w:t>
            </w:r>
          </w:p>
        </w:tc>
        <w:tc>
          <w:tcPr>
            <w:tcW w:w="14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Component of AOCL</w:t>
            </w:r>
          </w:p>
        </w:tc>
        <w:tc>
          <w:tcPr>
            <w:tcW w:w="12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9"/>
              </w:rPr>
              <w:t>from AOCL</w:t>
            </w:r>
          </w:p>
        </w:tc>
        <w:tc>
          <w:tcPr>
            <w:tcW w:w="120" w:type="dxa"/>
            <w:vAlign w:val="bottom"/>
          </w:tcPr>
          <w:p>
            <w:pPr>
              <w:spacing w:after="0"/>
              <w:rPr>
                <w:sz w:val="14"/>
                <w:szCs w:val="14"/>
                <w:color w:val="auto"/>
              </w:rPr>
            </w:pPr>
          </w:p>
        </w:tc>
        <w:tc>
          <w:tcPr>
            <w:tcW w:w="160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rPr>
              <w:t>from AOCL</w:t>
            </w:r>
          </w:p>
        </w:tc>
        <w:tc>
          <w:tcPr>
            <w:tcW w:w="140" w:type="dxa"/>
            <w:vAlign w:val="bottom"/>
          </w:tcPr>
          <w:p>
            <w:pPr>
              <w:spacing w:after="0"/>
              <w:rPr>
                <w:sz w:val="14"/>
                <w:szCs w:val="14"/>
                <w:color w:val="auto"/>
              </w:rPr>
            </w:pPr>
          </w:p>
        </w:tc>
        <w:tc>
          <w:tcPr>
            <w:tcW w:w="3160" w:type="dxa"/>
            <w:vAlign w:val="bottom"/>
          </w:tcPr>
          <w:p>
            <w:pPr>
              <w:ind w:left="80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Amortization of prior service cost and</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1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unrecognized gains and losses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20"/>
                <w:szCs w:val="20"/>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15"/>
        </w:trPr>
        <w:tc>
          <w:tcPr>
            <w:tcW w:w="4360" w:type="dxa"/>
            <w:vAlign w:val="bottom"/>
            <w:gridSpan w:val="2"/>
          </w:tcPr>
          <w:p>
            <w:pPr>
              <w:spacing w:after="0"/>
              <w:rPr>
                <w:sz w:val="20"/>
                <w:szCs w:val="20"/>
                <w:color w:val="auto"/>
              </w:rPr>
            </w:pPr>
            <w:r>
              <w:rPr>
                <w:rFonts w:ascii="Arial" w:cs="Arial" w:eastAsia="Arial" w:hAnsi="Arial"/>
                <w:sz w:val="18"/>
                <w:szCs w:val="18"/>
                <w:color w:val="auto"/>
              </w:rPr>
              <w:t>Immediate recognition of prior service cost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and unrecognized gains and losses due to</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curtailments, settlements and divestitures</w:t>
            </w:r>
          </w:p>
        </w:tc>
        <w:tc>
          <w:tcPr>
            <w:tcW w:w="12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2"/>
              </w:rPr>
              <w:t>Other (Income) Expense / Rationalizations</w:t>
            </w:r>
          </w:p>
        </w:tc>
        <w:tc>
          <w:tcPr>
            <w:tcW w:w="0" w:type="dxa"/>
            <w:vAlign w:val="bottom"/>
          </w:tcPr>
          <w:p>
            <w:pPr>
              <w:spacing w:after="0"/>
              <w:rPr>
                <w:sz w:val="1"/>
                <w:szCs w:val="1"/>
                <w:color w:val="auto"/>
              </w:rPr>
            </w:pPr>
          </w:p>
        </w:tc>
      </w:tr>
      <w:tr>
        <w:trPr>
          <w:trHeight w:val="209"/>
        </w:trPr>
        <w:tc>
          <w:tcPr>
            <w:tcW w:w="436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Unrecognized net actuarial losses and</w:t>
            </w: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prior service costs, before tax</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20"/>
                <w:szCs w:val="20"/>
                <w:color w:val="auto"/>
              </w:rPr>
            </w:pPr>
          </w:p>
        </w:tc>
        <w:tc>
          <w:tcPr>
            <w:tcW w:w="3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Tax effect</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derivative (gains) losses, before tax</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Tax effect</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Total reclassifications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180"/>
        <w:spacing w:after="0" w:line="442"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 xml:space="preserve">All per share amounts are diluted and refer to Goodyear net income (loss). </w:t>
      </w:r>
      <w:r>
        <w:rPr>
          <w:rFonts w:ascii="Arial" w:cs="Arial" w:eastAsia="Arial" w:hAnsi="Arial"/>
          <w:sz w:val="18"/>
          <w:szCs w:val="18"/>
          <w:b w:val="1"/>
          <w:bCs w:val="1"/>
          <w:u w:val="single" w:color="auto"/>
          <w:color w:val="auto"/>
        </w:rPr>
        <w:t>OVERVIEW</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Goodyear Tire &amp; Rubber Company is one of the world’s leading manufacturers of tires, with one of the most recognizable brand names in the world and operations in most regions of the world. We have a broad global footprint with 46 manufacturing facilities in 21 countries, including the United States. We operate our business through three operating segments representing our regional tire businesses: Americas; Europe, Middle East and Africa (“EMEA”); and Asia Pacific.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for the second quarter and first half of 2020 were highly influenced by the severe economic disruption caused by the ongoing COVID-19 pandemic. The tire industry has been particularly negatively impacted by this evolving situation, characterized by a sudden and sharp decline in replacement tire demand and original equipment (“OE”) manufacturers suspending or severely limiting automobile production globally. The current environment has aggravated already challenging industry conditions in many of our key markets, including foreign currency headwinds due to a strong U.S. dollar, lower OE industry volume, softening demand in Europe, weak market conditions in China and economic volatility in Latin America, particularly Brazil, that persisted throughout 2019.</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take actions in response to COVID-19 to protect the health and wellbeing of our associates, customers and communities, which remain our top priority, to mitigate the near and long-term financial impacts on our operating results, and to ensure adequate liquidity and capital resources are available to maintain our operations until the auto industry and replacement tire demand recovers.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actions include:</w:t>
      </w:r>
    </w:p>
    <w:p>
      <w:pPr>
        <w:spacing w:after="0" w:line="117" w:lineRule="exact"/>
        <w:rPr>
          <w:sz w:val="20"/>
          <w:szCs w:val="20"/>
          <w:color w:val="auto"/>
        </w:rPr>
      </w:pPr>
    </w:p>
    <w:p>
      <w:pPr>
        <w:jc w:val="both"/>
        <w:ind w:left="800" w:hanging="401"/>
        <w:spacing w:after="0" w:line="290"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212529"/>
        </w:rPr>
        <w:t xml:space="preserve">On March 17, 2020 and March 18, 2020, we announced the suspension of production in Europe and the Americas, respectively, due to the COVID-19 pandemic. </w:t>
      </w:r>
      <w:r>
        <w:rPr>
          <w:rFonts w:ascii="Arial" w:cs="Arial" w:eastAsia="Arial" w:hAnsi="Arial"/>
          <w:sz w:val="16"/>
          <w:szCs w:val="16"/>
          <w:color w:val="000000"/>
        </w:rPr>
        <w:t>These temporary measures were implemented in a way that allowed us to safely and promptly resume production as</w:t>
      </w:r>
      <w:r>
        <w:rPr>
          <w:rFonts w:ascii="Arial" w:cs="Arial" w:eastAsia="Arial" w:hAnsi="Arial"/>
          <w:sz w:val="16"/>
          <w:szCs w:val="16"/>
          <w:color w:val="212529"/>
        </w:rPr>
        <w:t xml:space="preserve"> </w:t>
      </w:r>
      <w:r>
        <w:rPr>
          <w:rFonts w:ascii="Arial" w:cs="Arial" w:eastAsia="Arial" w:hAnsi="Arial"/>
          <w:sz w:val="16"/>
          <w:szCs w:val="16"/>
          <w:color w:val="000000"/>
        </w:rPr>
        <w:t>public health and market conditions improved. We completed a phased restart of our manufacturing facilities during the second quarter of 2020, without any significant subsequent COVID-19 related disruptions. In April 2020, we reopened some of our chemical plants, began a limited ramp up of our commercial truck tire manufacturing facilities in the U.S. and Europe and began to reopen tire production in most of our consumer factories in Europe. Throughout May and June 2020, we continued to ramp up tire production across our manufacturing footprint in Americas and EMEA, including at our consumer factories in the U.S. Our decisions to increase production further will be based on an evaluation of market demand signals, inventory and supply levels, as well as our ability to continue to safeguard the health of our associates.</w:t>
      </w:r>
    </w:p>
    <w:p>
      <w:pPr>
        <w:spacing w:after="0" w:line="70" w:lineRule="exact"/>
        <w:rPr>
          <w:rFonts w:ascii="Arial" w:cs="Arial" w:eastAsia="Arial" w:hAnsi="Arial"/>
          <w:sz w:val="16"/>
          <w:szCs w:val="16"/>
          <w:color w:val="auto"/>
        </w:rPr>
      </w:pPr>
    </w:p>
    <w:p>
      <w:pPr>
        <w:jc w:val="both"/>
        <w:ind w:left="800" w:hanging="401"/>
        <w:spacing w:after="0" w:line="26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212529"/>
        </w:rPr>
        <w:t xml:space="preserve">Throughout the second quarter and first half of 2020, production was also temporarily suspended or significantly limited in several locations in Asia Pacific, most notably at our Pulandian, China manufacturing facility. Our </w:t>
      </w:r>
      <w:r>
        <w:rPr>
          <w:rFonts w:ascii="Arial" w:cs="Arial" w:eastAsia="Arial" w:hAnsi="Arial"/>
          <w:sz w:val="18"/>
          <w:szCs w:val="18"/>
          <w:color w:val="000000"/>
        </w:rPr>
        <w:t>Pulandian facility began operating with all of its workforce by the</w:t>
      </w:r>
      <w:r>
        <w:rPr>
          <w:rFonts w:ascii="Arial" w:cs="Arial" w:eastAsia="Arial" w:hAnsi="Arial"/>
          <w:sz w:val="18"/>
          <w:szCs w:val="18"/>
          <w:color w:val="212529"/>
        </w:rPr>
        <w:t xml:space="preserve"> </w:t>
      </w:r>
      <w:r>
        <w:rPr>
          <w:rFonts w:ascii="Arial" w:cs="Arial" w:eastAsia="Arial" w:hAnsi="Arial"/>
          <w:sz w:val="18"/>
          <w:szCs w:val="18"/>
          <w:color w:val="000000"/>
        </w:rPr>
        <w:t>end of the first quarter and has been able to meet customer demand.</w:t>
      </w:r>
    </w:p>
    <w:p>
      <w:pPr>
        <w:spacing w:after="0" w:line="89" w:lineRule="exact"/>
        <w:rPr>
          <w:rFonts w:ascii="Arial" w:cs="Arial" w:eastAsia="Arial" w:hAnsi="Arial"/>
          <w:sz w:val="18"/>
          <w:szCs w:val="18"/>
          <w:color w:val="auto"/>
        </w:rPr>
      </w:pPr>
    </w:p>
    <w:p>
      <w:pPr>
        <w:jc w:val="both"/>
        <w:ind w:left="800" w:hanging="401"/>
        <w:spacing w:after="0" w:line="25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our business is deemed essential in the U.S. and most other parts of the world, in order to maintain customer service, warehouses, commercial truck service centers and retail operations have remained largely operational on a reduced staffing schedule and with strong social distancing practices in place. We continue to closely monitor local conditions surrounding these operations, as well as inventory and supply levels, to continue delivery of our products.</w:t>
      </w:r>
    </w:p>
    <w:p>
      <w:pPr>
        <w:spacing w:after="0" w:line="92"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following guidance from the Centers for Disease Control and Prevention and have introduced a number of preventative measures at our facilities that are open, including limiting visitor access and business travel, implementing remote working and social distancing practices, and increasing the frequency of disinfection.</w:t>
      </w:r>
    </w:p>
    <w:p>
      <w:pPr>
        <w:spacing w:after="0" w:line="89" w:lineRule="exact"/>
        <w:rPr>
          <w:rFonts w:ascii="Arial" w:cs="Arial" w:eastAsia="Arial" w:hAnsi="Arial"/>
          <w:sz w:val="18"/>
          <w:szCs w:val="18"/>
          <w:color w:val="auto"/>
        </w:rPr>
      </w:pPr>
    </w:p>
    <w:p>
      <w:pPr>
        <w:jc w:val="both"/>
        <w:ind w:left="800" w:hanging="401"/>
        <w:spacing w:after="0" w:line="301"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On April 2, 2020, we announced </w:t>
      </w:r>
      <w:r>
        <w:rPr>
          <w:rFonts w:ascii="Arial" w:cs="Arial" w:eastAsia="Arial" w:hAnsi="Arial"/>
          <w:sz w:val="16"/>
          <w:szCs w:val="16"/>
          <w:color w:val="212529"/>
        </w:rPr>
        <w:t>second quarter actions to reduce our payroll costs through a combination of furloughs, temporary salary</w:t>
      </w:r>
      <w:r>
        <w:rPr>
          <w:rFonts w:ascii="Arial" w:cs="Arial" w:eastAsia="Arial" w:hAnsi="Arial"/>
          <w:sz w:val="16"/>
          <w:szCs w:val="16"/>
          <w:color w:val="auto"/>
        </w:rPr>
        <w:t xml:space="preserve"> </w:t>
      </w:r>
      <w:r>
        <w:rPr>
          <w:rFonts w:ascii="Arial" w:cs="Arial" w:eastAsia="Arial" w:hAnsi="Arial"/>
          <w:sz w:val="16"/>
          <w:szCs w:val="16"/>
          <w:color w:val="212529"/>
        </w:rPr>
        <w:t xml:space="preserve">reductions and salary deferrals covering over 9,000 of our corporate and business unit associates, including substantial salary reductions and deferrals for our CEO, officers and directors. These and other similar actions reduced our expenses by approximately </w:t>
      </w:r>
      <w:r>
        <w:rPr>
          <w:rFonts w:ascii="Arial" w:cs="Arial" w:eastAsia="Arial" w:hAnsi="Arial"/>
          <w:sz w:val="16"/>
          <w:szCs w:val="16"/>
          <w:color w:val="000000"/>
        </w:rPr>
        <w:t>$65</w:t>
      </w:r>
      <w:r>
        <w:rPr>
          <w:rFonts w:ascii="Arial" w:cs="Arial" w:eastAsia="Arial" w:hAnsi="Arial"/>
          <w:sz w:val="16"/>
          <w:szCs w:val="16"/>
          <w:color w:val="212529"/>
        </w:rPr>
        <w:t xml:space="preserve"> million during the second quarter of 2020, while taking advantage of governmental income replacement programs to ensure our associates were supported.</w:t>
      </w:r>
    </w:p>
    <w:p>
      <w:pPr>
        <w:spacing w:after="0" w:line="62" w:lineRule="exact"/>
        <w:rPr>
          <w:rFonts w:ascii="Arial" w:cs="Arial" w:eastAsia="Arial" w:hAnsi="Arial"/>
          <w:sz w:val="16"/>
          <w:szCs w:val="16"/>
          <w:color w:val="auto"/>
        </w:rPr>
      </w:pPr>
    </w:p>
    <w:p>
      <w:pPr>
        <w:jc w:val="both"/>
        <w:ind w:left="800" w:hanging="401"/>
        <w:spacing w:after="0" w:line="25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9, 2020, we amended and restated our $2.0 billion first lien revolving credit facility, extending the maturity date from April 2021 to April 2025. The refinancing includes favorable adjustments to the calculation of the facility’s borrowing base, which improved our availability under the facility by approximately $275 million at June 30, 2020. In May 2020, we further strengthened our liquidity position by issuing $800 million of 9.5% senior notes due 2025. For further discussion related to these important sources of liquidity, refer to “Liquidity and Capital Resources.”</w:t>
      </w:r>
    </w:p>
    <w:p>
      <w:pPr>
        <w:spacing w:after="0" w:line="93"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16, 2020, we announced that we have temporarily suspended the quarterly dividend on our common stock. These dividends total approximately $37 million each quarter.</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800" w:hanging="401"/>
        <w:spacing w:after="0" w:line="25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leveraging governmental relief efforts to defer payroll and other tax payments, which benefited second quarter cash flows by $12 million and are expected to benefit full-year cash flows by approximately $60 million in the U.S. alone. In addition, we are benefiting from a CARES Act provision that provides for a 50 percent refundable payroll tax credit on wages, including continuing health benefits, paid to U.S. employees retained but not working due to the COVID-19 pandemic. As a result, during the second quarter of 2020, we recorded a benefit of approximately $10 million as an offset to payroll tax expense.</w:t>
      </w:r>
    </w:p>
    <w:p>
      <w:pPr>
        <w:spacing w:after="0" w:line="93" w:lineRule="exact"/>
        <w:rPr>
          <w:rFonts w:ascii="Arial" w:cs="Arial" w:eastAsia="Arial" w:hAnsi="Arial"/>
          <w:sz w:val="18"/>
          <w:szCs w:val="18"/>
          <w:color w:val="auto"/>
        </w:rPr>
      </w:pPr>
    </w:p>
    <w:p>
      <w:pPr>
        <w:jc w:val="both"/>
        <w:ind w:left="800" w:hanging="401"/>
        <w:spacing w:after="0" w:line="311"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taken, and will continue to take, other actions to reduce costs and preserve cash in order to successfully navigate the current economic environment, including limiting capital expenditures to no more than $700 million for the full year and reducing discretionary spending, including other selling, administrative and general expenses, which decreased by more than $75 million in the second quarter of 2020.</w:t>
      </w: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on April 17, 2020, we reached a tentative bargaining agreement and subsequently approved a plan to permanently close our Gadsden, Alabama manufacturing facility as part of our strategy to strengthen the competitiveness of our manufacturing footprint by curtailing production of tires for declining, less profitable segments of the tire market. Members of the local union approved the bargaining agreement on May 1, 2020. We estimate the total pre-tax charges associated with this plan to be $280 million to $295 million, of which $170 million to $180 million are expected to be cash charges. We recorded approximately $150 million of these charges during the second quarter of 2020 and expect to make cash payments of approximately $40 million in 2020, largely during the second half. The remaining charges will be recorded and the remaining cash payments will be made primarily in 2021 and 2022. We expect the combined impact of this plan and the previously announced rationalization actions related to our Gadsden, Alabama manufacturing facility will result in approximately $130 million in annual savings in 2021 when compared to 2019.</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results for the second quarter of 2020 include a 45.5% decrease in tire unit shipments compared to the second quarter of 2019, as industry demand was significantly affected by the actions governments, businesses and consumers took to slow the spread of COVID-19. Our results for the second quarter of 2020 include an approximate $300 million unfavorable impact due to lower factory utilization and other period costs directly related to the suspension of production and subsequent ramp up at our manufacturing facilities. These negative impacts were partially offset by cost savings of approximately $96 million, including raw material cost saving measures of approximately $18 million.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the second quarter of 2020 were $2,144 million, compared to $3,632 million in the second quarter of 2019. Net sales decreased in the second quarter of 2020 primarily due to lower global tire unit volume, lower sales in other tire-related businesses, primarily due to a decrease in third-party sales of chemical products in Americas and lower aviation sales globally, and unfavorable foreign currency translation. These decreases were partially offset by improvements in price and product mix, primarily in Americas and EMEA.</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second quarter of 2020, Goodyear net loss was $696 million, or $2.97 per share, compared to net income of $54 million, or $0.23 per share, in the second quarter of 2019. The change in Goodyear net income (loss) was driven by lower segment operating income, a non-cash impairment charge, and higher rationalization charges, partially offset by lower income tax expense.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total segment operating loss for the second quarter of 2020 was $431 million, compared to income of $219 million in the second quarter of 2019. The $650 million change was primarily due to lower global tire unit volume of $338 million, higher conversion costs of $300 million, primarily in Americas and EMEA, and lower income from other tire-related businesses of $104 million, driven by lower third-party chemical sales in Americas and lower aviation sales globally. These decreases were partially offset by lower selling, administrative and general expense (“SAG”) of $112 million, primarily due to lower wages and benefits and lower advertising expense relating to actions taken as a result of the COVID-19 pandemic. Refer to “Results of Operations — Segment Information” for additional information.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the first six months of 2020 were $5,200 million, compared to $7,230 million in the first six months of 2019. Net sales decreased in the first six months of 2020 primarily due to lower global tire unit volume, lower sales in other tire-related businesses, primarily due to a decrease in third-part sales of chemical products in Americas and lower aviation sales globally, and unfavorable foreign currency translation. These decreases were partially offset by improvements in price and product mix, primarily in Americas and EMEA.</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six months of 2020, Goodyear net loss was $1,315 million, or $5.62 per share, compared to a net loss of $7 million, or $0.03 per share, in the first six months of 2019. The increase in Goodyear net loss was driven by lower segment operating income, non-cash impairment charges, and higher income tax expense.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total segment operating loss for the first six months of 2020 was $478 million, compared to income of $409 million in the first six months of 2019. The $887 million change was primarily due to lower global tire unit volume of $458 million, higher conversion costs of $362 million, primarily in Americas and EMEA, and lower income from other tire-related businesses of $112 million, driven by lower third-party chemical sales in Americas and lower aviation sales globally. These decreases were partially offset by lower SAG of $75 million, primarily due to lower wages and benefits and lower advertising expense relating to actions taken as a result of the COVID-19 pandemic. Refer to "Results of Operations — Segment Information” for additional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June 30, 2020, we had $1,006 million of cash and cash equivalents as well as $2,938 million of unused availability under our various credit agreements, compared to $908 million and $3,554 million, respectively, at December 31, 2019. Cash and cash equivalents increased by $98 million from December 31, 2019 primarily due to net borrowings of $1,414 million, partially offset by cash used for operating activities of $820 million, capital expenditures of $363 million, debt-related costs and other financing transactions of $53 million, and first quarter dividends paid of $37 million. Cash used for operating activities reflects our net loss for the period of $1,320 million, which includes non-cash charges for depreciation and amortization of $472 million, goodwill and other asset impairments of $330 million and rationalizations of $108 million, cash used for working capital of $520 million, and rationalization payments of $101 million. Refer to "Liquidity and Capital Resources"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Outlook</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COVID-19 pandemic has caused the temporary closure of many businesses throughout the world during the first half of 2020, which has limited global business activity. Most of our manufacturing facilities around the world suspended or significantly limited production during parts of the first half of 2020.</w:t>
      </w:r>
    </w:p>
    <w:p>
      <w:pPr>
        <w:spacing w:after="0" w:line="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Given the limited visibility we have into vehicle production and replacement tire demand, we have difficulty projecting industry volumes for the remainder of the year. We completed a phased restart of our manufacturing facilities during the second quarter of 2020. Decisions to increase production further will be based on an evaluation of market demand signals, inventory and supply levels, as well as our ability to continue to safeguard the health of our associates.</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seen a gradual recovery in tire demand in our major markets during the second quarter of 2020 and we currently believe that third quarter industry volumes will be down approximately 20% compared to the third quarter of 2019. Overhead absorption will also continue to be adversely affected by reduced plant production during the third quarter of 2020. We are currently planning for our production to be down approximately 5 million units versus the third quarter of 2019.</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other tire-related businesses are being significantly affected by the weak economic environment. Our retail and chemical businesses have both stabilized somewhat during the second quarter of 2020 and the decline in business and leisure travel is continuing to adversely impact our aviation business. In total, the year-over-year earnings decline in our other tire-related businesses is expected to be $30 million to $50 million during the third quarter of 2020.</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full year of 2020, we now expect our raw material costs will be a benefit of approximately $100 million compared to 2019, excluding transactional foreign currency and raw material cost saving measures. Natural and synthetic rubber prices and other commodity prices historically have been volatile, and this estimate could change significantly based on fluctuations in the cost of these and other key raw materials. We are continuing to focus on price and product mix, to substitute lower cost materials where possible, to work to identify additional substitution opportunities, to reduce the amount of material required in each tire, and to pursue alternative raw materials.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Refer to “Item 1A. Risk Factors” in this Quarterly Report on Form 10-Q and in our Annual Report on Form 10-K for the year ended December 31, 2019 (the “2019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and 2019</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 the second quarter of 2020 were $2,144 million, decreasing $1,488 million, or 41.0%, from $3,632 million in the second quarter of 2019. Goodyear net loss was $696 million, or $2.97 per share, in the second quarter of 2020, compared to net income of $54 million, or $0.23 per share, in the second quarter of 2019.</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decreased in the second quarter of 2020, primarily due to lower global tire unit volume of $1,411 million, lower sales in other tire-related businesses of $165 million, primarily due to a decrease in third-party sales of chemical products in Americas and lower aviation sales globally, and unfavorable foreign currency translation of $69 million, primarily in EMEA and Americas. These decreases were partially offset by improvements in price and product mix of $158 million, primarily in Americas and EMEA.</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Worldwide tire unit sales in the second quarter of 2020 were 20.4 million units, decreasing 17.0 million units, or 45.5%, from 37.4 million units in the second quarter of 2019. Replacement tire volume decreased 10.6 million units, or 39.2%, primarily in Americas and EMEA. OE tire volume decreased 6.4 million units, or 61.7%, primarily due to lower vehicle production globally.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sold (“CGS”) in the second quarter of 2020 was $2,216 million, decreasing $639 million, or 22.4%, from $2,855 million in the second quarter of 2019. CGS decreased primarily due to lower global tire unit volume of $1,073 million, foreign currency translation of $67 million, primarily in Americas and EMEA, and lower costs in other tire-related businesses of $61 million, driven by lower third-party chemical sales in Americas. These decreases were partially offset by higher conversion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$300 million, primarily due to lower factory utilization and other period costs, and the write-off of work-in-process inventory of approximately $11 million, both as a direct result of suspending production at our manufacturing facilities, primarily in Americas and EMEA, higher costs related to product mix of $156 million, primarily in Americas and EMEA, and higher raw material costs of $19 million, primarily in Americas and EMEA.</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CGS in the second quarter of 2020 and 2019 included pension expense of $4 million. CGS in the second quarter of 2020 included accelerated depreciation of $86 million ($65 million after-tax and minority), primarily related to the plan to permanently close our Gadsden, Alabama manufacturing facility, compared to $1 million ($1 million after-tax and minority) in 2019. CGS in the second quarter of 2020 and 2019 included incremental savings from rationalization plans of $28 million and $2 million, respectively. CGS was 103.4% of sales in the second quarter of 2020 compared to 78.6% in the second quarter of 2019.</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SAG in the second quarter of 2020 was $451 million, decreasing $135 million, or 23.0%, from $586 million in the second quarter of 2019. SAG decreased primarily due to lower wages and benefits of $55 million and lower advertising expense of $44 million, both relating to actions taken as a result of the COVID-19 pandemic, foreign currency translation of $16 million, and lower travel and entertainment expenses of $12 million.</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SAG in the second quarter of 2020 and 2019 included pension expense of $4 million. SAG in the second quarter of 2020 and 2019 also included incremental savings from rationalization plans of $1 million and $4 million, respectively. SAG was 21.0% of sales in the second quarter of 2020, compared to 16.1% in the second quarter of 2019.</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non-cash impairment charge of $148 million ($113 million after-tax and minority) related to TireHub in the second quarter of 2020. For further information, refer to Note to the Consolidated Financial Statements No. 9, Other Assets and Investments.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recorded net rationalization charges of $99 million ($76 million after-tax and minority) in the second quarter of 2020 and $4 million ($3 million after-tax and minority) in the second quarter of 2019. Net rationalization charges in the second quarter of 2020 primarily related to the plan to permanently close our Gadsden, Alabama manufacturing facility and additional termination benefits for associates at the closed Amiens, France manufacturing facility. Net rationalization charges in the second quarter of 2019 primarily related to a plan to modernize two of our tire manufacturing facilities in Germany.</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in the second quarter of 2020 was $85 million, decreasing $3 million, or 3.4%, from $88 million in the second quarter of 2019. The decrease was due to a lower average interest rate of 5.04% in the second quarter of 2020 compared to 5.32% in the second quarter of 2019, partially offset by a higher average debt balance of $6,753 million in the second quarter of 2020 compared to $6,622 million in the second quarter of 2019.</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in the second quarter of 2020 was $34 million of expense, compared to $17 million of expense in the second quarter of 2019. Other (Income) Expense in the second quarter of 2020 included net losses on asset sales of $3 million ($3 million after-tax and minority). The increase in net other expense was primarily due to foreign currency exchange as a result of the strengthening of the U.S. dollar, which was a loss of $4 million in the second quarter of 2020 and a gain of $11 million in the second quarter of 2019.</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second quarter of 2020, we recorded a tax benefit of $186 million on a loss before income taxes of $889 million. Income tax expense for the three months ended June 30, 2020 includes net discrete charges of $2 million ($2 million after minority interest), related to various discrete tax adjustments.</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quarter of 2019, we recorded income tax expense of $26 million on a loss before income taxes of $82 million. Income tax expense for the three months ended June 30, 2019 includes net discrete charges of $6 million ($6 million after minority interest), primarily related to adjusting our deferred tax assets in Luxembourg for a change in the tax 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regarding income taxes, refer to Note to the Consolidated Financial Statements No. 5,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Minority shareholders’ net income (loss) in the second quarter of 2020 was a net loss of $7 million, compared to net income of $2 million in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and 2019</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 the first six months of 2020 were $5,200 million, decreasing $2,030 million, or 28.1%, from $7,230 million in the first six months of 2019. Goodyear net loss was $1,315 million, or $5.62 per share, in the first six months of 2020, compared to Goodyear net loss of $7 million, or $0.03 per share, in the first six months of 2019.</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decreased in the first six months of 2020, primarily due to lower global tire unit volume of $1,935 million, lower sales in other tire-related business of $199 million, primarily due to a decrease in third-party sales of chemical products in Americas and lower aviation sales globally, and unfavorable foreign currency translation of $139 million, primarily in EMEA and Americas. These decreases were partially offset by improvements in price and product mix of $244 million, primarily in Americas and EMEA.</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Worldwide tire unit sales in the first six months of 2020 were 51.7 million units, decreasing 23.7 million units, or 31.5%, from 75.4 million units in the first six months of 2019. Replacement tire volume decreased 15.0 million units, or 27.6%, primarily in Americas and EMEA. OE tire volume decreased 8.7 million units, or 41.3%, primarily due to lower vehicle production globally.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CGS in the first six months of 2020 was $4,768 million, decreasing $966 million, or 16.8%, from $5,734 million in the first six months of 2019. CGS decreased primarily due to lower global tire unit volume of $1,477 million, foreign currency translation of $124 million, primarily in EMEA and Americas, and lower costs in other tire-related businesses of $87 million, driven by lower third-party chemical sales in Americas. These decreases were partially offset by higher conversion costs of $362 million, primarily due to lower factory utilization and other period costs, and the write-off of work-in-process inventory of approximately $26 million, both as a direct result of suspending production at our manufacturing facilities, primarily in Americas and EMEA, and higher costs related to product mix of $244 million, primarily in Americas and EMEA.</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CGS in the first six months of 2020 and 2019 included pension expense of $8 million. CGS in the first six months of 2020 included accelerated depreciation of $90 million ($69 million after-tax and minority), primarily related to the plan to permanently close our Gadsden, Alabama manufacturing facility, compared to $1 million ($1 million after-tax and minority) in 2019. CGS in the first six months of 2020 and 2019 included incremental savings from rationalization plans of $28 million and $3 million, respectively. CGS was 91.7% of sales in the first six months of 2020 compared to 79.3% in the first six months of 2019.</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SAG in the first six months of 2020 was $1,032 million, decreasing $101 million, or 8.9%, from $1,133 million in the first six months of 2019. SAG decreased primarily due to lower wages and benefits of $42 million and lower advertising expense of $39 million, both relating to actions taken as a result of the COVID-19 pandemic, foreign currency translation of $26 million, primarily in EMEA and Americas, and lower travel and entertainment expenses of $12 million. These decreases were partially offset by a $20 million increase in expense related to potentially uncollectible accounts receivable, primarily in EMEA and Americas.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SAG in the first six months of 2020 and 2019 included pension expense of $8 million. SAG in the first six months of 2020 and 2019 included incremental savings from rationalization plans of $2 million and $10 million, respectively. SAG was 19.8% of sales in the first six months of 2020, compared to 15.7% in the first six months of 2019.</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non-cash goodwill impairment charge of $182 million ($178 million after-tax and minority) related to our EMEA reporting unit and a $148 million non-cash impairment charge ($113 million after-tax and minority) related to TireHub during the first six months of 2020. For further information, refer to Note to the Consolidated Financial Statements No. 8, Goodwill and Intangible Assets, and Note to the Consolidated Financial Statements No. 9, Other Assets and Investments.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net rationalization charges of $108 million ($83 million after-tax and minority) in the first six months of 2020 and $107 million ($90 million after-tax and minority) in the first six months of 2019. Net rationalization charges in the first six months of 2020 primarily related to the plan to permanently close our Gadsden, Alabama manufacturing facility and additional termination benefits for associates at the closed Amiens, France manufacturing facility. Net rationalization charges in the first six months of 2019 primarily related to a plan to modernize two of our tire manufacturing facilities in Germany and a plan to reduce manufacturing headcount and improve operating efficiency in Americas.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expense in the first six months of 2020 was $158 million, decreasing $15 million, or 8.7%, from $173 million in the first six months of 2019. The decrease was due to a lower average interest rate of 4.92% in the first six months of 2020 compared to 5.42% in the first six months of 2019, partially offset by a higher average debt balance of $6,423 million in the first six months of 2020 compared to $6,378 million in the first six months of 2019.</w:t>
      </w:r>
    </w:p>
    <w:p>
      <w:pPr>
        <w:spacing w:after="0" w:line="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(Income) Expense in the first six months of 2020 was $61 million of expense, compared to $39 million of expense in the first six months of 2019. Other (Income) Expense in the first six months of 2020 included pension settlement charges of $3 million ($2 million after-tax and minority) and net losses on asset sales of $2 million ($2 million after-tax and minority). The increase in net other expense was primarily due to foreign currency exchange as a result of the strengthening of the U.S. dollar, which was a loss of $3 million in the first six months of 2020 and a gain of $18 million in the first six months of 2019. Other (Income) Expense in the first six months of 2019 included net gains on asset sales of $6 million ($5 million after-tax and minority), charges of $5 million ($4 million after-tax and minority) for legal claims related to discontinued products, and a net gain on insurance recoveries of $3 million ($3 million after-tax and minority) related to Hurricanes Harvey and Irma.</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first six months of 2020, we recorded income tax expense of $63 million on a loss before income taxes of $1,257 million. Income tax expense for the six months ended June 30, 2020 includes net discrete charges of $293 million ($293 million after minority interest), primarily related to the establishment of a valuation allowance on deferred tax assets for foreign tax credits during the first quarter of 2020 as discussed below.</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six months of 2019, we recorded income tax expense of $32 million on income before income taxes of $44 million. Income tax expense for the six months ended June 30, 2019 includes net discrete charges of $13 million ($12 million after minority interest). The net discrete tax charge includes a second quarter charge of $6 million related to adjusting our deferred tax assets in Luxembourg for a change in the tax rate and various first quarter net discrete charges of $7 million.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taxes based on overall estimated annual effective tax rates. The difference between our effective tax rate and the U.S. statutory rate of 21% for the six months ended June 30, 2020 primarily relates to the discrete items noted above, a first quarter non-cash goodwill impairment charge of $182 million, and forecasted losses for the full year in foreign jurisdictions in which no tax benefits are recorded, which have been accentuated during 2020 by business interruptions resulting from the COVID-19 pandemic. The difference between our effective tax rate and the U.S. statutory rate of 21% for the six months ended June 30,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2019 primarily relates to the discrete items noted above and the overall higher effective tax rate in the foreign jurisdictions in which we operate, partially offset by a benefit from our foreign derived intangible income deduction.</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June 30, 2020, we had approximately $1.1 billion of U.S. federal, state and local deferred tax assets, net of valuation allowances totaling $308 million, primarily related to foreign tax credits with limited lives. Approximately $900 million of these U.S. net deferred tax assets have unlimited lives and approximately $200 million have limited lives, substantially all of which expire after 2025. In the U.S., we have cumulative positive profitability in the three-year period ended June 30, 2020; however, negative evidence of reduced profitability as a result of the continuing business disruption created by the COVID-19 pandemic must be considered in our assessment of our ability to realize our net deferred tax assets. While the disruption to our business is expected to be temporary, there is considerable uncertainty around the extent and duration of that disruption and we are currently expecting to incur a significant U.S. tax loss during the second half of 2020 as a result. Depending upon the magnitude of this loss as well as the continuing duration of pandemic-related disruptions and the timing of the subsequent recovery, a valuation allowance may be required against all of our U.S. net deferred tax assets in a future period.</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June 30, 2020 and December 31, 2019, our U.S. deferred tax assets included approximately $118 million and $403 million of foreign tax credits, net of valuation allowances of $298 million and $3 million, respectively, generated primarily from the receipt of foreign dividends. During the first quarter of 2020, we established a valuation allowance of $295 million against substantially all of these foreign tax credits with expiration dates through 2025. Due to the sudden and sharp decline in industry demand and the temporary suspension of production at our U.S. manufacturing facilities as a result of the COVID-19 pandemic, we expect to incur a significant U.S. tax loss for 2020. As loss carry-forwards must be utilized prior to foreign tax credits in offsetting future income for tax purposes, we concluded that it is no longer more likely than not that we will be able to utilize these foreign tax credits prior to their expiration. Our earnings and forecasts of future profitability along with our sources of foreign income provide us sufficient positive evidence that we will be able to utilize our remaining foreign tax credits that expire between 2025 and 2030.</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and December 31, 2019, we had approximately $1.3 billion and $1.2 billion of foreign deferred tax assets and valuation allowances of $993 million and $969 million, respectively.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62" w:lineRule="exact"/>
        <w:rPr>
          <w:sz w:val="20"/>
          <w:szCs w:val="20"/>
          <w:color w:val="auto"/>
        </w:rPr>
      </w:pPr>
    </w:p>
    <w:p>
      <w:pPr>
        <w:ind w:right="520"/>
        <w:spacing w:after="0" w:line="375" w:lineRule="auto"/>
        <w:rPr>
          <w:sz w:val="20"/>
          <w:szCs w:val="20"/>
          <w:color w:val="auto"/>
        </w:rPr>
      </w:pPr>
      <w:r>
        <w:rPr>
          <w:rFonts w:ascii="Arial" w:cs="Arial" w:eastAsia="Arial" w:hAnsi="Arial"/>
          <w:sz w:val="18"/>
          <w:szCs w:val="18"/>
          <w:color w:val="auto"/>
        </w:rPr>
        <w:t xml:space="preserve">Minority shareholders’ net income (loss) in the first six months of 2020 was a net loss of $5 million, compared to net income of $19 million in 2019. </w:t>
      </w:r>
      <w:r>
        <w:rPr>
          <w:rFonts w:ascii="Arial" w:cs="Arial" w:eastAsia="Arial" w:hAnsi="Arial"/>
          <w:sz w:val="18"/>
          <w:szCs w:val="18"/>
          <w:b w:val="1"/>
          <w:bCs w:val="1"/>
          <w:u w:val="single" w:color="auto"/>
          <w:color w:val="auto"/>
        </w:rPr>
        <w:t>SEGMENT INFORMATION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information reflects our strategic business units (“SBUs”), which are organized to meet customer requirements and global competition and are segmented on a regional basis.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goodwill and other asset impairment charges and certain other items.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segment operating loss for the second quarter of 2020 was $431 million, a change of $650 million from total segment operating income of $219 million in the second quarter of 2019. Total segment operating margin (segment operating income divided by segment sales) in the second quarter of 2020 was (20.1%), compared to 6.0% in the second quarter of 2019. Total segment operating loss in the first six months of 2020 was $478 million, a change of $887 million from total segment operating income of $409 million in the first six months of 2019. Total segment operating margin in the first six months of 2020 was (9.2%), compared to 5.7% in the first six months of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3"/>
              </w:rPr>
              <w:t>Six Months Ended June 30,</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36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jc w:val="right"/>
              <w:ind w:right="297"/>
              <w:spacing w:after="0" w:line="133"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94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jc w:val="right"/>
              <w:ind w:right="297"/>
              <w:spacing w:after="0" w:line="13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3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80" w:type="dxa"/>
            <w:vAlign w:val="bottom"/>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80" w:type="dxa"/>
            <w:vAlign w:val="bottom"/>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Units</w:t>
            </w:r>
          </w:p>
        </w:tc>
        <w:tc>
          <w:tcPr>
            <w:tcW w:w="3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rPr>
              <w:t>23.0</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33.8</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   1,134</w:t>
            </w: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   1,971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2,807</w:t>
            </w:r>
          </w:p>
        </w:tc>
        <w:tc>
          <w:tcPr>
            <w:tcW w:w="160" w:type="dxa"/>
            <w:vAlign w:val="bottom"/>
          </w:tcPr>
          <w:p>
            <w:pPr>
              <w:spacing w:after="0"/>
              <w:rPr>
                <w:sz w:val="19"/>
                <w:szCs w:val="19"/>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   3,847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(1,040)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(287)</w:t>
            </w:r>
          </w:p>
        </w:tc>
        <w:tc>
          <w:tcPr>
            <w:tcW w:w="10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Operating Margin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and 2019</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Americas unit sales in the second quarter of 2020 decreased 8.6 million units, or 50.4%, to 8.5 million units. Replacement tire volume decreased 5.8 million units, or 44.7%, primarily in our consumer business in the United States, Brazil and Canada due to lower sales resulting from the economic impacts of the COVID-19 pandemic, including the impact of a significant customer in the U.S. temporarily closing its auto care facilities. OE tire volume decreased 2.8 million units, or 68.4%, primarily in our consumer business in the United States, Brazil and Canada, driven by lower vehicle production as a result of the pandemic-related factory shutdowns at major OE manufacturers.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the second quarter of 2020 were $1,134 million, decreasing $837 million, or 42.5%, from $1,971 million in the second quarter of 2019. The decrease in net sales was driven by lower tire volume of $779 million, lower sales in other tire-related businesses of $123 million, primarily due to a decrease in third-party sales of chemical products and lower aviation and retail sales, and unfavorable foreign currency translation of $25 million, primarily related to the Brazilian real. These decreases were partially offset by improvements in price and product mix of $90 million, driven by higher proportionate sales of commercial tires.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Operating loss in the second quarter of 2020 was $287 million, a change of $421 million from operating income of $134 million in the second quarter of 2019. The change in operating income (loss) was due to higher conversion costs of $182 million, primarily related to lower factory utilization and other period costs, and a write-off of work-in-process inventory of approximately $4 million, both as a direct result of suspending production at our manufacturing facilities, lower tire volume of $180 million, lower earnings in other tire-related businesses of $64 million, primarily due to a decrease in third-party sales of chemical products and lower aviation and retail sales, unfavorable price and product mix of $18 million and higher raw material costs of $12 million. These decreases were partially offset by lower SAG of $41 million, primarily related to lower wages and benefits and lower advertising expense relating to actions taken as a result of the COVID-19 pandemic. Conversion costs included savings from rationalization plans of $26 million in 2020. Price and product mix includes TireHub equity losses of $14 million and $15 million in the second quarter of 2020 and 2019, respectively.</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(loss) in the second quarter of 2020 excluded the TireHub non-cash impairment charge of $148 million, as well as asset write-offs and accelerated depreciation of $86 million and rationalization charges of $69 million, primarily related to the plan to permanently close our Gadsden, Alabama manufacturing facility. Operating income (loss) in the second quarter of 2019 excluded rationalization charges of $2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and 2019</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Americas unit sales in the first six months of 2020 decreased 10.8 million units, or 32.1%, to 23.0 million units. Replacement tire volume decreased 7.6 million units, or 29.7%, primarily in our consumer business in the United States, Brazil and Canada due to lower sales resulting from the economic impacts of the COVID-19 pandemic. OE tire volume decreased 3.2 million units, or 39.6%, primarily in our consumer business in the United States, Brazil and Canada, driven by lower vehicle production as a result of the pandemic-related factory shutdowns at major OE manufacturers.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the first six months of 2020 were $2,807 million, decreasing $1,040 million, or 27.0%, from $3,847 million in the first six months of 2019. The decrease in net sales was driven by lower tire volume of $978 million, lower sales in other tire-related businesses of $143 million, primarily due to a decrease in third-party sales of chemical products and lower aviation and retail sales, and unfavorable foreign currency translation of $50 million, primarily related to the Brazilian real. These decreases were partially offset by improvements in price and product mix of $131 million, driven by higher proportionate sales of commercial tires.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loss in the first six months of 2020 was $287 million, a change of $510 million from operating income of $223 million in the first six months of 2019. The change in operating income (loss) was due to lower tire volume of $219 million, higher conversion costs of $213 million, primarily related to lower factory utilization and other period costs, and the write-off of work-in-process inventory of approximately $13 million, both as a direct result of suspending production at our manufacturing facilities, lower earnings in other tire-related businesses of $70 million, primarily due to a decrease in third-party sales of chemical products and lower retail and aviation sales, and unfavorable price and product mix of $10 million. These decreases were partially offset by lower SAG of $17 million, primarily related to lower advertising expense and lower wages and benefits relating to actions taken as a result of the COVID-19 pandemic. Conversion costs included savings from rationalization plans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$26 million in 2020. Price and product mix includes TireHub equity losses of $26 million and $25 million in the first six months of 2020 and 2019, respectively.</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(loss) in the first six months of 2020 excluded the TireHub non-cash impairment charge of $148 million, as well as asset write-offs and accelerated depreciation of $89 million and rationalization charges of $72 million, primarily related to the plan to permanently close our Gadsden, Alabama manufacturing facility. Operating income (loss) in the first six months of 2019 excluded rationalization charges of $9 million.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Europe, Middle East and Africa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5"/>
              </w:rPr>
              <w:t>Three Months Ended June 30,</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3"/>
              </w:rPr>
              <w:t>Six Months Ended June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7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vMerge w:val="restart"/>
          </w:tcPr>
          <w:p>
            <w:pPr>
              <w:spacing w:after="0"/>
              <w:rPr>
                <w:sz w:val="11"/>
                <w:szCs w:val="11"/>
                <w:color w:val="auto"/>
              </w:rPr>
            </w:pPr>
          </w:p>
        </w:tc>
        <w:tc>
          <w:tcPr>
            <w:tcW w:w="76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1"/>
                <w:szCs w:val="11"/>
                <w:color w:val="auto"/>
              </w:rPr>
            </w:pPr>
          </w:p>
        </w:tc>
        <w:tc>
          <w:tcPr>
            <w:tcW w:w="7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vMerge w:val="restart"/>
          </w:tcPr>
          <w:p>
            <w:pPr>
              <w:spacing w:after="0"/>
              <w:rPr>
                <w:sz w:val="11"/>
                <w:szCs w:val="11"/>
                <w:color w:val="auto"/>
              </w:rPr>
            </w:pPr>
          </w:p>
        </w:tc>
        <w:tc>
          <w:tcPr>
            <w:tcW w:w="76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Tire Units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1,141</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1,671</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2,362</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(154)</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(163)</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(261)</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and 2019</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Europe, Middle East and Africa unit sales in the second quarter of 2020 decreased 6.0 million units, or 44.5%, to 7.3 million units. Replacement tire volume decreased 3.7 million units, or 37.5%, primarily due to lower consumer replacement volumes reflecting decreased industry demand due to the economic impacts of the COVID-19 pandemic and expected declines resulting from our initiative to align distribution in Europe. OE tire volume decreased 2.3 million units, or 62.9%, primarily in our consumer business, driven by lower vehicle production as a result of the pandemic-related factory shutdowns at major OE manufacturers and our continued exit of declining, less profitable market segments.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sales in the second quarter of 2020 were $676 million, decreasing $465 million, or 40.8%, from $1,141 million in the second quarter of 2019. Net sales decreased primarily due to lower tire unit volume of $464 million, unfavorable foreign currency translation of $28 million, driven by the weakening of the Turkish lira, euro, South African rand and Russian ruble, and lower earnings in other tire-related businesses of $27 million, primarily due to lower aviation, motorcycle and racing sales. These decreases were partially offset by improvements in price and product mix of $54 million, driven by higher proportionate sales of commercial tires and our continued focus on 17-inch and above rim size consumer tires.</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loss in the second quarter of 2020 was $110 million, a change of $154 million from operating income of $44 million in the second quarter of 2019. The change in operating income (loss) was primarily due to lower tire unit volume of $115 million, as well as higher conversion costs of $90 million, primarily related to lower factory utilization and other period costs, and the write-off of work-in-process inventory of approximately $7 million, both as a direct result of suspending production at our manufacturing facilities. Earnings in other tire-related businesses decreased by $19 million, primarily due to lower aviation and motorcycle sales. These decreases were partially offset by lower SAG of $51 million, primarily related to lower advertising expense and lower wages and benefits relating to actions taken as a result of the COVID-19 pandemic, and improvements in price and product mix of $25 million.</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(loss) in the second quarter of 2020 excluded net rationalization charges of $30 million and net losses on asset sales of $3 million. Operating income (loss) in the second quarter of 2019 excluded net rationalization charges of $2 million, accelerated depreciation of $1 million and net gains on asset sales of $1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and 2019</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Europe, Middle East and Africa unit sales in the first six months of 2020 decreased 8.7 million units, or 31.5%, to 18.9 million units. Replacement tire volume decreased 5.5 million units, or 27.4%, primarily due to lower consumer replacement volumes reflecting decreased industry demand due to the economic impacts of the COVID-19 pandemic and expected declines resulting from our initiative to align distribution in Europe. OE tire volume decreased 3.2 million units, or 42.4%, primarily in our consumer business, driven by lower vehicle production as a result of the pandemic-related factory shutdowns at major OE manufacturers and our continued exit of declining, less profitable market segments.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sales in the first six months of 2020 were $1,671 million, decreasing $691 million, or 29.3%, from $2,362 million in the first six months of 2019. Net sales decreased primarily due to lower tire unit volume of $680 million, unfavorable foreign currency translation of $65 million, driven by the weakening of the euro, Turkish lira and South African rand, and lower earnings in other tire-related businesses of $38 million, primarily due to lower motorcycle, aviation and racing sales. These decreases were partially offset by improvements in price and product mix of $92 million, driven by higher proportionate sales of commercial tires and our continued focus on 17-inch and above rim size consumer tires.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in the first six months of 2020 was $163 million, a change of $261 million from operating income of $98 million in the first six months of 2019. The change in operating income (loss) was primarily due to lower tire unit volume of $168 million, as well as higher conversion costs of $118 million, primarily related to lower factory utilization and other period costs, and the write-off of work-in-process inventory of approximately $12 million, both as a direct result of suspending production 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manufacturing facilities. Earnings in other tire-related businesses decreased by $18 million, primarily due to lower aviation sales. These decreases were partially offset by lower SAG of $36 million, primarily related to lower advertising expense and lower wages and benefits relating to actions taken as a result of the COVID-19 pandemic, and improvements in price and product mix of $27 million.</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(loss) in the first six months of 2020 excluded a non-cash goodwill impairment charge of $182 million, net rationalization charges of $36 million, net losses on asset sales of $2 million and accelerated depreciation of $1 million. Operating income (loss) in the first six months of 2019 excluded net rationalization charges of $98 million, net gains on asset sales of $6 million and accelerated depreciation of $1 million.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Asia Pacific</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w w:val="95"/>
              </w:rPr>
              <w:t>Three Months Ended June 30,</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3"/>
              </w:rPr>
              <w:t>Six Months Ended June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vMerge w:val="restart"/>
          </w:tcPr>
          <w:p>
            <w:pPr>
              <w:spacing w:after="0"/>
              <w:rPr>
                <w:sz w:val="11"/>
                <w:szCs w:val="11"/>
                <w:color w:val="auto"/>
              </w:rPr>
            </w:pPr>
          </w:p>
        </w:tc>
        <w:tc>
          <w:tcPr>
            <w:tcW w:w="76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1"/>
                <w:szCs w:val="11"/>
                <w:color w:val="auto"/>
              </w:rPr>
            </w:pPr>
          </w:p>
        </w:tc>
        <w:tc>
          <w:tcPr>
            <w:tcW w:w="7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vMerge w:val="restart"/>
          </w:tcPr>
          <w:p>
            <w:pPr>
              <w:spacing w:after="0"/>
              <w:rPr>
                <w:sz w:val="11"/>
                <w:szCs w:val="11"/>
                <w:color w:val="auto"/>
              </w:rPr>
            </w:pPr>
          </w:p>
        </w:tc>
        <w:tc>
          <w:tcPr>
            <w:tcW w:w="76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Tire Units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520</w:t>
            </w:r>
          </w:p>
        </w:tc>
        <w:tc>
          <w:tcPr>
            <w:tcW w:w="2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722</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1,021</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(116)</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and 2019</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unit sales in the second quarter of 2020 decreased 2.4 million units, or 35.6%, to 4.6 million units. OE tire volume decreased 1.3 million units, or 50.2%, primarily in our consumer business in India and China, driven by lower vehicle production as a result of the pandemic-related factory shutdowns at major OE manufacturers. Replacement tire volume decreased 1.1 million units, or 26.3%, primarily due to lower consumer replacement volumes reflecting decreased industry demand due to the economic impacts of the COVID-19 pandemic.</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the second quarter of 2020 were $334 million, decreasing $186 million, or 35.8%, from $520 million in the second quarter of 2019. Net sales decreased due to lower tire unit volume of $168 million, unfavorable foreign currency translation of $16 million, primarily related to the weakening of the Indian rupee and Australian dollar, and lower sales in other tire-related businesses of $15 million, primarily due to lower aviation sales. These decreases were partially offset by improvements in price and product mix of $14 million.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loss in the second quarter of 2020 was $34 million, a change of $75 million from operating income of $41 million in the second quarter of 2019. The change in operating income (loss) was due to lower tire unit volume of $43 million, higher conversion costs of $28 million, primarily due to the impact of lower tire production on overhead absorption, and lower earnings in other tire-related businesses of $21 million. These decreases were partially offset by lower SAG of $20 million, primarily related to lower advertising expense and lower wages and benefits relating to actions taken as a result of the COVID-19 pandemic.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and 2019</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unit sales in the first six months of 2020 decreased 4.2 million units, or 29.8%, to 9.8 million units. OE tire volume decreased 2.3 million units, or 42.2%, primarily in our consumer business in China and India, driven by lower vehicle production as a result of the pandemic-related factory shutdowns at major OE manufacturers. Replacement tire volume decreased 1.9 million units, or 21.8%, primarily due to lower consumer replacement volumes reflecting decreased industry demand due to the economic impacts of the COVID-19 pandemic.</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the first six months of 2020 were $722 million, decreasing $299 million, or 29.3%, from $1,021 million in the first six months of 2019. Net sales decreased due to lower tire unit volume of $277 million, unfavorable foreign currency translation of $24 million, primarily related to the weakening of the Australian dollar and Indian rupee, and lower sales in other tire-related businesses of $18 million, primarily due to lower aviation sales. These decreases were partially offset by improvements in price and product mix of $21 million.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loss in the first six months of 2020 was $28 million, a change of $116 million from operating income of $88 million in the first six months of 2019. The change in operating income (loss) was due to lower tire unit volume of $71 million, higher conversion costs of $31 million, primarily due to the impact of lower tire production on overhead absorption, lower earnings in other tire-related businesses of $24 million, and unfavorable price and product mix of $17 million. These decreases were partially offset by lower SAG of $22 million, primarily related to lower wages and benefits and lower advertising expense relating to actions taken as a result of the COVID-19 pandemic.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we amended and restated our $2.0 billion first lien revolving credit facility. Changes to the facility include extending the maturity to April 9, 2025 and increasing the borrowing base for the facility by increasing the amount attributable to the value of our principal trademarks and adding the value of eligible machinery and equipment, which improved our availability under the facility by approximately $275 million at June 30, 2020. The interest rate for loans under the facility increased by 50 basis points to LIBOR plus 175 basis points, based on our current liquidity, and undrawn amounts under the facility will be subject to an annual commitment fee of 25 basis points.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we further enhanced our liquidity position by issuing $800 million of 9.5% senior notes due 2025. We intend to use the net proceeds from the issuance of these notes for general corporate purposes, including repaying or redeeming our outstanding $282 million 8.75% notes at or prior to their maturity on August 15, 2020.</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June 30, 2020, we had $1,006 million in cash and cash equivalents, compared to $908 million at December 31, 2019. For the six months ended June 30, 2020, net cash used by operating activities was $820 million, reflecting our net loss for the period of $1,320 million, which includes non-cash charges for depreciation and amortization of $472 million, goodwill and other asset impairments of $330 million and rationalizations of $108 million, cash used for working capital of $520 million, and rationalization payments of $101 million. Net cash used by investing activities was $390 million, primarily representing capital expenditures of $363 million. Net cash provided by financing activities was $1,324 million, due to net borrowings of $1,414 million, partially offset by debt-related costs and other financing transactions of $53 million and cash used for first quarter dividends of $37 million.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At June 30, 2020, we had $2,938 million of unused availability under our various credit agreements, compared to $3,554 million at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unused availability under our credit facilities at those dates: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58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lien revolving credit facility</w:t>
            </w:r>
          </w:p>
        </w:tc>
        <w:tc>
          <w:tcPr>
            <w:tcW w:w="25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1,651</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European revolving credit facility</w:t>
            </w:r>
          </w:p>
        </w:tc>
        <w:tc>
          <w:tcPr>
            <w:tcW w:w="2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Chinese credit facilities</w:t>
            </w:r>
          </w:p>
        </w:tc>
        <w:tc>
          <w:tcPr>
            <w:tcW w:w="2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Other domestic and international debt</w:t>
            </w:r>
          </w:p>
        </w:tc>
        <w:tc>
          <w:tcPr>
            <w:tcW w:w="2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Notes payable and overdrafts</w:t>
            </w:r>
          </w:p>
        </w:tc>
        <w:tc>
          <w:tcPr>
            <w:tcW w:w="25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80" w:type="dxa"/>
            <w:vAlign w:val="bottom"/>
            <w:tcBorders>
              <w:bottom w:val="single" w:sz="8" w:color="auto"/>
            </w:tcBorders>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2,938</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3,554</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position or results of operations in the period in which it occurs.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2020 cash flow needs to include capital expenditures of up to $700 million. We also expect interest expense to be $350 million to $375 million; rationalization payments to be $200 million to $225 million; income tax payments to be approximately $60 million; dividends on our common stock to be $37 million, which reflects the dividend already paid in the first quarter of 2020; and contributions to our funded non-U.S. pension plans to be approximately $25 million. We expect working capital to be a source of cash for the full year of 2020.</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repayment of our outstanding $282 million 8.75% notes due August 15, 2020, we expect our liquidity to remain strong in the second half of the year. However, the borrowing base under our first lien revolving credit facility is dependent, in significant part, on our eligible accounts receivable and inventory, which have declined as a result of our lower sales and production levels due to the COVID-19 pandemic. A decline in our borrowing base would reduce our availability under the first lien revolving credit facility. Additionally, the amounts available to us from our pan-European accounts receivable securitization facility and other accounts receivable factoring programs have declined since December 31, 2019 due to the decline in our accounts receivable as a result of the impacts of the COVID-19 pandemic on our sales.</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actively monitoring our liquidity and have taken a number of actions aimed at mitigating the negative consequences of the COVID-19 pandemic on our cash flows and liquidity, such as suspending production at most of our manufacturing facilities during parts of the first half of 2020, </w:t>
      </w:r>
      <w:r>
        <w:rPr>
          <w:rFonts w:ascii="Arial" w:cs="Arial" w:eastAsia="Arial" w:hAnsi="Arial"/>
          <w:sz w:val="16"/>
          <w:szCs w:val="16"/>
          <w:color w:val="212529"/>
        </w:rPr>
        <w:t>reducing our</w:t>
      </w:r>
      <w:r>
        <w:rPr>
          <w:rFonts w:ascii="Arial" w:cs="Arial" w:eastAsia="Arial" w:hAnsi="Arial"/>
          <w:sz w:val="16"/>
          <w:szCs w:val="16"/>
          <w:color w:val="auto"/>
        </w:rPr>
        <w:t xml:space="preserve"> </w:t>
      </w:r>
      <w:r>
        <w:rPr>
          <w:rFonts w:ascii="Arial" w:cs="Arial" w:eastAsia="Arial" w:hAnsi="Arial"/>
          <w:sz w:val="16"/>
          <w:szCs w:val="16"/>
          <w:color w:val="212529"/>
        </w:rPr>
        <w:t xml:space="preserve">second quarter payroll costs through a combination of furloughs, temporary salary reductions and salary deferrals, refinancing </w:t>
      </w:r>
      <w:r>
        <w:rPr>
          <w:rFonts w:ascii="Arial" w:cs="Arial" w:eastAsia="Arial" w:hAnsi="Arial"/>
          <w:sz w:val="16"/>
          <w:szCs w:val="16"/>
          <w:color w:val="000000"/>
        </w:rPr>
        <w:t>our first lien revolving credit</w:t>
      </w:r>
      <w:r>
        <w:rPr>
          <w:rFonts w:ascii="Arial" w:cs="Arial" w:eastAsia="Arial" w:hAnsi="Arial"/>
          <w:sz w:val="16"/>
          <w:szCs w:val="16"/>
          <w:color w:val="212529"/>
        </w:rPr>
        <w:t xml:space="preserve"> </w:t>
      </w:r>
      <w:r>
        <w:rPr>
          <w:rFonts w:ascii="Arial" w:cs="Arial" w:eastAsia="Arial" w:hAnsi="Arial"/>
          <w:sz w:val="16"/>
          <w:szCs w:val="16"/>
          <w:color w:val="000000"/>
        </w:rPr>
        <w:t>facility to extend its maturity and increase its borrowing base, issuing $800 million of 9.5% senior notes due 2025, temporarily suspending the quarterly dividend on our common stock, reducing capital expenditures and discretionary spending, and using governmental relief efforts to defer payroll and other tax payments globally. We intend to operate the business in a way that allows us to address our cash flow needs with our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existing cash and available credit if they cannot be funded by cash generated from operating or other financing activities. We believe that our liquidity position is adequate to fund our operating and investing needs and debt maturities in 2020 and to provide us with the ability to respond to further changes in the business environment.</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and South Africa,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and South African subsidiaries, which are subject to such requirements or limitations to be integral to our liquidity or our ability to service our debt and operational requirements. At June 30, 2020, approximately $596 million of net assets, including $205 million of cash and cash equivalents, were subject to such requirements. The requirements we must comply with to transfer funds out of China and South Africa have not adversely impacted our ability to make transfers out of those countries.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by operating activities was $820 million in the first six months of 2020, increasing $529 million compared to net cash used by operating activities of $291 million in the first six months of 2019.</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net cash used by operating activities was driven by a decrease in operating income from our SBUs of $887 million and higher cash payments for rationalizations of $68 million, primarily due to cash payments made during 2020 related to the voluntary buy-out plan at our Gadsden, Alabama manufacturing facility. These uses of cash were partially offset by a decrease in cash used for working capital of $213 million, as well as the favorable impact of a $156 million change in Other Assets and Liabilities on the Balance Sheet, driven by reimbursements from foreign governments for furloughed associates, a decrease in equity investments primarily due to our 50% share of TireHub’s net losses and a decrease in deferred and other non-current income tax assets.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cash used for working capital reflects decreases in cash used for Accounts Receivable of $481 million and Inventory of $537 million, partially offset by an increase in cash used for Accounts Payable – Trade of $805 million. These changes were driven by the impacts of the COVID-19 pandemic, which included lower sales volume as well as mitigating actions taken by us, such as suspending production at our manufacturing facilities and reducing expenditures.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used by investing activities was $390 million in the first six months of 2020, compared to $419 million in the first six months of 2019. Capital expenditures were $363 million in the first six months of 2020, compared to $401 million in the first six months of 2019. Beyond expenditures required to sustain our facilities, capital expenditures in 2020 and 2019 primarily related to investments in additional 17-inch and above capacity around the world.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was $1,324 million in the first six months of 2020, compared to net cash provided by financing activities of $811 million in the first six months of 2019. Financing activities in 2020 included net borrowings of $1,414 million, which were partially offset by debt-related costs and other financing transactions of $53 million and dividends on our common stock of $37 million. Financing activities in 2019 included net borrowings of $926 million, which were partially offset by dividends on our common stock of $74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Sources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aggregate, we had total credit arrangements of $9,751 million available at June 30, 2020, of which $2,938 million were unused, compared to $9,054 million available at December 31, 2019, of which $3,554 million were unused. At June 30, 2020, we had long term credit arrangements totaling $8,786 million, of which $2,702 million were unused, compared to $8,320 million and $3,189 million, respectively, at December 31, 2019. At June 30, 2020, we had short term committed and uncommitted credit arrangements totaling $965 million, of which $236 million were unused, compared to $734 million and $365 million, respectively, at December 31, 2019. The continued availability of the short term uncommitted arrangements is at the discretion of the relevant lender and may be terminated at any time.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Outstanding Notes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we had $4,115 million of outstanding notes compared to $3,311 million at December 31, 2019. In May 2020, we issued $800 million in aggregate principal amount of 9.5% senior notes due 2025.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 billion Amended and Restated First Lien Revolving Credit Facility due 2025</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9, 2020, we amended and restated our $2.0 billion first lien revolving credit facility. Changes to the facility include extending the maturity to April 9, 2025 and increasing the borrowing base for the facility by increasing the amount attributable to the value of our principal trademarks by $100 million and adding the value of eligible machinery and equipment. The interest rate for loans under the facility increased by 50 basis points to LIBOR plus 175 basis points, based on our current liquidity, and undrawn amounts under the facility will be subject to an annual commitment fee of 25 basis points.</w:t>
      </w:r>
    </w:p>
    <w:p>
      <w:pPr>
        <w:spacing w:after="0" w:line="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amended and restated first lien revolving credit facility is available in the form of loans or letters of credit. Up to $800 million in letters of credit and $50 million of swingline loans are available for issuance under the facility. Availability under the facility is subject to a borrowing base, which is based on</w:t>
      </w:r>
    </w:p>
    <w:p>
      <w:pPr>
        <w:jc w:val="both"/>
        <w:ind w:firstLine="8"/>
        <w:spacing w:after="0" w:line="252" w:lineRule="auto"/>
        <w:tabs>
          <w:tab w:leader="none" w:pos="219"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$200 million. To the extent that our eligible accounts receivable and inventory and other components of the borrowing base decline in value, our borrowing base will decrease and the availability under the facility may decrease below $2.0 billion. In addition, if the amount of outstanding borrowings and letters of credit under the facility exceeds the borrowing base, we are required to prepay borrowings and/or cash collateralize letters of credit sufficient to eliminate the excess. As of June 30, 2020, our borrowing base, and therefore our availability, under the facility was $331 million below the facility's stated amount of $2.0 billion.</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we had no borrowings and $17 million of letters of credit issued under the revolving credit facility. At December 31, 2019, we had no borrowings and $37 million of letters of credit issued under the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we had $333 million in letters of credit issued under bilateral letter of credit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and December 31, 2019, the amounts outstanding under this facility were $400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2024</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amended and restated European revolving credit facility consists of (i) a €180 million German tranche that is available only to Goodyear Dunlop Tires Germany GmbH (“GDTG”) and (ii) a €620 million all-borrower tranche that is available to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 Subject to the consent of the lenders whose commitments are to be increased, we may request that the facility be increased by up to €200 million.</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there were no borrowings outstanding under the German tranche, $135 million (€120 million) of borrowings outstanding under the all-borrower tranche and no letters of credit outstanding under the European revolving credit facility. At December 31, 2019, there were no borrowings and no letters of credit outstanding under the European revolving credit facility.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2019 under the first lien facility and December 31, 2018 under the European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18, 2018 through October 15, 2020, the designated maximum amount of the facility is €320 million.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law, regulation or accounting standards), or (d) our request for early termination of the facility. The facility’s current back-up liquidity commitments will expire on October 15, 2020.</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the amounts available and utilized under this program totaled $157 million (€140 million). At December 31, 2019, the amounts available and utilized under this program totaled $327 million (€291 million). The program does not qualify for sale accounting, and accordingly, these amounts are included in Long Term Debt and Finance Leases.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June 30, 2020, the gross amount of receivables sold was $349 million, compared to $548 million at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Supplier Financing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entered into payment processing agreements with several financial institutions. Under these agreements, the financial institution acts as our paying agent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w:t>
      </w:r>
      <w:r>
        <w:rPr>
          <w:rFonts w:ascii="Arial" w:cs="Arial" w:eastAsia="Arial" w:hAnsi="Arial"/>
          <w:sz w:val="18"/>
          <w:szCs w:val="18"/>
          <w:color w:val="252525"/>
        </w:rPr>
        <w:t>Our obligations to our suppliers, including the amounts due and scheduled payment dates, are not impacted</w:t>
      </w:r>
      <w:r>
        <w:rPr>
          <w:rFonts w:ascii="Arial" w:cs="Arial" w:eastAsia="Arial" w:hAnsi="Arial"/>
          <w:sz w:val="18"/>
          <w:szCs w:val="18"/>
          <w:color w:val="auto"/>
        </w:rPr>
        <w:t xml:space="preserve"> </w:t>
      </w:r>
      <w:r>
        <w:rPr>
          <w:rFonts w:ascii="Arial" w:cs="Arial" w:eastAsia="Arial" w:hAnsi="Arial"/>
          <w:sz w:val="18"/>
          <w:szCs w:val="18"/>
          <w:color w:val="252525"/>
        </w:rPr>
        <w:t xml:space="preserve">by our suppliers' decisions to sell their receivables under the programs. Agreements for such financing programs totaled up to $500 million at </w:t>
      </w:r>
      <w:r>
        <w:rPr>
          <w:rFonts w:ascii="Arial" w:cs="Arial" w:eastAsia="Arial" w:hAnsi="Arial"/>
          <w:sz w:val="18"/>
          <w:szCs w:val="18"/>
          <w:color w:val="000000"/>
        </w:rPr>
        <w:t>June 30,</w:t>
      </w:r>
      <w:r>
        <w:rPr>
          <w:rFonts w:ascii="Arial" w:cs="Arial" w:eastAsia="Arial" w:hAnsi="Arial"/>
          <w:sz w:val="18"/>
          <w:szCs w:val="18"/>
          <w:color w:val="252525"/>
        </w:rPr>
        <w:t xml:space="preserve"> </w:t>
      </w:r>
      <w:r>
        <w:rPr>
          <w:rFonts w:ascii="Arial" w:cs="Arial" w:eastAsia="Arial" w:hAnsi="Arial"/>
          <w:sz w:val="18"/>
          <w:szCs w:val="18"/>
          <w:color w:val="000000"/>
        </w:rPr>
        <w:t xml:space="preserve">2020 </w:t>
      </w:r>
      <w:r>
        <w:rPr>
          <w:rFonts w:ascii="Arial" w:cs="Arial" w:eastAsia="Arial" w:hAnsi="Arial"/>
          <w:sz w:val="18"/>
          <w:szCs w:val="18"/>
          <w:color w:val="252525"/>
        </w:rPr>
        <w:t>and December 31,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Further Information</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After 2021, it is unclear whether banks will continue to provide LIBOR submissions to the administrator of LIBOR, and no consensus currently exists as to what benchmark rate or rates may become accepted alternatives to LIBOR. In the United States, efforts to identify a set of alternative U.S. dollar reference interest rates include proposals by the Alternative Reference Rates Committee that has been convened by the Federal Reserve Board and the Federal Reserve Bank of New York. Additionally, the International Swaps and Derivatives Association, Inc. launched a consultation on technical issues related to new benchmark fallbacks for derivative contracts that reference certain interbank offered rates, including LIBOR. We cannot currently predict the effect of the discontinuation of, or other changes to, LIBOR or any establishment of alternative reference rates in the United States,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We have identified and evaluated our financing obligations and other contracts that refer to LIBOR and expect to be able to transition those obligations and contracts to an alternative reference rate in the event of the discontinuation of LIBOR. Our amended and restated first lien revolving credit facility, our second lien term loan facility and our European revolving credit facility, which constitute the most significant of our LIBOR-based debt obligations that mature after 2021, contain “fallback” provisions that address the potential discontinuation of LIBOR and facilitate the adoption of an alternate rate of interest. We have not issued any long term floating rate notes. Our amended and restated first lien revolving credit facility and second lien term loan facility also contain express provisions for the use, at our option, of an alternative base rate (the higher of (a) the prime rate, (b) the federal funds effective rate or the overnight bank funding rate plus 50 basis points or (c) LIBOR plus 100 basis points). We do not believe that the discontinuation of LIBOR, or its replacement with an alternative reference rate or rates, will have a material impact on our results of operations, financial position or liquidity.</w:t>
      </w:r>
    </w:p>
    <w:p>
      <w:pPr>
        <w:spacing w:after="0" w:line="6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For a further description of the terms of our outstanding notes, first lien revolving credit facility, second lien term loan facility, European revolving credit facility and pan-European accounts receivable securitization facility, refer to Note to the Consolidated Financial Statements No. 15, Financing Arrangements and Derivative Financial Instruments, in our 2019 Form 10</w:t>
      </w:r>
      <w:r>
        <w:rPr>
          <w:rFonts w:ascii="MS PGothic" w:cs="MS PGothic" w:eastAsia="MS PGothic" w:hAnsi="MS PGothic"/>
          <w:sz w:val="18"/>
          <w:szCs w:val="18"/>
          <w:color w:val="auto"/>
        </w:rPr>
        <w:t>‑</w:t>
      </w:r>
      <w:r>
        <w:rPr>
          <w:rFonts w:ascii="Arial" w:cs="Arial" w:eastAsia="Arial" w:hAnsi="Arial"/>
          <w:sz w:val="18"/>
          <w:szCs w:val="18"/>
          <w:color w:val="auto"/>
        </w:rPr>
        <w:t>K and Note to the Consolidated Financial Statements No. 10, Financing Arrangements and Derivative Financial Instruments, in this Form 10-Q.</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 Compliance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first and second lien credit facilities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and second lien credit facilities and the indentures governing our notes also have customary defaults, including cross-defaults to material indebtedness of Goodyear and its subsidiaries.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additional financial covenants in our first and second lien credit facilities that are currently not applicable. We only become subject to these financial covenants when certain events occur. These financial covenants and related events are as follows:</w:t>
      </w:r>
    </w:p>
    <w:p>
      <w:pPr>
        <w:spacing w:after="0" w:line="62" w:lineRule="exact"/>
        <w:rPr>
          <w:sz w:val="20"/>
          <w:szCs w:val="20"/>
          <w:color w:val="auto"/>
        </w:rPr>
      </w:pPr>
    </w:p>
    <w:p>
      <w:pPr>
        <w:jc w:val="both"/>
        <w:ind w:left="800" w:hanging="401"/>
        <w:spacing w:after="0" w:line="255"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become subject to the financial covenant contained in our first lien revolving credit facility when the aggregate amount of our Parent Company (The Goodyear Tire &amp; Rubber Company) and guarantor subsidiaries cash and cash equivalents (“Available Cash”) plus our availability under our first lien revolving credit facility is less than $200 million. If this were to occur, our ratio of EBITDA to Consolidated Interest Expense may not be less than 2.0 to 1.0 for the most recent period of four consecutive fiscal quarters. As of June 30, 2020, our availability under this facility of $1,651 million, plus our Available Cash of $222 million, totaled $1,873 million, which is in excess of $200 million.</w:t>
      </w:r>
    </w:p>
    <w:p>
      <w:pPr>
        <w:spacing w:after="0" w:line="84" w:lineRule="exact"/>
        <w:rPr>
          <w:rFonts w:ascii="Arial" w:cs="Arial" w:eastAsia="Arial" w:hAnsi="Arial"/>
          <w:sz w:val="18"/>
          <w:szCs w:val="18"/>
          <w:color w:val="auto"/>
        </w:rPr>
      </w:pPr>
    </w:p>
    <w:p>
      <w:pPr>
        <w:jc w:val="both"/>
        <w:ind w:left="800" w:hanging="401"/>
        <w:spacing w:after="0" w:line="301"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become subject to a covenant contained in our second lien credit facility upon certain asset sales. The covenant provides that, before we use cash proceeds from certain asset sales to repay any junior lien, senior unsecured or subordinated indebtedness, we must first offer to use such cash proceeds to prepay borrowings under the second lien credit facility unless our ratio of Consolidated Net Secured Indebtedness to EBITDA (Pro Forma Senior Secured Leverage Ratio) for any period of four consecutive fiscal quarters is equal to or less than 3.0 to 1.0.</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our European revolving credit facility contains non-financial covenants similar to the non-financial covenants in our first and second lien credit facilities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June 30, 2020, we were in compliance with this financial covenant.</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Covenants could change based upon a refinancing or amendment of an existing facility, or additional covenants may be added in connection with the incurrence of new debt.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At June 30, 2020, we were in compliance with the currently applicable material covenants imposed by our principal credit facilities and indentures.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terms “Available Cash,” “EBITDA,” “Consolidated Interest Expense,” “Consolidated Net Secured Indebtedness,” “Pro Forma Senior Secured Leverage Ratio,” “Consolidated Net GEBV Indebtedness” and “Consolidated GEBV EBITDA” have the meanings given them in the respective credit facilities.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Future Financings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previous financing activities,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 and Common Stock Repurchase Program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six months of 2020, we paid cash dividends of $37 million on our common stock, all of which was paid in the first quarter of 2020. This amount excludes dividends earned on stock-based compensation plans of approximately $1 million for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first six months of 2020. On April 16, 2020, we announced that we have temporarily suspended the quarterly dividend on our common stock.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restrictions imposed by our credit facilities and indentures did not affect our ability to pay the dividends on our common stock described above, and are not expected to affect our ability to pay similar dividends in the future when we reinstate our dividend.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Dispositions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restrictions on asset sales imposed by our material indebtedness have not affected our ability to divest non-core businesses, and those divestitures have not affected our ability to comply with those restrictions.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subsidiaries, which are listed on Exhibit 22 to this Quarterly Report on Form 10-Q and are generally holding companies or smaller operating companies, have guaranteed our obligations under the $282 million outstanding principal amount of 8.75% notes due 2020, the $1.0 billion outstanding principal amount of 5.125% senior notes due 2023, the $800 million outstanding principal amount of 9.5% senior notes due 2025, the $900 million outstanding principal amount of 5% senior notes due 2026 and the $700 million outstanding principal amount of 4.875% senior notes due 2027 (collectively, the “Notes”).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certain of our senior secured credit facilities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76" w:lineRule="exact"/>
        <w:rPr>
          <w:sz w:val="20"/>
          <w:szCs w:val="20"/>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Subsidiary Guarantor was insolvent or rendered insolvent by reason of the incurrence;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Subsidiary Guarantor was engaged in a business or transaction for which its remaining assets constituted unreasonably small capital; or</w:t>
      </w:r>
    </w:p>
    <w:p>
      <w:pPr>
        <w:spacing w:after="0" w:line="140" w:lineRule="exact"/>
        <w:rPr>
          <w:rFonts w:ascii="Arial" w:cs="Arial" w:eastAsia="Arial" w:hAnsi="Arial"/>
          <w:sz w:val="16"/>
          <w:szCs w:val="16"/>
          <w:color w:val="auto"/>
        </w:rPr>
      </w:pPr>
    </w:p>
    <w:p>
      <w:pPr>
        <w:ind w:left="800" w:hanging="401"/>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Subsidiary Guarantor intended to incur, or believed (or reasonably should have believed) that it would incur, debts beyond its ability to pay as those debts matured.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9" w:lineRule="exact"/>
        <w:rPr>
          <w:sz w:val="20"/>
          <w:szCs w:val="20"/>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action was intended to defeat, hinder, delay, defraud or prejudice creditors or others;</w:t>
      </w:r>
    </w:p>
    <w:p>
      <w:pPr>
        <w:spacing w:after="0" w:line="117" w:lineRule="exact"/>
        <w:rPr>
          <w:rFonts w:ascii="Arial" w:cs="Arial" w:eastAsia="Arial" w:hAnsi="Arial"/>
          <w:sz w:val="18"/>
          <w:szCs w:val="18"/>
          <w:color w:val="auto"/>
        </w:rPr>
      </w:pPr>
    </w:p>
    <w:p>
      <w:pPr>
        <w:jc w:val="both"/>
        <w:ind w:left="800" w:hanging="401"/>
        <w:spacing w:after="0" w:line="259"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8" w:lineRule="exact"/>
        <w:rPr>
          <w:rFonts w:ascii="Arial" w:cs="Arial" w:eastAsia="Arial" w:hAnsi="Arial"/>
          <w:sz w:val="18"/>
          <w:szCs w:val="18"/>
          <w:color w:val="auto"/>
        </w:rPr>
      </w:pPr>
    </w:p>
    <w:p>
      <w:pPr>
        <w:jc w:val="both"/>
        <w:ind w:left="800" w:hanging="401"/>
        <w:spacing w:after="0" w:line="311"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40" w:lineRule="exact"/>
        <w:rPr>
          <w:rFonts w:ascii="Arial" w:cs="Arial" w:eastAsia="Arial" w:hAnsi="Arial"/>
          <w:sz w:val="16"/>
          <w:szCs w:val="16"/>
          <w:color w:val="auto"/>
        </w:rPr>
      </w:pPr>
    </w:p>
    <w:p>
      <w:pPr>
        <w:ind w:left="800" w:hanging="401"/>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767"/>
              <w:spacing w:after="0"/>
              <w:rPr>
                <w:sz w:val="20"/>
                <w:szCs w:val="20"/>
                <w:color w:val="auto"/>
              </w:rPr>
            </w:pPr>
            <w:r>
              <w:rPr>
                <w:rFonts w:ascii="Arial" w:cs="Arial" w:eastAsia="Arial" w:hAnsi="Arial"/>
                <w:sz w:val="14"/>
                <w:szCs w:val="14"/>
                <w:b w:val="1"/>
                <w:bCs w:val="1"/>
                <w:color w:val="auto"/>
                <w:w w:val="91"/>
              </w:rPr>
              <w:t>Summarized Balance Sheets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6680" w:type="dxa"/>
            <w:vAlign w:val="bottom"/>
          </w:tcPr>
          <w:p>
            <w:pPr>
              <w:spacing w:after="0"/>
              <w:rPr>
                <w:sz w:val="11"/>
                <w:szCs w:val="11"/>
                <w:color w:val="auto"/>
              </w:rPr>
            </w:pPr>
          </w:p>
        </w:tc>
        <w:tc>
          <w:tcPr>
            <w:tcW w:w="13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jc w:val="right"/>
              <w:ind w:right="27"/>
              <w:spacing w:after="0" w:line="133" w:lineRule="exact"/>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66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jc w:val="right"/>
              <w:ind w:right="67"/>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14"/>
                <w:szCs w:val="14"/>
                <w:color w:val="auto"/>
              </w:rPr>
            </w:pPr>
          </w:p>
        </w:tc>
        <w:tc>
          <w:tcPr>
            <w:tcW w:w="1840" w:type="dxa"/>
            <w:vAlign w:val="bottom"/>
            <w:gridSpan w:val="2"/>
          </w:tcPr>
          <w:p>
            <w:pPr>
              <w:jc w:val="right"/>
              <w:ind w:right="307"/>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Assets</w:t>
            </w:r>
            <w:r>
              <w:rPr>
                <w:rFonts w:ascii="Arial" w:cs="Arial" w:eastAsia="Arial" w:hAnsi="Arial"/>
                <w:sz w:val="15"/>
                <w:szCs w:val="15"/>
                <w:color w:val="auto"/>
              </w:rPr>
              <w:t>(1)</w:t>
            </w:r>
          </w:p>
        </w:tc>
        <w:tc>
          <w:tcPr>
            <w:tcW w:w="1320" w:type="dxa"/>
            <w:vAlign w:val="bottom"/>
            <w:tcBorders>
              <w:top w:val="single" w:sz="8" w:color="auto"/>
            </w:tcBorders>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4,474</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14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5,459</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5,876</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320" w:type="dxa"/>
            <w:vAlign w:val="bottom"/>
          </w:tcPr>
          <w:p>
            <w:pPr>
              <w:jc w:val="right"/>
              <w:ind w:right="11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1,876</w:t>
            </w:r>
          </w:p>
        </w:tc>
        <w:tc>
          <w:tcPr>
            <w:tcW w:w="1840" w:type="dxa"/>
            <w:vAlign w:val="bottom"/>
            <w:gridSpan w:val="2"/>
          </w:tcPr>
          <w:p>
            <w:pPr>
              <w:jc w:val="right"/>
              <w:ind w:right="140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Total Non-Current Liabilities</w:t>
            </w:r>
          </w:p>
        </w:tc>
        <w:tc>
          <w:tcPr>
            <w:tcW w:w="1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7,527</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6,796</w:t>
            </w:r>
          </w:p>
        </w:tc>
        <w:tc>
          <w:tcPr>
            <w:tcW w:w="10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ind w:left="800" w:hanging="792"/>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receivables due from Non-Guarantor Subsidiaries of $2,256 million and $2,124 million as of June 30, 2020 and December 31,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20" w:type="dxa"/>
            <w:vAlign w:val="bottom"/>
            <w:tcBorders>
              <w:bottom w:val="single" w:sz="8" w:color="auto"/>
            </w:tcBorders>
            <w:gridSpan w:val="4"/>
          </w:tcPr>
          <w:p>
            <w:pPr>
              <w:jc w:val="right"/>
              <w:ind w:right="527"/>
              <w:spacing w:after="0"/>
              <w:rPr>
                <w:sz w:val="20"/>
                <w:szCs w:val="20"/>
                <w:color w:val="auto"/>
              </w:rPr>
            </w:pPr>
            <w:r>
              <w:rPr>
                <w:rFonts w:ascii="Arial" w:cs="Arial" w:eastAsia="Arial" w:hAnsi="Arial"/>
                <w:sz w:val="14"/>
                <w:szCs w:val="14"/>
                <w:b w:val="1"/>
                <w:bCs w:val="1"/>
                <w:color w:val="auto"/>
              </w:rPr>
              <w:t>Summarized Statements of Operations</w:t>
            </w:r>
          </w:p>
        </w:tc>
        <w:tc>
          <w:tcPr>
            <w:tcW w:w="560" w:type="dxa"/>
            <w:vAlign w:val="bottom"/>
            <w:tcBorders>
              <w:bottom w:val="single" w:sz="8" w:color="auto"/>
            </w:tcBorders>
          </w:tcPr>
          <w:p>
            <w:pPr>
              <w:spacing w:after="0"/>
              <w:rPr>
                <w:sz w:val="14"/>
                <w:szCs w:val="14"/>
                <w:color w:val="auto"/>
              </w:rPr>
            </w:pPr>
          </w:p>
        </w:tc>
      </w:tr>
      <w:tr>
        <w:trPr>
          <w:trHeight w:val="133"/>
        </w:trPr>
        <w:tc>
          <w:tcPr>
            <w:tcW w:w="4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jc w:val="right"/>
              <w:ind w:right="167"/>
              <w:spacing w:after="0" w:line="133" w:lineRule="exact"/>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1"/>
                <w:szCs w:val="11"/>
                <w:color w:val="auto"/>
              </w:rPr>
            </w:pPr>
          </w:p>
        </w:tc>
      </w:tr>
      <w:tr>
        <w:trPr>
          <w:trHeight w:val="171"/>
        </w:trPr>
        <w:tc>
          <w:tcPr>
            <w:tcW w:w="49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70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June 30, 2020</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2019</w:t>
            </w:r>
          </w:p>
        </w:tc>
        <w:tc>
          <w:tcPr>
            <w:tcW w:w="560" w:type="dxa"/>
            <w:vAlign w:val="bottom"/>
            <w:tcBorders>
              <w:bottom w:val="single" w:sz="8" w:color="auto"/>
            </w:tcBorders>
          </w:tcPr>
          <w:p>
            <w:pPr>
              <w:spacing w:after="0"/>
              <w:rPr>
                <w:sz w:val="14"/>
                <w:szCs w:val="1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46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8"/>
              </w:rPr>
              <w:t>2,676</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4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8"/>
              </w:rPr>
              <w:t>7,390</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Cost of Goods Sold</w:t>
            </w:r>
          </w:p>
        </w:tc>
        <w:tc>
          <w:tcPr>
            <w:tcW w:w="1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2,594</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5,907</w:t>
            </w: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Selling, Administrative and General Expense</w:t>
            </w:r>
          </w:p>
        </w:tc>
        <w:tc>
          <w:tcPr>
            <w:tcW w:w="17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515</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8"/>
              </w:rPr>
              <w:t>1,136</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Goodwill and Other Asset Impairments</w:t>
            </w:r>
          </w:p>
        </w:tc>
        <w:tc>
          <w:tcPr>
            <w:tcW w:w="1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Rationalizations</w:t>
            </w:r>
          </w:p>
        </w:tc>
        <w:tc>
          <w:tcPr>
            <w:tcW w:w="17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w:t>
            </w: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230</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70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Income (Loss) before Income Taxes</w:t>
            </w:r>
            <w:r>
              <w:rPr>
                <w:rFonts w:ascii="Arial" w:cs="Arial" w:eastAsia="Arial" w:hAnsi="Arial"/>
                <w:sz w:val="15"/>
                <w:szCs w:val="15"/>
                <w:color w:val="auto"/>
              </w:rPr>
              <w:t>(2)</w:t>
            </w:r>
          </w:p>
        </w:tc>
        <w:tc>
          <w:tcPr>
            <w:tcW w:w="1700" w:type="dxa"/>
            <w:vAlign w:val="bottom"/>
          </w:tcPr>
          <w:p>
            <w:pPr>
              <w:spacing w:after="0"/>
              <w:rPr>
                <w:sz w:val="19"/>
                <w:szCs w:val="19"/>
                <w:color w:val="auto"/>
              </w:rPr>
            </w:pPr>
          </w:p>
        </w:tc>
        <w:tc>
          <w:tcPr>
            <w:tcW w:w="1640" w:type="dxa"/>
            <w:vAlign w:val="bottom"/>
          </w:tcPr>
          <w:p>
            <w:pPr>
              <w:jc w:val="right"/>
              <w:ind w:right="146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(795)</w:t>
            </w:r>
          </w:p>
        </w:tc>
        <w:tc>
          <w:tcPr>
            <w:tcW w:w="180" w:type="dxa"/>
            <w:vAlign w:val="bottom"/>
          </w:tcPr>
          <w:p>
            <w:pPr>
              <w:spacing w:after="0"/>
              <w:rPr>
                <w:sz w:val="19"/>
                <w:szCs w:val="19"/>
                <w:color w:val="auto"/>
              </w:rPr>
            </w:pPr>
          </w:p>
        </w:tc>
        <w:tc>
          <w:tcPr>
            <w:tcW w:w="1640" w:type="dxa"/>
            <w:vAlign w:val="bottom"/>
          </w:tcPr>
          <w:p>
            <w:pPr>
              <w:jc w:val="right"/>
              <w:ind w:right="148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20</w:t>
            </w:r>
          </w:p>
        </w:tc>
      </w:tr>
      <w:tr>
        <w:trPr>
          <w:trHeight w:val="230"/>
        </w:trPr>
        <w:tc>
          <w:tcPr>
            <w:tcW w:w="49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3340" w:type="dxa"/>
            <w:vAlign w:val="bottom"/>
            <w:gridSpan w:val="2"/>
          </w:tcPr>
          <w:p>
            <w:pPr>
              <w:jc w:val="right"/>
              <w:ind w:right="1461"/>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(896)</w:t>
            </w:r>
          </w:p>
        </w:tc>
        <w:tc>
          <w:tcPr>
            <w:tcW w:w="1820" w:type="dxa"/>
            <w:vAlign w:val="bottom"/>
            <w:gridSpan w:val="2"/>
          </w:tcPr>
          <w:p>
            <w:pPr>
              <w:jc w:val="right"/>
              <w:ind w:right="1487"/>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303</w:t>
            </w: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Goodyear Net Income (Loss)</w:t>
            </w:r>
          </w:p>
        </w:tc>
        <w:tc>
          <w:tcPr>
            <w:tcW w:w="3340" w:type="dxa"/>
            <w:vAlign w:val="bottom"/>
            <w:gridSpan w:val="2"/>
            <w:shd w:val="clear" w:color="auto" w:fill="CFF0FC"/>
          </w:tcPr>
          <w:p>
            <w:pPr>
              <w:jc w:val="right"/>
              <w:ind w:right="14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820" w:type="dxa"/>
            <w:vAlign w:val="bottom"/>
            <w:gridSpan w:val="2"/>
            <w:shd w:val="clear" w:color="auto" w:fill="CFF0FC"/>
          </w:tcPr>
          <w:p>
            <w:pPr>
              <w:jc w:val="right"/>
              <w:ind w:right="148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303</w:t>
            </w:r>
          </w:p>
        </w:tc>
      </w:tr>
    </w:tbl>
    <w:p>
      <w:pPr>
        <w:spacing w:after="0" w:line="94" w:lineRule="exact"/>
        <w:rPr>
          <w:sz w:val="20"/>
          <w:szCs w:val="20"/>
          <w:color w:val="auto"/>
        </w:rPr>
      </w:pPr>
    </w:p>
    <w:p>
      <w:pPr>
        <w:jc w:val="both"/>
        <w:ind w:left="800" w:hanging="792"/>
        <w:spacing w:after="0" w:line="263"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income from intercompany transactions with Non-Guarantor Subsidiaries of $212 million for the six months ended June 30, 2020, primarily from royalties, intercompany product sales, interest and dividends, and $515 million for the year ended December 31, 2019, primarily from royalties, intercompany product sales, commissions and dividends.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 — SAFE HARBOR STATEMENT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84" w:lineRule="exact"/>
        <w:rPr>
          <w:sz w:val="20"/>
          <w:szCs w:val="20"/>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liquidity are expected to be adversely impacted by the COVID-19 pandemic, and that impact may be material;</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do not successfully implement our strategic initiatives, our operating results, financial condition and liquidity may be materially adversely affected;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significant global competition and our market share could decline;</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raw material and energy costs may materially adversely affect our operating results and financial condition;</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experience a labor strike, work stoppage or other similar event our business, results of operations, financial condition and liquidity could be materially adversely affected;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international operations have certain risks that may materially adversely affect our operating results, financial condition and liquidity;</w:t>
      </w:r>
    </w:p>
    <w:p>
      <w:pPr>
        <w:spacing w:after="0" w:line="155" w:lineRule="exact"/>
        <w:rPr>
          <w:rFonts w:ascii="Arial" w:cs="Arial" w:eastAsia="Arial" w:hAnsi="Arial"/>
          <w:sz w:val="17"/>
          <w:szCs w:val="17"/>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foreign currency translation and transaction risks that may materially adversely affect our operating results, financial condition and liquidity;</w:t>
      </w:r>
    </w:p>
    <w:p>
      <w:pPr>
        <w:spacing w:after="0" w:line="62"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difficulties, work stoppages, supply disruptions or economic conditions affecting our major OE customers, dealers or suppliers could harm our business;</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substantial amount of debt, which could restrict our growth, place us at a competitive disadvantage or otherwise materially adversely affect our financial health;</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variable rate indebtedness subjects us to interest rate risk, which could cause our debt service obligations to increase significantly;</w:t>
      </w:r>
    </w:p>
    <w:p>
      <w:pPr>
        <w:spacing w:after="0" w:line="155" w:lineRule="exact"/>
        <w:rPr>
          <w:rFonts w:ascii="Arial" w:cs="Arial" w:eastAsia="Arial" w:hAnsi="Arial"/>
          <w:sz w:val="17"/>
          <w:szCs w:val="17"/>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substantial fixed costs and, as a result, our operating income fluctuates disproportionately with changes in our net sales;</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incur significant costs in connection with our contingent liabilities and tax matters;</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extensive government regulations that may materially adversely affect our operating results;</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attract and retain key personnel, our business could be materially adversely affected; and</w:t>
      </w:r>
    </w:p>
    <w:p>
      <w:pPr>
        <w:spacing w:after="0" w:line="144"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impacted by economic and supply disruptions associated with events beyond our control, such as war, acts of terror, political unrest, public health concerns, labor disputes or natural disasters.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continuously monitor our fixed and floating rate debt mix. Within defined limitations, we manage the mix using refinancing. At June 30, 2020, 30% of our debt was at variable interest rates averaging 3.03%.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long term fixed rate debt, excluding finance leases, at June 30,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 — liability</w:t>
            </w:r>
          </w:p>
        </w:tc>
        <w:tc>
          <w:tcPr>
            <w:tcW w:w="424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4,299</w:t>
            </w: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Fair value — liability</w:t>
            </w:r>
          </w:p>
        </w:tc>
        <w:tc>
          <w:tcPr>
            <w:tcW w:w="42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4,196</w:t>
            </w: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Pro forma fair value — liability</w:t>
            </w:r>
          </w:p>
        </w:tc>
        <w:tc>
          <w:tcPr>
            <w:tcW w:w="4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4,354</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 forma information assumes a 100 basis point decrease in market interest rates at June 30, 2020, and reflects the estimated fair value of fixed rate debt outstanding at that date under that assumption. The sensitivity of our fixed rate debt to changes in interest rates was determined using current market pricing models.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 Exchange Risk</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foreign currency contract information at June 30,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Fair value — asset (liability)</w:t>
            </w:r>
          </w:p>
        </w:tc>
        <w:tc>
          <w:tcPr>
            <w:tcW w:w="410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Pro forma decrease in fair value</w:t>
            </w:r>
          </w:p>
        </w:tc>
        <w:tc>
          <w:tcPr>
            <w:tcW w:w="4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Contract maturities</w:t>
            </w:r>
          </w:p>
        </w:tc>
        <w:tc>
          <w:tcPr>
            <w:tcW w:w="4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7/20-5/21</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 forma decrease in fair value assumes a 10% adverse change in underlying foreign exchange rates at June 30, 2020,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Fair values are recognized on the Consolidated Balance Sheet at June 30, 2020 as follows:</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 (liability):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44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4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6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Long term asset (liability):</w:t>
            </w:r>
          </w:p>
        </w:tc>
        <w:tc>
          <w:tcPr>
            <w:tcW w:w="4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44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 term liabilities</w:t>
            </w:r>
          </w:p>
        </w:tc>
        <w:tc>
          <w:tcPr>
            <w:tcW w:w="4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information on foreign currency contracts, refer to Note to the Consolidated Financial Statements No. 10, Financing Arrangements and Derivative Financial Instruments. Refer to “Management’s Discussion and Analysis of Financial Condition and Results of Operations — Liquidity and Capital Resources” for a discussion of our management of counterparty risk.</w:t>
      </w:r>
    </w:p>
    <w:p>
      <w:pPr>
        <w:sectPr>
          <w:pgSz w:w="11900" w:h="16838" w:orient="portrait"/>
          <w:cols w:equalWidth="0" w:num="1">
            <w:col w:w="11240"/>
          </w:cols>
          <w:pgMar w:left="320" w:top="233"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June 30, 2020 (the end of the period covered by this Quarterly Report on Form 10-Q).</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report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Litigation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reported in our Form 10-K for the year ended December 31, 2019, we were one of numerous defendants in legal proceedings in certain state and federal courts involving approximately 39,600 claimants relating to their alleged exposure to materials containing asbestos in products allegedly manufactured by us or asbestos materials present in our facilities. During the first six months of 2020, approximately 600 new claims were filed against us and approximately 1,400 were settled or dismissed. The amounts expended on asbestos defense and claim resolution by Goodyear and its insurance carriers during the second quarter and the first six months of 2020 was $3 million and $5 million, respectively. At June 30, 2020, there were approximately 38,800 asbestos claims pending against us. The plaintiffs are seeking unspecified actual and punitive damages and other relief. Refer to Note to the Consolidated Financial Statements No. 14, Commitments and Contingent Liabilities, for additional information on asbestos litigation.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Amiens Labor Claims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Approximately 850 former employees of the closed Amiens, France manufacturing facility have asserted wrongful termination or other claims totaling approximately €140 million ($157 million) against Goodyear France SAS. On May 28, 2020, Goodyear France SAS received a judgment from the labor court with respect to approximately 790 of these former employees. As a result of this ruling, we accrued €22 million ($25 million) in the second quarter of 2020 for estimated damages. We have appealed this ruling and will continue to vigorously defend ourselves against these claims and any additional claims that may be asserted against us.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Item 3 of Part I of our 2019 Form 10-K and to Item 1 of Part II of our Quarterly Report on Form 10-Q for the quarterly period ended March 31, 2020 for additional discussion of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have been adversely impacted by the COVID-19 pandemic. Our future results of operations, financial condition and liquidity are expected to be adversely impacted by the COVID-19 pandemic, and that impact may be material.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COVID-19 pandemic has resulted in significant volatility in the global economy and led to a dramatic reduction in economic activity worldwide. International, federal, state and local public health and governmental authorities have taken extraordinary actions to contain and combat the outbreak and spread of COVID-19 throughout most regions of the world, including travel bans, quarantines, “stay-at-home” orders and similar mandates that have caused many individuals to substantially restrict their daily activities and many businesses to curtail or cease normal operations.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tire industry has been particularly negatively impacted by this evolving situation, characterized by a sudden and sharp decline in replacement tire demand and original equipment manufacturers suspending or severely limiting automobile production globally. Our results have been, and are likely to continue to be, adversely impacted by this economic disruption, including lower tire unit volume, sales, income and cash flow. In addition, our ability to continue implementing important strategic initiatives and capital expenditures may be reduced as we devote time and other resources to responding to the impacts of the COVID-19 pandemic.</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2020, we announced the suspension of production at our manufacturing facilities in Europe and the Americas due to the COVID-19 pandemic. Production was suspended or significantly limited at most of our manufacturing facilities around the world during parts of the first half of 2020. During the second quarter of 2020, we completed a phased restart of our manufacturing facilities and gradually increased tire production. Our decisions to increase production further will be based on an evaluation of market demand signals, inventory and supply levels, as well as our ability to continue to safeguard the health of our associates. While we intend to further increase production during the second half of 2020, we may experience unexpected delays or obstacles, such as disruptions in our supply chain or government mandates, that may hamper our ability to do so. Further, we may not be able to operate at optimal levels of efficiency given new work rules and procedures that were implemented to protect our associates. The suspension of production at some of our manufacturing facilities, or difficulties or inefficiencies in resuming or increasing production, is likely to adversely impact our future results of operations, financial condition and liquidity, and that impact may be material.</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 If the COVID-19 pandemic continues for an extended period of time or worsens, our liquidity position may deteriorate. While we are actively monitoring our liquidity and have taken a number of actions aimed at mitigating the negative consequences of the COVID-19 pandemic on our cash flows and liquidity, our cash flows from operating activities may continue to decline if global economic activity remains low and we may be unable to have sufficient access to credit or other capital. For example, the borrowing base under our first lien revolving credit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facility is dependent, in significant part, on our eligible accounts receivable and inventory, which have declined as a result of our lower sales and production levels due to the COVID-19 pandemic. Additionally, our European revolving credit facility contains a leverage ratio covenant applicable to Goodyear Europe B.V. and its subsidiaries. While we are currently in compliance with this covenant, if we were unable to satisfy this covenant in the future or obtain a waiver from our lenders, we would no longer be able to access our €800 million European revolving credit facility or our pan-European accounts receivable securitization facility.</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full impact of the COVID-19 pandemic on our results of operations, financial condition and liquidity will depend on future developments, such as the ultimate duration and scope of the pandemic, its impact on our customers and suppliers, how quickly normal economic conditions, operations and the demand for our products can resume, and whether the pandemic leads to recessionary conditions in any of our key markets. Government-sponsored liquidity or stimulus programs in response to the COVID-19 pandemic may not be available to us or our customers or suppliers, and if available, may be insufficient to address the full impact of the COVID-19 pandemic. Accordingly, the ultimate impact on our results of operations, financial condition and liquidity cannot be determined at this time.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pandemic has exacerbated several of the risks disclosed in "Item 1A. Risk Factors" in our 2019 Form 10-K, including, but not limited to, the following (which are identified by their caption):</w:t>
      </w:r>
    </w:p>
    <w:p>
      <w:pPr>
        <w:spacing w:after="0" w:line="62" w:lineRule="exact"/>
        <w:rPr>
          <w:sz w:val="20"/>
          <w:szCs w:val="20"/>
          <w:color w:val="auto"/>
        </w:rPr>
      </w:pPr>
    </w:p>
    <w:p>
      <w:pPr>
        <w:ind w:left="800" w:hanging="401"/>
        <w:spacing w:after="0" w:line="25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do not successfully implement our strategic initiatives, our operating results, financial condition and liquidity may be materially adversely affected.</w:t>
      </w:r>
    </w:p>
    <w:p>
      <w:pPr>
        <w:spacing w:after="0" w:line="1" w:lineRule="exact"/>
        <w:rPr>
          <w:rFonts w:ascii="Arial" w:cs="Arial" w:eastAsia="Arial" w:hAnsi="Arial"/>
          <w:sz w:val="18"/>
          <w:szCs w:val="18"/>
          <w:color w:val="auto"/>
        </w:rPr>
      </w:pPr>
    </w:p>
    <w:p>
      <w:pPr>
        <w:ind w:left="800" w:hanging="401"/>
        <w:spacing w:after="0" w:line="250"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ind w:left="800" w:hanging="401"/>
        <w:spacing w:after="0" w:line="250"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difficulties, work stoppages, supply disruptions or economic conditions affecting our major customers, dealers or suppliers could harm our business.</w:t>
      </w:r>
    </w:p>
    <w:p>
      <w:pPr>
        <w:ind w:left="800" w:hanging="401"/>
        <w:spacing w:after="0" w:line="250"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ind w:left="800" w:hanging="401"/>
        <w:spacing w:after="0" w:line="250"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substantial amount of debt, which could restrict our growth, place us at a competitive disadvantage or otherwise materially adversely affect our financial health.</w:t>
      </w:r>
    </w:p>
    <w:p>
      <w:pPr>
        <w:ind w:left="800" w:hanging="401"/>
        <w:spacing w:after="0" w:line="250"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substantial fixed costs and, as a result, our operating income fluctuates disproportionately with changes in our net sales.</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Reference is made to Item 1A of Part I of our 2019 Form 10-K and to Item 1A of Part II of our quarterly report on Form 10-Q for the quarterly period ended March 31, 2020 for a discussion of our risk factors.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237490</wp:posOffset>
            </wp:positionV>
            <wp:extent cx="1637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GOODYEAR TIRE &amp; RUBBER COMPANY</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 Ended June 30, 2020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 OF EXHIBITS</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52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94"/>
              </w:rPr>
              <w:t>Exhibit</w:t>
            </w:r>
          </w:p>
        </w:tc>
        <w:tc>
          <w:tcPr>
            <w:tcW w:w="2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jc w:val="center"/>
              <w:ind w:right="2100"/>
              <w:spacing w:after="0" w:line="149" w:lineRule="exact"/>
              <w:rPr>
                <w:sz w:val="20"/>
                <w:szCs w:val="20"/>
                <w:color w:val="auto"/>
              </w:rPr>
            </w:pPr>
            <w:r>
              <w:rPr>
                <w:rFonts w:ascii="Arial" w:cs="Arial" w:eastAsia="Arial" w:hAnsi="Arial"/>
                <w:sz w:val="14"/>
                <w:szCs w:val="14"/>
                <w:b w:val="1"/>
                <w:bCs w:val="1"/>
                <w:color w:val="auto"/>
                <w:w w:val="92"/>
              </w:rPr>
              <w:t>Table</w:t>
            </w:r>
          </w:p>
        </w:tc>
        <w:tc>
          <w:tcPr>
            <w:tcW w:w="2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48"/>
        </w:trPr>
        <w:tc>
          <w:tcPr>
            <w:tcW w:w="2520" w:type="dxa"/>
            <w:vAlign w:val="bottom"/>
            <w:gridSpan w:val="3"/>
          </w:tcPr>
          <w:p>
            <w:pPr>
              <w:jc w:val="center"/>
              <w:ind w:right="2080"/>
              <w:spacing w:after="0" w:line="149" w:lineRule="exact"/>
              <w:rPr>
                <w:sz w:val="20"/>
                <w:szCs w:val="20"/>
                <w:color w:val="auto"/>
              </w:rPr>
            </w:pPr>
            <w:r>
              <w:rPr>
                <w:rFonts w:ascii="Arial" w:cs="Arial" w:eastAsia="Arial" w:hAnsi="Arial"/>
                <w:sz w:val="14"/>
                <w:szCs w:val="14"/>
                <w:b w:val="1"/>
                <w:bCs w:val="1"/>
                <w:color w:val="auto"/>
                <w:w w:val="97"/>
              </w:rPr>
              <w:t>Item</w:t>
            </w:r>
          </w:p>
        </w:tc>
        <w:tc>
          <w:tcPr>
            <w:tcW w:w="5620" w:type="dxa"/>
            <w:vAlign w:val="bottom"/>
            <w:gridSpan w:val="3"/>
            <w:vMerge w:val="restart"/>
          </w:tcPr>
          <w:p>
            <w:pPr>
              <w:ind w:left="2080"/>
              <w:spacing w:after="0"/>
              <w:rPr>
                <w:sz w:val="20"/>
                <w:szCs w:val="20"/>
                <w:color w:val="auto"/>
              </w:rPr>
            </w:pPr>
            <w:r>
              <w:rPr>
                <w:rFonts w:ascii="Arial" w:cs="Arial" w:eastAsia="Arial" w:hAnsi="Arial"/>
                <w:sz w:val="14"/>
                <w:szCs w:val="14"/>
                <w:b w:val="1"/>
                <w:bCs w:val="1"/>
                <w:color w:val="auto"/>
              </w:rPr>
              <w:t>Description of Exhibit</w:t>
            </w:r>
          </w:p>
        </w:tc>
        <w:tc>
          <w:tcPr>
            <w:tcW w:w="2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2400" w:type="dxa"/>
            <w:vAlign w:val="bottom"/>
            <w:gridSpan w:val="2"/>
          </w:tcPr>
          <w:p>
            <w:pPr>
              <w:jc w:val="center"/>
              <w:ind w:right="2200"/>
              <w:spacing w:after="0" w:line="158" w:lineRule="exact"/>
              <w:rPr>
                <w:sz w:val="20"/>
                <w:szCs w:val="20"/>
                <w:color w:val="auto"/>
              </w:rPr>
            </w:pPr>
            <w:r>
              <w:rPr>
                <w:rFonts w:ascii="Arial" w:cs="Arial" w:eastAsia="Arial" w:hAnsi="Arial"/>
                <w:sz w:val="14"/>
                <w:szCs w:val="14"/>
                <w:b w:val="1"/>
                <w:bCs w:val="1"/>
                <w:color w:val="auto"/>
                <w:w w:val="88"/>
              </w:rPr>
              <w:t>No.</w:t>
            </w:r>
          </w:p>
        </w:tc>
        <w:tc>
          <w:tcPr>
            <w:tcW w:w="5620" w:type="dxa"/>
            <w:vAlign w:val="bottom"/>
            <w:gridSpan w:val="3"/>
            <w:vMerge w:val="continue"/>
          </w:tcPr>
          <w:p>
            <w:pPr>
              <w:spacing w:after="0"/>
              <w:rPr>
                <w:sz w:val="13"/>
                <w:szCs w:val="13"/>
                <w:color w:val="auto"/>
              </w:rPr>
            </w:pPr>
          </w:p>
        </w:tc>
        <w:tc>
          <w:tcPr>
            <w:tcW w:w="2680" w:type="dxa"/>
            <w:vAlign w:val="bottom"/>
            <w:gridSpan w:val="2"/>
          </w:tcPr>
          <w:p>
            <w:pPr>
              <w:jc w:val="center"/>
              <w:ind w:left="2108"/>
              <w:spacing w:after="0" w:line="158"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920" w:hanging="606"/>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107" w:lineRule="exact"/>
        <w:rPr>
          <w:rFonts w:ascii="Arial" w:cs="Arial" w:eastAsia="Arial" w:hAnsi="Arial"/>
          <w:sz w:val="18"/>
          <w:szCs w:val="18"/>
          <w:color w:val="auto"/>
        </w:rPr>
      </w:pPr>
    </w:p>
    <w:p>
      <w:pPr>
        <w:jc w:val="both"/>
        <w:ind w:left="920" w:right="1120"/>
        <w:spacing w:after="0" w:line="263" w:lineRule="auto"/>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Seventh Supplemental Indenture, dated as of May 18, 2020, among the Company, the subsidiary guarantors party thereto</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and Wells Fargo Bank, N.A., as Trustee (incorporated by reference, filed as Exhibit 4.2 to the Company’s Current Report on</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Form 8-K, filed May 18, 2020, File No. 1-1927).</w:t>
        </w:r>
      </w:hyperlink>
    </w:p>
    <w:p>
      <w:pPr>
        <w:spacing w:after="0" w:line="207" w:lineRule="exact"/>
        <w:rPr>
          <w:rFonts w:ascii="Arial" w:cs="Arial" w:eastAsia="Arial" w:hAnsi="Arial"/>
          <w:sz w:val="18"/>
          <w:szCs w:val="18"/>
          <w:u w:val="single" w:color="auto"/>
          <w:color w:val="0000EE"/>
        </w:rPr>
      </w:pPr>
    </w:p>
    <w:p>
      <w:pPr>
        <w:ind w:left="920" w:hanging="651"/>
        <w:spacing w:after="0"/>
        <w:tabs>
          <w:tab w:leader="none" w:pos="920" w:val="left"/>
        </w:tabs>
        <w:numPr>
          <w:ilvl w:val="0"/>
          <w:numId w:val="18"/>
        </w:numPr>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List of Subsidiary Guarantors</w:t>
        </w:r>
      </w:hyperlink>
    </w:p>
    <w:p>
      <w:pPr>
        <w:spacing w:after="0" w:line="225" w:lineRule="exact"/>
        <w:rPr>
          <w:rFonts w:ascii="Arial" w:cs="Arial" w:eastAsia="Arial" w:hAnsi="Arial"/>
          <w:sz w:val="18"/>
          <w:szCs w:val="18"/>
          <w:u w:val="single" w:color="auto"/>
          <w:color w:val="0000EE"/>
        </w:rPr>
      </w:pPr>
    </w:p>
    <w:p>
      <w:pPr>
        <w:ind w:left="920" w:hanging="651"/>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Rule 13a-14(a) Certifications</w:t>
      </w:r>
    </w:p>
    <w:p>
      <w:pPr>
        <w:spacing w:after="0" w:line="108" w:lineRule="exact"/>
        <w:rPr>
          <w:rFonts w:ascii="Arial" w:cs="Arial" w:eastAsia="Arial" w:hAnsi="Arial"/>
          <w:sz w:val="18"/>
          <w:szCs w:val="18"/>
          <w:u w:val="single" w:color="auto"/>
          <w:color w:val="0000EE"/>
        </w:rPr>
      </w:pPr>
    </w:p>
    <w:tbl>
      <w:tblPr>
        <w:tblLayout w:type="fixed"/>
        <w:tblInd w:w="2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8980" w:type="dxa"/>
            <w:vAlign w:val="bottom"/>
          </w:tcPr>
          <w:p>
            <w:pPr>
              <w:ind w:left="2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Certificate of Chief Executive Officer pursuant to Rule 13a-14(a) under the Securities Exchange Act of 1934.</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338"/>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8980" w:type="dxa"/>
            <w:vAlign w:val="bottom"/>
          </w:tcPr>
          <w:p>
            <w:pPr>
              <w:ind w:left="2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Certificate of Chief Financial Officer pursuant to Rule 13a-14(a) under the Securities Exchange Act of 1934.</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r>
    </w:tbl>
    <w:p>
      <w:pPr>
        <w:spacing w:after="0" w:line="103" w:lineRule="exact"/>
        <w:rPr>
          <w:sz w:val="20"/>
          <w:szCs w:val="20"/>
          <w:color w:val="auto"/>
        </w:rPr>
      </w:pPr>
    </w:p>
    <w:p>
      <w:pPr>
        <w:ind w:left="920" w:hanging="651"/>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00" w:type="dxa"/>
            <w:vAlign w:val="bottom"/>
          </w:tcPr>
          <w:p>
            <w:pPr>
              <w:jc w:val="center"/>
              <w:ind w:right="330"/>
              <w:spacing w:after="0"/>
              <w:rPr>
                <w:sz w:val="20"/>
                <w:szCs w:val="20"/>
                <w:color w:val="auto"/>
              </w:rPr>
            </w:pPr>
            <w:r>
              <w:rPr>
                <w:rFonts w:ascii="Arial" w:cs="Arial" w:eastAsia="Arial" w:hAnsi="Arial"/>
                <w:sz w:val="18"/>
                <w:szCs w:val="18"/>
                <w:color w:val="auto"/>
                <w:w w:val="90"/>
              </w:rPr>
              <w:t>(a)</w:t>
            </w:r>
          </w:p>
        </w:tc>
        <w:tc>
          <w:tcPr>
            <w:tcW w:w="89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Certificate of Chief Executive Officer and Chief Financial Officer pursuant to Rule 13a-14(b) under the Securities Exchange</w:t>
              </w:r>
            </w:hyperlink>
          </w:p>
        </w:tc>
        <w:tc>
          <w:tcPr>
            <w:tcW w:w="240" w:type="dxa"/>
            <w:vAlign w:val="bottom"/>
          </w:tcPr>
          <w:p>
            <w:pPr>
              <w:spacing w:after="0"/>
              <w:rPr>
                <w:sz w:val="17"/>
                <w:szCs w:val="17"/>
                <w:color w:val="auto"/>
              </w:rPr>
            </w:pP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1"/>
              </w:rPr>
              <w:t>32.1</w:t>
            </w:r>
          </w:p>
        </w:tc>
      </w:tr>
      <w:tr>
        <w:trPr>
          <w:trHeight w:val="196"/>
        </w:trPr>
        <w:tc>
          <w:tcPr>
            <w:tcW w:w="70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Act of 1934.</w:t>
              </w:r>
            </w:hyperlink>
          </w:p>
        </w:tc>
        <w:tc>
          <w:tcPr>
            <w:tcW w:w="8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331"/>
        </w:trPr>
        <w:tc>
          <w:tcPr>
            <w:tcW w:w="700" w:type="dxa"/>
            <w:vAlign w:val="bottom"/>
          </w:tcPr>
          <w:p>
            <w:pPr>
              <w:jc w:val="right"/>
              <w:ind w:right="330"/>
              <w:spacing w:after="0"/>
              <w:rPr>
                <w:sz w:val="20"/>
                <w:szCs w:val="20"/>
                <w:color w:val="auto"/>
              </w:rPr>
            </w:pPr>
            <w:r>
              <w:rPr>
                <w:rFonts w:ascii="Arial" w:cs="Arial" w:eastAsia="Arial" w:hAnsi="Arial"/>
                <w:sz w:val="18"/>
                <w:szCs w:val="18"/>
                <w:color w:val="auto"/>
                <w:w w:val="86"/>
              </w:rPr>
              <w:t>101</w:t>
            </w:r>
          </w:p>
        </w:tc>
        <w:tc>
          <w:tcPr>
            <w:tcW w:w="9220" w:type="dxa"/>
            <w:vAlign w:val="bottom"/>
            <w:gridSpan w:val="3"/>
          </w:tcPr>
          <w:p>
            <w:pPr>
              <w:spacing w:after="0"/>
              <w:rPr>
                <w:sz w:val="20"/>
                <w:szCs w:val="20"/>
                <w:color w:val="auto"/>
              </w:rPr>
            </w:pPr>
            <w:r>
              <w:rPr>
                <w:rFonts w:ascii="Arial" w:cs="Arial" w:eastAsia="Arial" w:hAnsi="Arial"/>
                <w:sz w:val="18"/>
                <w:szCs w:val="18"/>
                <w:b w:val="1"/>
                <w:bCs w:val="1"/>
                <w:color w:val="auto"/>
              </w:rPr>
              <w:t>Interactive Data Files</w:t>
            </w:r>
          </w:p>
        </w:tc>
        <w:tc>
          <w:tcPr>
            <w:tcW w:w="900" w:type="dxa"/>
            <w:vAlign w:val="bottom"/>
          </w:tcPr>
          <w:p>
            <w:pPr>
              <w:spacing w:after="0"/>
              <w:rPr>
                <w:sz w:val="24"/>
                <w:szCs w:val="24"/>
                <w:color w:val="auto"/>
              </w:rPr>
            </w:pPr>
          </w:p>
        </w:tc>
      </w:tr>
      <w:tr>
        <w:trPr>
          <w:trHeight w:val="323"/>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2"/>
              </w:rPr>
              <w:t>101.INS</w:t>
            </w:r>
          </w:p>
        </w:tc>
      </w:tr>
      <w:tr>
        <w:trPr>
          <w:trHeight w:val="230"/>
        </w:trPr>
        <w:tc>
          <w:tcPr>
            <w:tcW w:w="700" w:type="dxa"/>
            <w:vAlign w:val="bottom"/>
          </w:tcPr>
          <w:p>
            <w:pPr>
              <w:spacing w:after="0"/>
              <w:rPr>
                <w:sz w:val="20"/>
                <w:szCs w:val="20"/>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900" w:type="dxa"/>
            <w:vAlign w:val="bottom"/>
          </w:tcPr>
          <w:p>
            <w:pPr>
              <w:spacing w:after="0"/>
              <w:rPr>
                <w:sz w:val="20"/>
                <w:szCs w:val="20"/>
                <w:color w:val="auto"/>
              </w:rPr>
            </w:pPr>
          </w:p>
        </w:tc>
      </w:tr>
      <w:tr>
        <w:trPr>
          <w:trHeight w:val="310"/>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0"/>
              </w:rPr>
              <w:t>101.SCH</w:t>
            </w:r>
          </w:p>
        </w:tc>
      </w:tr>
      <w:tr>
        <w:trPr>
          <w:trHeight w:val="338"/>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7"/>
              </w:rPr>
              <w:t>101.CAL</w:t>
            </w:r>
          </w:p>
        </w:tc>
      </w:tr>
      <w:tr>
        <w:trPr>
          <w:trHeight w:val="338"/>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2"/>
              </w:rPr>
              <w:t>101.DEF</w:t>
            </w:r>
          </w:p>
        </w:tc>
      </w:tr>
      <w:tr>
        <w:trPr>
          <w:trHeight w:val="338"/>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8"/>
              </w:rPr>
              <w:t>101.LAB</w:t>
            </w:r>
          </w:p>
        </w:tc>
      </w:tr>
      <w:tr>
        <w:trPr>
          <w:trHeight w:val="338"/>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88"/>
              </w:rPr>
              <w:t>101.PRE</w:t>
            </w:r>
          </w:p>
        </w:tc>
      </w:tr>
    </w:tbl>
    <w:p>
      <w:pPr>
        <w:spacing w:after="0" w:line="103" w:lineRule="exact"/>
        <w:rPr>
          <w:sz w:val="20"/>
          <w:szCs w:val="20"/>
          <w:color w:val="auto"/>
        </w:rPr>
      </w:pPr>
    </w:p>
    <w:p>
      <w:pPr>
        <w:ind w:left="920" w:hanging="696"/>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Cover Page Interactive Data File</w:t>
      </w:r>
    </w:p>
    <w:p>
      <w:pPr>
        <w:spacing w:after="0" w:line="134" w:lineRule="exact"/>
        <w:rPr>
          <w:rFonts w:ascii="Arial" w:cs="Arial" w:eastAsia="Arial" w:hAnsi="Arial"/>
          <w:sz w:val="18"/>
          <w:szCs w:val="18"/>
          <w:color w:val="auto"/>
        </w:rPr>
      </w:pPr>
    </w:p>
    <w:p>
      <w:pPr>
        <w:ind w:left="920" w:right="1160"/>
        <w:spacing w:after="0" w:line="277" w:lineRule="auto"/>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Form10-Q for the quarter ended June 30, 2020, formatted in Inline XBRL (included as Exhibit 101).</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233" w:right="5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 GOODYEAR TIRE &amp; RUBBER COMPANY</w:t>
      </w:r>
    </w:p>
    <w:p>
      <w:pPr>
        <w:spacing w:after="0" w:line="3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240"/>
          </w:cols>
          <w:pgMar w:left="320" w:top="233" w:right="3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July 31, 2020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E</w:t>
      </w:r>
      <w:r>
        <w:rPr>
          <w:rFonts w:ascii="Arial" w:cs="Arial" w:eastAsia="Arial" w:hAnsi="Arial"/>
          <w:sz w:val="13"/>
          <w:szCs w:val="13"/>
          <w:color w:val="auto"/>
        </w:rPr>
        <w:t>VAN</w:t>
      </w:r>
      <w:r>
        <w:rPr>
          <w:rFonts w:ascii="Arial" w:cs="Arial" w:eastAsia="Arial" w:hAnsi="Arial"/>
          <w:sz w:val="17"/>
          <w:szCs w:val="17"/>
          <w:color w:val="auto"/>
        </w:rPr>
        <w:t xml:space="preserve"> M. S</w:t>
      </w:r>
      <w:r>
        <w:rPr>
          <w:rFonts w:ascii="Arial" w:cs="Arial" w:eastAsia="Arial" w:hAnsi="Arial"/>
          <w:sz w:val="13"/>
          <w:szCs w:val="13"/>
          <w:color w:val="auto"/>
        </w:rPr>
        <w:t>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22225</wp:posOffset>
            </wp:positionV>
            <wp:extent cx="29146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3">
            <w:col w:w="400" w:space="300"/>
            <w:col w:w="4780" w:space="720"/>
            <w:col w:w="5040"/>
          </w:cols>
          <w:pgMar w:left="320" w:top="233" w:right="339" w:bottom="1440" w:gutter="0" w:footer="0" w:header="0"/>
          <w:type w:val="continuous"/>
        </w:sectPr>
      </w:pPr>
    </w:p>
    <w:p>
      <w:pPr>
        <w:ind w:left="6200"/>
        <w:spacing w:after="0"/>
        <w:rPr>
          <w:sz w:val="20"/>
          <w:szCs w:val="20"/>
          <w:color w:val="auto"/>
        </w:rPr>
      </w:pPr>
      <w:r>
        <w:rPr>
          <w:rFonts w:ascii="Arial" w:cs="Arial" w:eastAsia="Arial" w:hAnsi="Arial"/>
          <w:sz w:val="16"/>
          <w:szCs w:val="16"/>
          <w:color w:val="auto"/>
        </w:rPr>
        <w:t>Evan M. Scocos, Vice President and Controller (Signing on behalf of</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Registrant as a duly authorized officer of the Registrant and</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signing as the Principal Accounting Officer of the Registrant.)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233" w:right="3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2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subsidiaries of The Goodyear Tire &amp; Rubber Company (the "Parent Company") were, as of June 30, 2020, guarantors of the Company's 8.75% notes due 2020, 5.125% senior notes due 2023, 9.5% senior notes due 2025, 5% senior notes due 2026, and 4.875% senior notes due 2027:</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auto"/>
              </w:rPr>
              <w:t>PLACE OF</w:t>
            </w:r>
          </w:p>
        </w:tc>
      </w:tr>
      <w:tr>
        <w:trPr>
          <w:trHeight w:val="216"/>
        </w:trPr>
        <w:tc>
          <w:tcPr>
            <w:tcW w:w="2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auto"/>
              </w:rPr>
              <w:t>INCORPORATION</w:t>
            </w:r>
          </w:p>
        </w:tc>
      </w:tr>
      <w:tr>
        <w:trPr>
          <w:trHeight w:val="194"/>
        </w:trPr>
        <w:tc>
          <w:tcPr>
            <w:tcW w:w="85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NAME OF SUBSIDIARY</w:t>
            </w:r>
          </w:p>
        </w:tc>
        <w:tc>
          <w:tcPr>
            <w:tcW w:w="1760" w:type="dxa"/>
            <w:vAlign w:val="bottom"/>
          </w:tcPr>
          <w:p>
            <w:pPr>
              <w:spacing w:after="0" w:line="194" w:lineRule="exact"/>
              <w:rPr>
                <w:sz w:val="20"/>
                <w:szCs w:val="20"/>
                <w:color w:val="auto"/>
              </w:rPr>
            </w:pPr>
            <w:r>
              <w:rPr>
                <w:rFonts w:ascii="Arial" w:cs="Arial" w:eastAsia="Arial" w:hAnsi="Arial"/>
                <w:sz w:val="18"/>
                <w:szCs w:val="18"/>
                <w:b w:val="1"/>
                <w:bCs w:val="1"/>
                <w:color w:val="auto"/>
              </w:rPr>
              <w:t>OR ORGANIZATION</w:t>
            </w:r>
          </w:p>
        </w:tc>
      </w:tr>
      <w:tr>
        <w:trPr>
          <w:trHeight w:val="249"/>
        </w:trPr>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Celeron Corporation</w:t>
            </w:r>
          </w:p>
        </w:tc>
        <w:tc>
          <w:tcPr>
            <w:tcW w:w="6540" w:type="dxa"/>
            <w:vAlign w:val="bottom"/>
          </w:tcPr>
          <w:p>
            <w:pPr>
              <w:spacing w:after="0"/>
              <w:rPr>
                <w:sz w:val="21"/>
                <w:szCs w:val="21"/>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Divested Companies Holding Company</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Divested Litchfield Park Properties, Inc.</w:t>
            </w:r>
          </w:p>
        </w:tc>
        <w:tc>
          <w:tcPr>
            <w:tcW w:w="1760" w:type="dxa"/>
            <w:vAlign w:val="bottom"/>
          </w:tcPr>
          <w:p>
            <w:pPr>
              <w:spacing w:after="0"/>
              <w:rPr>
                <w:sz w:val="20"/>
                <w:szCs w:val="20"/>
                <w:color w:val="auto"/>
              </w:rPr>
            </w:pPr>
            <w:r>
              <w:rPr>
                <w:rFonts w:ascii="Arial" w:cs="Arial" w:eastAsia="Arial" w:hAnsi="Arial"/>
                <w:sz w:val="18"/>
                <w:szCs w:val="18"/>
                <w:color w:val="auto"/>
              </w:rPr>
              <w:t>Arizona</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Goodyear Canada Inc.</w:t>
            </w:r>
          </w:p>
        </w:tc>
        <w:tc>
          <w:tcPr>
            <w:tcW w:w="1760" w:type="dxa"/>
            <w:vAlign w:val="bottom"/>
          </w:tcPr>
          <w:p>
            <w:pPr>
              <w:spacing w:after="0"/>
              <w:rPr>
                <w:sz w:val="20"/>
                <w:szCs w:val="20"/>
                <w:color w:val="auto"/>
              </w:rPr>
            </w:pPr>
            <w:r>
              <w:rPr>
                <w:rFonts w:ascii="Arial" w:cs="Arial" w:eastAsia="Arial" w:hAnsi="Arial"/>
                <w:sz w:val="18"/>
                <w:szCs w:val="18"/>
                <w:color w:val="auto"/>
              </w:rPr>
              <w:t>Canada</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Goodyear Export Inc.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Goodyear Farms, Inc.</w:t>
            </w:r>
          </w:p>
        </w:tc>
        <w:tc>
          <w:tcPr>
            <w:tcW w:w="1760" w:type="dxa"/>
            <w:vAlign w:val="bottom"/>
          </w:tcPr>
          <w:p>
            <w:pPr>
              <w:spacing w:after="0"/>
              <w:rPr>
                <w:sz w:val="20"/>
                <w:szCs w:val="20"/>
                <w:color w:val="auto"/>
              </w:rPr>
            </w:pPr>
            <w:r>
              <w:rPr>
                <w:rFonts w:ascii="Arial" w:cs="Arial" w:eastAsia="Arial" w:hAnsi="Arial"/>
                <w:sz w:val="18"/>
                <w:szCs w:val="18"/>
                <w:color w:val="auto"/>
              </w:rPr>
              <w:t>Arizona</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Goodyear International Corporation</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Goodyear Western Hemisphere Corporation</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Raben Tire Co., LLC</w:t>
            </w:r>
          </w:p>
        </w:tc>
        <w:tc>
          <w:tcPr>
            <w:tcW w:w="1760" w:type="dxa"/>
            <w:vAlign w:val="bottom"/>
          </w:tcPr>
          <w:p>
            <w:pPr>
              <w:spacing w:after="0"/>
              <w:rPr>
                <w:sz w:val="20"/>
                <w:szCs w:val="20"/>
                <w:color w:val="auto"/>
              </w:rPr>
            </w:pPr>
            <w:r>
              <w:rPr>
                <w:rFonts w:ascii="Arial" w:cs="Arial" w:eastAsia="Arial" w:hAnsi="Arial"/>
                <w:sz w:val="18"/>
                <w:szCs w:val="18"/>
                <w:color w:val="auto"/>
              </w:rPr>
              <w:t>Indiana</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T&amp;WA, Inc.</w:t>
            </w:r>
          </w:p>
        </w:tc>
        <w:tc>
          <w:tcPr>
            <w:tcW w:w="1760" w:type="dxa"/>
            <w:vAlign w:val="bottom"/>
          </w:tcPr>
          <w:p>
            <w:pPr>
              <w:spacing w:after="0"/>
              <w:rPr>
                <w:sz w:val="20"/>
                <w:szCs w:val="20"/>
                <w:color w:val="auto"/>
              </w:rPr>
            </w:pPr>
            <w:r>
              <w:rPr>
                <w:rFonts w:ascii="Arial" w:cs="Arial" w:eastAsia="Arial" w:hAnsi="Arial"/>
                <w:sz w:val="18"/>
                <w:szCs w:val="18"/>
                <w:color w:val="auto"/>
              </w:rPr>
              <w:t>Kentucky</w:t>
            </w:r>
          </w:p>
        </w:tc>
      </w:tr>
    </w:tbl>
    <w:p>
      <w:pPr>
        <w:sectPr>
          <w:pgSz w:w="11900" w:h="16838" w:orient="portrait"/>
          <w:cols w:equalWidth="0" w:num="1">
            <w:col w:w="11240"/>
          </w:cols>
          <w:pgMar w:left="320" w:top="36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J. Kramer, certify that:</w:t>
      </w:r>
    </w:p>
    <w:p>
      <w:pPr>
        <w:spacing w:after="0" w:line="185"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880" w:right="20" w:hanging="440"/>
        <w:spacing w:after="0" w:line="308" w:lineRule="auto"/>
        <w:tabs>
          <w:tab w:leader="none" w:pos="8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42773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J. Kramer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Darren R. Wells, certify that:</w:t>
      </w:r>
    </w:p>
    <w:p>
      <w:pPr>
        <w:spacing w:after="0" w:line="185"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880" w:right="20" w:hanging="440"/>
        <w:spacing w:after="0" w:line="308" w:lineRule="auto"/>
        <w:tabs>
          <w:tab w:leader="none" w:pos="8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52"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ARREN</w:t>
      </w:r>
      <w:r>
        <w:rPr>
          <w:rFonts w:ascii="Arial" w:cs="Arial" w:eastAsia="Arial" w:hAnsi="Arial"/>
          <w:sz w:val="18"/>
          <w:szCs w:val="18"/>
          <w:color w:val="auto"/>
        </w:rPr>
        <w:t xml:space="preserve"> R. W</w:t>
      </w:r>
      <w:r>
        <w:rPr>
          <w:rFonts w:ascii="Arial" w:cs="Arial" w:eastAsia="Arial" w:hAnsi="Arial"/>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4277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Darren R. Wells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Chapter 63 of Title 18, United States Code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June 30, 2020, as filed with the Securities and Exchange Commission (the “10-Q Report”) that to his knowledge:</w:t>
      </w:r>
    </w:p>
    <w:p>
      <w:pPr>
        <w:spacing w:after="0" w:line="211"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10-Q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right="20" w:hanging="440"/>
        <w:spacing w:after="0" w:line="260"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10-Q Report fairly presents, in all material respects, the financial condition and results of operations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540" w:type="dxa"/>
            <w:vAlign w:val="bottom"/>
          </w:tcPr>
          <w:p>
            <w:pPr>
              <w:ind w:left="100"/>
              <w:spacing w:after="0"/>
              <w:rPr>
                <w:sz w:val="20"/>
                <w:szCs w:val="20"/>
                <w:color w:val="auto"/>
              </w:rPr>
            </w:pPr>
            <w:r>
              <w:rPr>
                <w:rFonts w:ascii="Arial" w:cs="Arial" w:eastAsia="Arial" w:hAnsi="Arial"/>
                <w:sz w:val="18"/>
                <w:szCs w:val="18"/>
                <w:color w:val="auto"/>
              </w:rPr>
              <w:t>July 31, 2020</w:t>
            </w:r>
          </w:p>
        </w:tc>
        <w:tc>
          <w:tcPr>
            <w:tcW w:w="290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/s/</w:t>
            </w:r>
          </w:p>
        </w:tc>
        <w:tc>
          <w:tcPr>
            <w:tcW w:w="4220" w:type="dxa"/>
            <w:vAlign w:val="bottom"/>
            <w:tcBorders>
              <w:bottom w:val="single" w:sz="8" w:color="auto"/>
            </w:tcBorders>
          </w:tcPr>
          <w:p>
            <w:pPr>
              <w:jc w:val="center"/>
              <w:ind w:right="257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ICHARD</w:t>
            </w:r>
            <w:r>
              <w:rPr>
                <w:rFonts w:ascii="Arial" w:cs="Arial" w:eastAsia="Arial" w:hAnsi="Arial"/>
                <w:sz w:val="18"/>
                <w:szCs w:val="18"/>
                <w:color w:val="auto"/>
                <w:w w:val="99"/>
              </w:rPr>
              <w:t xml:space="preserve"> J. K</w:t>
            </w:r>
            <w:r>
              <w:rPr>
                <w:rFonts w:ascii="Arial" w:cs="Arial" w:eastAsia="Arial" w:hAnsi="Arial"/>
                <w:sz w:val="14"/>
                <w:szCs w:val="14"/>
                <w:color w:val="auto"/>
                <w:w w:val="99"/>
              </w:rPr>
              <w:t>RAMER</w:t>
            </w:r>
          </w:p>
        </w:tc>
      </w:tr>
      <w:tr>
        <w:trPr>
          <w:trHeight w:val="195"/>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900" w:type="dxa"/>
            <w:vAlign w:val="bottom"/>
          </w:tcPr>
          <w:p>
            <w:pPr>
              <w:spacing w:after="0" w:line="195" w:lineRule="exact"/>
              <w:rPr>
                <w:sz w:val="20"/>
                <w:szCs w:val="20"/>
                <w:color w:val="auto"/>
              </w:rPr>
            </w:pPr>
            <w:r>
              <w:rPr>
                <w:rFonts w:ascii="Arial" w:cs="Arial" w:eastAsia="Arial" w:hAnsi="Arial"/>
                <w:sz w:val="18"/>
                <w:szCs w:val="18"/>
                <w:color w:val="auto"/>
              </w:rPr>
              <w:t>Richard J. Kramer</w:t>
            </w:r>
          </w:p>
        </w:tc>
        <w:tc>
          <w:tcPr>
            <w:tcW w:w="42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1"/>
              </w:rPr>
              <w:t>The Goodyear Tire &amp; Rubber Company</w:t>
            </w:r>
          </w:p>
        </w:tc>
        <w:tc>
          <w:tcPr>
            <w:tcW w:w="42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540" w:type="dxa"/>
            <w:vAlign w:val="bottom"/>
          </w:tcPr>
          <w:p>
            <w:pPr>
              <w:ind w:left="100"/>
              <w:spacing w:after="0"/>
              <w:rPr>
                <w:sz w:val="20"/>
                <w:szCs w:val="20"/>
                <w:color w:val="auto"/>
              </w:rPr>
            </w:pPr>
            <w:r>
              <w:rPr>
                <w:rFonts w:ascii="Arial" w:cs="Arial" w:eastAsia="Arial" w:hAnsi="Arial"/>
                <w:sz w:val="18"/>
                <w:szCs w:val="18"/>
                <w:color w:val="auto"/>
              </w:rPr>
              <w:t>July 31, 2020</w:t>
            </w:r>
          </w:p>
        </w:tc>
        <w:tc>
          <w:tcPr>
            <w:tcW w:w="2900" w:type="dxa"/>
            <w:vAlign w:val="bottom"/>
            <w:tcBorders>
              <w:bottom w:val="single" w:sz="8" w:color="auto"/>
            </w:tcBorders>
          </w:tcPr>
          <w:p>
            <w:pPr>
              <w:ind w:left="2720"/>
              <w:spacing w:after="0"/>
              <w:rPr>
                <w:sz w:val="20"/>
                <w:szCs w:val="20"/>
                <w:color w:val="auto"/>
              </w:rPr>
            </w:pPr>
            <w:r>
              <w:rPr>
                <w:rFonts w:ascii="Arial" w:cs="Arial" w:eastAsia="Arial" w:hAnsi="Arial"/>
                <w:sz w:val="18"/>
                <w:szCs w:val="18"/>
                <w:color w:val="auto"/>
                <w:w w:val="83"/>
              </w:rPr>
              <w:t>/s/</w:t>
            </w:r>
          </w:p>
        </w:tc>
        <w:tc>
          <w:tcPr>
            <w:tcW w:w="4220" w:type="dxa"/>
            <w:vAlign w:val="bottom"/>
            <w:tcBorders>
              <w:bottom w:val="single" w:sz="8" w:color="auto"/>
            </w:tcBorders>
          </w:tcPr>
          <w:p>
            <w:pPr>
              <w:jc w:val="center"/>
              <w:ind w:right="251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ARREN</w:t>
            </w:r>
            <w:r>
              <w:rPr>
                <w:rFonts w:ascii="Arial" w:cs="Arial" w:eastAsia="Arial" w:hAnsi="Arial"/>
                <w:sz w:val="18"/>
                <w:szCs w:val="18"/>
                <w:color w:val="auto"/>
                <w:w w:val="97"/>
              </w:rPr>
              <w:t xml:space="preserve"> R. W</w:t>
            </w:r>
            <w:r>
              <w:rPr>
                <w:rFonts w:ascii="Arial" w:cs="Arial" w:eastAsia="Arial" w:hAnsi="Arial"/>
                <w:sz w:val="14"/>
                <w:szCs w:val="14"/>
                <w:color w:val="auto"/>
                <w:w w:val="97"/>
              </w:rPr>
              <w:t>ELLS</w:t>
            </w:r>
          </w:p>
        </w:tc>
      </w:tr>
      <w:tr>
        <w:trPr>
          <w:trHeight w:val="195"/>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900" w:type="dxa"/>
            <w:vAlign w:val="bottom"/>
          </w:tcPr>
          <w:p>
            <w:pPr>
              <w:spacing w:after="0" w:line="195" w:lineRule="exact"/>
              <w:rPr>
                <w:sz w:val="20"/>
                <w:szCs w:val="20"/>
                <w:color w:val="auto"/>
              </w:rPr>
            </w:pPr>
            <w:r>
              <w:rPr>
                <w:rFonts w:ascii="Arial" w:cs="Arial" w:eastAsia="Arial" w:hAnsi="Arial"/>
                <w:sz w:val="18"/>
                <w:szCs w:val="18"/>
                <w:color w:val="auto"/>
              </w:rPr>
              <w:t>Darren R. Wells</w:t>
            </w:r>
          </w:p>
        </w:tc>
        <w:tc>
          <w:tcPr>
            <w:tcW w:w="42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1"/>
              </w:rPr>
              <w:t>The Goodyear Tire &amp; Rubber Company</w:t>
            </w:r>
          </w:p>
        </w:tc>
        <w:tc>
          <w:tcPr>
            <w:tcW w:w="42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lowerRoman"/>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4"/>
      <w:numFmt w:val="bullet"/>
      <w:start w:val="1"/>
    </w:lvl>
  </w:abstractNum>
  <w:abstractNum w:abstractNumId="17">
    <w:nsid w:val="628C895D"/>
    <w:multiLevelType w:val="hybridMultilevel"/>
    <w:lvl w:ilvl="0">
      <w:lvlJc w:val="left"/>
      <w:lvlText w:val="%1"/>
      <w:numFmt w:val="decimal"/>
      <w:start w:val="22"/>
    </w:lvl>
  </w:abstractNum>
  <w:abstractNum w:abstractNumId="18">
    <w:nsid w:val="333AB105"/>
    <w:multiLevelType w:val="hybridMultilevel"/>
    <w:lvl w:ilvl="0">
      <w:lvlJc w:val="left"/>
      <w:lvlText w:val="%1"/>
      <w:numFmt w:val="decimal"/>
      <w:start w:val="3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1" Type="http://schemas.openxmlformats.org/officeDocument/2006/relationships/hyperlink" Target="http://www.sec.gov/Archives/edgar/data/42582/000119312520144577/d89209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2020-07-31T10:22:31Z</dcterms:created>
  <dcterms:modified xsi:type="dcterms:W3CDTF">2020-07-31T10:22:31Z</dcterms:modified>
</cp:coreProperties>
</file>