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69005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1-1927</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THE GOODYEAR TIRE &amp; RUBBER COMPANY</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9"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33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422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34-0253240</w:t>
            </w:r>
          </w:p>
        </w:tc>
      </w:tr>
      <w:tr>
        <w:trPr>
          <w:trHeight w:val="252"/>
        </w:trPr>
        <w:tc>
          <w:tcPr>
            <w:tcW w:w="3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22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220" w:type="dxa"/>
            <w:vAlign w:val="bottom"/>
          </w:tcPr>
          <w:p>
            <w:pPr>
              <w:jc w:val="center"/>
              <w:ind w:left="27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78"/>
        </w:trPr>
        <w:tc>
          <w:tcPr>
            <w:tcW w:w="33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200 Innovation Way, Akron, Ohio</w:t>
            </w:r>
          </w:p>
        </w:tc>
        <w:tc>
          <w:tcPr>
            <w:tcW w:w="422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44316-0001</w:t>
            </w:r>
          </w:p>
        </w:tc>
      </w:tr>
      <w:tr>
        <w:trPr>
          <w:trHeight w:val="270"/>
        </w:trPr>
        <w:tc>
          <w:tcPr>
            <w:tcW w:w="33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22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rPr>
              <w:t>(Zip Code)</w:t>
            </w:r>
          </w:p>
        </w:tc>
      </w:tr>
      <w:tr>
        <w:trPr>
          <w:trHeight w:val="338"/>
        </w:trPr>
        <w:tc>
          <w:tcPr>
            <w:tcW w:w="3380" w:type="dxa"/>
            <w:vAlign w:val="bottom"/>
          </w:tcPr>
          <w:p>
            <w:pPr>
              <w:spacing w:after="0"/>
              <w:rPr>
                <w:sz w:val="24"/>
                <w:szCs w:val="24"/>
                <w:color w:val="auto"/>
              </w:rPr>
            </w:pPr>
          </w:p>
        </w:tc>
        <w:tc>
          <w:tcPr>
            <w:tcW w:w="4220" w:type="dxa"/>
            <w:vAlign w:val="bottom"/>
          </w:tcPr>
          <w:p>
            <w:pPr>
              <w:jc w:val="right"/>
              <w:ind w:right="2570"/>
              <w:spacing w:after="0"/>
              <w:rPr>
                <w:sz w:val="20"/>
                <w:szCs w:val="20"/>
                <w:color w:val="auto"/>
              </w:rPr>
            </w:pPr>
            <w:r>
              <w:rPr>
                <w:rFonts w:ascii="Times New Roman" w:cs="Times New Roman" w:eastAsia="Times New Roman" w:hAnsi="Times New Roman"/>
                <w:sz w:val="18"/>
                <w:szCs w:val="18"/>
                <w:b w:val="1"/>
                <w:bCs w:val="1"/>
                <w:color w:val="auto"/>
              </w:rPr>
              <w:t>(330) 796-2121</w:t>
            </w:r>
          </w:p>
        </w:tc>
      </w:tr>
    </w:tbl>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248"/>
        </w:trPr>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Without Par Value</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GT</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jc w:val="center"/>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160" w:type="dxa"/>
        <w:tblCellMar>
          <w:top w:w="0" w:type="dxa"/>
          <w:left w:w="0" w:type="dxa"/>
          <w:bottom w:w="0" w:type="dxa"/>
          <w:right w:w="0" w:type="dxa"/>
        </w:tblCellMar>
      </w:tblPr>
      <w:tr>
        <w:trPr>
          <w:trHeight w:val="216"/>
        </w:trPr>
        <w:tc>
          <w:tcPr>
            <w:tcW w:w="218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1580" w:type="dxa"/>
            <w:vAlign w:val="bottom"/>
          </w:tcPr>
          <w:p>
            <w:pPr>
              <w:spacing w:after="0"/>
              <w:rPr>
                <w:sz w:val="18"/>
                <w:szCs w:val="18"/>
                <w:color w:val="auto"/>
              </w:rPr>
            </w:pPr>
          </w:p>
        </w:tc>
        <w:tc>
          <w:tcPr>
            <w:tcW w:w="50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300" w:type="dxa"/>
            <w:vAlign w:val="bottom"/>
            <w:vMerge w:val="restart"/>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Smaller reporting</w:t>
            </w:r>
          </w:p>
        </w:tc>
        <w:tc>
          <w:tcPr>
            <w:tcW w:w="50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28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2180" w:type="dxa"/>
            <w:vAlign w:val="bottom"/>
            <w:vMerge w:val="continue"/>
          </w:tcPr>
          <w:p>
            <w:pPr>
              <w:spacing w:after="0"/>
              <w:rPr>
                <w:sz w:val="22"/>
                <w:szCs w:val="22"/>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vMerge w:val="continue"/>
          </w:tcPr>
          <w:p>
            <w:pPr>
              <w:spacing w:after="0"/>
              <w:rPr>
                <w:sz w:val="22"/>
                <w:szCs w:val="22"/>
                <w:color w:val="auto"/>
              </w:rPr>
            </w:pPr>
          </w:p>
        </w:tc>
        <w:tc>
          <w:tcPr>
            <w:tcW w:w="2300" w:type="dxa"/>
            <w:vAlign w:val="bottom"/>
            <w:vMerge w:val="continue"/>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500" w:type="dxa"/>
            <w:vAlign w:val="bottom"/>
            <w:vMerge w:val="continue"/>
          </w:tcPr>
          <w:p>
            <w:pPr>
              <w:spacing w:after="0"/>
              <w:rPr>
                <w:sz w:val="22"/>
                <w:szCs w:val="2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74" w:lineRule="exact"/>
        <w:rPr>
          <w:sz w:val="24"/>
          <w:szCs w:val="24"/>
          <w:color w:val="auto"/>
        </w:rPr>
      </w:pPr>
    </w:p>
    <w:p>
      <w:pPr>
        <w:spacing w:after="0" w:line="23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76" w:lineRule="exact"/>
        <w:rPr>
          <w:sz w:val="24"/>
          <w:szCs w:val="24"/>
          <w:color w:val="auto"/>
        </w:rPr>
      </w:pPr>
    </w:p>
    <w:p>
      <w:pPr>
        <w:ind w:left="5160"/>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302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Without Par Value, Outstanding at October 31, 2025:</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286,160,909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PART I. FINANCIAL INFORMATION</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ITEM 1. FINANCIAL STATEMENTS</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63" w:lineRule="exact"/>
        <w:rPr>
          <w:sz w:val="20"/>
          <w:szCs w:val="20"/>
          <w:color w:val="auto"/>
        </w:rPr>
      </w:pPr>
    </w:p>
    <w:p>
      <w:pPr>
        <w:ind w:left="820"/>
        <w:spacing w:after="0" w:line="313" w:lineRule="auto"/>
        <w:rPr>
          <w:sz w:val="20"/>
          <w:szCs w:val="20"/>
          <w:color w:val="auto"/>
        </w:rPr>
      </w:pPr>
      <w:r>
        <w:rPr>
          <w:rFonts w:ascii="Times New Roman" w:cs="Times New Roman" w:eastAsia="Times New Roman" w:hAnsi="Times New Roman"/>
          <w:sz w:val="18"/>
          <w:szCs w:val="18"/>
          <w:u w:val="single" w:color="auto"/>
          <w:color w:val="0000FF"/>
        </w:rPr>
        <w:t>ITEM 2. MANAGEMENT'S DISCUSSION AND ANALYSIS OF FINANCIAL CONDITION AND RESULTS OF OPERATIONS ITEM 3. QUANTITATIVE AND QUALITATIVE DISCLOSURES ABOUT MARKET RISK ITEM 4. CONTROLS AND PROCEDURES</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PART II. OTHER INFORMATION</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ITEM 1. LEGAL PROCEEDINGS</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ITEM 1A. RISK FACTORS</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ITEM 5. OTHER INFORMATION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EX-10.1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EX-22.1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EX-31.1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EX-31.2</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EX-32.1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EX-101.INS INSTANCE DOCUMENT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EX-101.SCH SCHEMA DOCUMENT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337" w:right="11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OPERATIONS (Unaudited)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2440" w:type="dxa"/>
            <w:vAlign w:val="bottom"/>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80" w:type="dxa"/>
            <w:vAlign w:val="bottom"/>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7"/>
        </w:trPr>
        <w:tc>
          <w:tcPr>
            <w:tcW w:w="52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(Note 3)</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 Impairments (Note 1)</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Rationalizations (Note 4)</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on Asset Sales (Note 2)</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 Expense (Note 6)</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(2,197)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Minority Shareholders’ Net Income (Loss)</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(Loss)</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(2,195)</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(Loss) — Per Share of Common Stock</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2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(Note 7)</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(Note 7)</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-187960</wp:posOffset>
            </wp:positionV>
            <wp:extent cx="59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-359410</wp:posOffset>
            </wp:positionV>
            <wp:extent cx="59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-736600</wp:posOffset>
            </wp:positionV>
            <wp:extent cx="59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-736600</wp:posOffset>
            </wp:positionV>
            <wp:extent cx="59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-736600</wp:posOffset>
            </wp:positionV>
            <wp:extent cx="60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-2836545</wp:posOffset>
            </wp:positionV>
            <wp:extent cx="59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-3188335</wp:posOffset>
            </wp:positionV>
            <wp:extent cx="596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-3188335</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COMPREHENSIVE INCOME (Unaudited)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5"/>
                <w:szCs w:val="15"/>
                <w:color w:val="auto"/>
              </w:rPr>
            </w:pPr>
          </w:p>
        </w:tc>
      </w:tr>
      <w:tr>
        <w:trPr>
          <w:trHeight w:val="190"/>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9"/>
                <w:szCs w:val="19"/>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7"/>
        </w:trPr>
        <w:tc>
          <w:tcPr>
            <w:tcW w:w="522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4"/>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r>
      <w:tr>
        <w:trPr>
          <w:trHeight w:val="225"/>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Foreign currency translation, net of tax of ($6) and $0 in 2025 ($3</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5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$0 in 2024)</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52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Reclassification adjustment for amounts recognized in income,</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41"/>
        </w:trPr>
        <w:tc>
          <w:tcPr>
            <w:tcW w:w="52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net of tax of $0 and $0 in 2025 ($0 and $0 in 2024)</w:t>
            </w:r>
          </w:p>
        </w:tc>
        <w:tc>
          <w:tcPr>
            <w:tcW w:w="3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Defined benefit plans: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52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Reclassification adjustment for amortization of prior service cost</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16"/>
        </w:trPr>
        <w:tc>
          <w:tcPr>
            <w:tcW w:w="52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and unrecognized gains and losses included in total benefit cost,</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41"/>
        </w:trPr>
        <w:tc>
          <w:tcPr>
            <w:tcW w:w="52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net of tax of ($9) and $4 in 2025 ($7 and $20 in 2024)</w:t>
            </w:r>
          </w:p>
        </w:tc>
        <w:tc>
          <w:tcPr>
            <w:tcW w:w="3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5"/>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net actuarial gains and losses, net of tax of ($3) and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 in 2025 (($1) and $6 in 2024)</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52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Reclassification adjustment for immediate recognition of prior</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16"/>
        </w:trPr>
        <w:tc>
          <w:tcPr>
            <w:tcW w:w="52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service cost and unrecognized gains and losses due to</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16"/>
        </w:trPr>
        <w:tc>
          <w:tcPr>
            <w:tcW w:w="52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curtailments, settlements and divestitures, net of tax of ($1) and</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41"/>
        </w:trPr>
        <w:tc>
          <w:tcPr>
            <w:tcW w:w="52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($1) in 2025 ($0 and ($1) in 2024)</w:t>
            </w:r>
          </w:p>
        </w:tc>
        <w:tc>
          <w:tcPr>
            <w:tcW w:w="3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Prior service credit from plan amendments, net of tax of $0 and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 in 2025 ($7 and $7 in 2024)</w:t>
            </w:r>
          </w:p>
        </w:tc>
        <w:tc>
          <w:tcPr>
            <w:tcW w:w="34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derivative gain:</w:t>
            </w: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r>
      <w:tr>
        <w:trPr>
          <w:trHeight w:val="225"/>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Reclassification adjustment for amounts recognized in income,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of tax of $0 and $0 in 2025 ($0 and $0 in 2024)</w:t>
            </w:r>
          </w:p>
        </w:tc>
        <w:tc>
          <w:tcPr>
            <w:tcW w:w="34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2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3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Comprehensive Income (Loss) Attributable to Minority</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61"/>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3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Comprehensive Income (Loss)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(1,688)</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7"/>
        </w:trPr>
        <w:tc>
          <w:tcPr>
            <w:tcW w:w="5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-231140</wp:posOffset>
            </wp:positionV>
            <wp:extent cx="59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-521970</wp:posOffset>
            </wp:positionV>
            <wp:extent cx="59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-882015</wp:posOffset>
            </wp:positionV>
            <wp:extent cx="59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-882015</wp:posOffset>
            </wp:positionV>
            <wp:extent cx="596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-882015</wp:posOffset>
            </wp:positionV>
            <wp:extent cx="60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-1362075</wp:posOffset>
            </wp:positionV>
            <wp:extent cx="5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-4319905</wp:posOffset>
            </wp:positionV>
            <wp:extent cx="596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-4319905</wp:posOffset>
            </wp:positionV>
            <wp:extent cx="60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left="340" w:right="2760"/>
        <w:spacing w:after="0" w:line="27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BALANCE SHEETS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2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200" w:type="dxa"/>
            <w:vAlign w:val="bottom"/>
          </w:tcPr>
          <w:p>
            <w:pPr>
              <w:spacing w:after="0"/>
              <w:rPr>
                <w:sz w:val="16"/>
                <w:szCs w:val="16"/>
                <w:color w:val="auto"/>
              </w:rPr>
            </w:pPr>
          </w:p>
        </w:tc>
        <w:tc>
          <w:tcPr>
            <w:tcW w:w="12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4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w:t>
            </w:r>
          </w:p>
        </w:tc>
      </w:tr>
      <w:tr>
        <w:trPr>
          <w:trHeight w:val="233"/>
        </w:trPr>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 less Allowance — $100 ($84 in 2024)</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2,482</w:t>
            </w: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Raw Materials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r>
      <w:tr>
        <w:trPr>
          <w:trHeight w:val="253"/>
        </w:trPr>
        <w:tc>
          <w:tcPr>
            <w:tcW w:w="8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Work in Process</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37"/>
        </w:trPr>
        <w:tc>
          <w:tcPr>
            <w:tcW w:w="824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Finished Products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2,619</w:t>
            </w:r>
          </w:p>
        </w:tc>
      </w:tr>
      <w:tr>
        <w:trPr>
          <w:trHeight w:val="243"/>
        </w:trPr>
        <w:tc>
          <w:tcPr>
            <w:tcW w:w="8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3,554</w:t>
            </w:r>
          </w:p>
        </w:tc>
      </w:tr>
      <w:tr>
        <w:trPr>
          <w:trHeight w:val="233"/>
        </w:trPr>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Assets Held for Sale (Note 1)</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27"/>
        </w:trPr>
        <w:tc>
          <w:tcPr>
            <w:tcW w:w="82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7,589</w:t>
            </w: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Goodwill (Note 1)</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(Note 1)</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 (Note 6)</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1,686</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w:t>
            </w: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w:t>
            </w:r>
          </w:p>
        </w:tc>
      </w:tr>
      <w:tr>
        <w:trPr>
          <w:trHeight w:val="237"/>
        </w:trPr>
        <w:tc>
          <w:tcPr>
            <w:tcW w:w="82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less Accumulated Depreciation — $12,230 ($12,212 in 2024)</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7,904</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8,082</w:t>
            </w:r>
          </w:p>
        </w:tc>
      </w:tr>
      <w:tr>
        <w:trPr>
          <w:trHeight w:val="261"/>
        </w:trPr>
        <w:tc>
          <w:tcPr>
            <w:tcW w:w="8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20,222</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20,921</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r>
      <w:tr>
        <w:trPr>
          <w:trHeight w:val="170"/>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4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Accounts Payable — Trade</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4,092</w:t>
            </w:r>
          </w:p>
        </w:tc>
      </w:tr>
      <w:tr>
        <w:trPr>
          <w:trHeight w:val="260"/>
        </w:trPr>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Compensation and Benefits (Notes 11 and 12</w:t>
            </w: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1,089</w:t>
            </w:r>
          </w:p>
        </w:tc>
      </w:tr>
      <w:tr>
        <w:trPr>
          <w:trHeight w:val="233"/>
        </w:trPr>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Notes Payable and Overdrafts (Note 9)</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Operating Lease Liabilities due Within One Year</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36"/>
        </w:trPr>
        <w:tc>
          <w:tcPr>
            <w:tcW w:w="82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6"/>
                <w:szCs w:val="16"/>
                <w:color w:val="auto"/>
              </w:rPr>
              <w:t>Long Term Debt and Finance Leases due Within One Year (Note 9)</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w:t>
            </w:r>
          </w:p>
        </w:tc>
      </w:tr>
      <w:tr>
        <w:trPr>
          <w:trHeight w:val="243"/>
        </w:trPr>
        <w:tc>
          <w:tcPr>
            <w:tcW w:w="8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7,110</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7,377</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 Term Debt and Finance Leases (Note 9)</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6,392</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 (Notes 11 and 12)</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 (Note 6)</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37"/>
        </w:trPr>
        <w:tc>
          <w:tcPr>
            <w:tcW w:w="82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Other Long Term Liabilities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w:t>
            </w:r>
          </w:p>
        </w:tc>
      </w:tr>
      <w:tr>
        <w:trPr>
          <w:trHeight w:val="243"/>
        </w:trPr>
        <w:tc>
          <w:tcPr>
            <w:tcW w:w="8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17,044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16,098</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(Note 13)</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Authorized, 450 million shares, Outstanding shares — 286 million in 2025 (285 million in 2024)</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Capital Surplus</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3,159</w:t>
            </w:r>
          </w:p>
        </w:tc>
      </w:tr>
      <w:tr>
        <w:trPr>
          <w:trHeight w:val="233"/>
        </w:trPr>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5,081</w:t>
            </w: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 (Note 15)</w:t>
            </w: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(3,706)</w:t>
            </w:r>
          </w:p>
        </w:tc>
        <w:tc>
          <w:tcPr>
            <w:tcW w:w="1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(3,844)</w:t>
            </w:r>
          </w:p>
        </w:tc>
      </w:tr>
      <w:tr>
        <w:trPr>
          <w:trHeight w:val="227"/>
        </w:trPr>
        <w:tc>
          <w:tcPr>
            <w:tcW w:w="82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4,681</w:t>
            </w: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Minority Shareholders’ Equity — Nonredeemable</w:t>
            </w: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30"/>
        </w:trPr>
        <w:tc>
          <w:tcPr>
            <w:tcW w:w="82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3,178</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4,823</w:t>
            </w:r>
          </w:p>
        </w:tc>
      </w:tr>
      <w:tr>
        <w:trPr>
          <w:trHeight w:val="261"/>
        </w:trPr>
        <w:tc>
          <w:tcPr>
            <w:tcW w:w="8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20,222</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20,921</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-33655</wp:posOffset>
            </wp:positionV>
            <wp:extent cx="60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-196215</wp:posOffset>
            </wp:positionV>
            <wp:extent cx="60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-2073910</wp:posOffset>
            </wp:positionV>
            <wp:extent cx="60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-3007995</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-4413885</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-4577080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-6137275</wp:posOffset>
            </wp:positionV>
            <wp:extent cx="60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-7406005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SHAREHOLDERS’ EQUITY (Unaudited)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Pr>
          <w:p>
            <w:pPr>
              <w:spacing w:after="0"/>
              <w:rPr>
                <w:sz w:val="15"/>
                <w:szCs w:val="15"/>
                <w:color w:val="auto"/>
              </w:rPr>
            </w:pPr>
          </w:p>
        </w:tc>
        <w:tc>
          <w:tcPr>
            <w:tcW w:w="208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80" w:type="dxa"/>
            <w:vAlign w:val="bottom"/>
          </w:tcPr>
          <w:p>
            <w:pPr>
              <w:spacing w:after="0"/>
              <w:rPr>
                <w:sz w:val="15"/>
                <w:szCs w:val="15"/>
                <w:color w:val="auto"/>
              </w:rPr>
            </w:pPr>
          </w:p>
        </w:tc>
        <w:tc>
          <w:tcPr>
            <w:tcW w:w="8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880" w:type="dxa"/>
            <w:vAlign w:val="bottom"/>
          </w:tcPr>
          <w:p>
            <w:pPr>
              <w:spacing w:after="0"/>
              <w:rPr>
                <w:sz w:val="9"/>
                <w:szCs w:val="9"/>
                <w:color w:val="auto"/>
              </w:rPr>
            </w:pPr>
          </w:p>
        </w:tc>
        <w:tc>
          <w:tcPr>
            <w:tcW w:w="208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8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6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Equity — Non-</w:t>
            </w:r>
          </w:p>
        </w:tc>
        <w:tc>
          <w:tcPr>
            <w:tcW w:w="980" w:type="dxa"/>
            <w:vAlign w:val="bottom"/>
            <w:gridSpan w:val="2"/>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6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7"/>
                <w:szCs w:val="17"/>
                <w:color w:val="auto"/>
              </w:rPr>
            </w:pPr>
          </w:p>
        </w:tc>
        <w:tc>
          <w:tcPr>
            <w:tcW w:w="8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88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(after deducting 39,313,644 common treasury</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284,974,263</w:t>
            </w:r>
          </w:p>
        </w:tc>
        <w:tc>
          <w:tcPr>
            <w:tcW w:w="80" w:type="dxa"/>
            <w:vAlign w:val="bottom"/>
          </w:tcPr>
          <w:p>
            <w:pPr>
              <w:spacing w:after="0"/>
              <w:rPr>
                <w:sz w:val="15"/>
                <w:szCs w:val="15"/>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285</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3,159</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5,081</w:t>
            </w:r>
          </w:p>
        </w:tc>
        <w:tc>
          <w:tcPr>
            <w:tcW w:w="80" w:type="dxa"/>
            <w:vAlign w:val="bottom"/>
          </w:tcPr>
          <w:p>
            <w:pPr>
              <w:spacing w:after="0"/>
              <w:rPr>
                <w:sz w:val="15"/>
                <w:szCs w:val="15"/>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(3,844)</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4,681</w:t>
            </w:r>
          </w:p>
        </w:tc>
        <w:tc>
          <w:tcPr>
            <w:tcW w:w="80" w:type="dxa"/>
            <w:vAlign w:val="bottom"/>
          </w:tcPr>
          <w:p>
            <w:pPr>
              <w:spacing w:after="0"/>
              <w:rPr>
                <w:sz w:val="15"/>
                <w:szCs w:val="15"/>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142</w:t>
            </w:r>
          </w:p>
        </w:tc>
        <w:tc>
          <w:tcPr>
            <w:tcW w:w="80" w:type="dxa"/>
            <w:vAlign w:val="bottom"/>
          </w:tcPr>
          <w:p>
            <w:pPr>
              <w:spacing w:after="0"/>
              <w:rPr>
                <w:sz w:val="15"/>
                <w:szCs w:val="15"/>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4,823</w:t>
            </w:r>
          </w:p>
        </w:tc>
        <w:tc>
          <w:tcPr>
            <w:tcW w:w="0" w:type="dxa"/>
            <w:vAlign w:val="bottom"/>
          </w:tcPr>
          <w:p>
            <w:pPr>
              <w:spacing w:after="0"/>
              <w:rPr>
                <w:sz w:val="1"/>
                <w:szCs w:val="1"/>
                <w:color w:val="auto"/>
              </w:rPr>
            </w:pPr>
          </w:p>
        </w:tc>
      </w:tr>
      <w:tr>
        <w:trPr>
          <w:trHeight w:val="188"/>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37"/>
        </w:trPr>
        <w:tc>
          <w:tcPr>
            <w:tcW w:w="2880" w:type="dxa"/>
            <w:vAlign w:val="bottom"/>
            <w:tcBorders>
              <w:bottom w:val="single" w:sz="8" w:color="CFF0FC"/>
            </w:tcBorders>
          </w:tcPr>
          <w:p>
            <w:pPr>
              <w:spacing w:after="0"/>
              <w:rPr>
                <w:sz w:val="3"/>
                <w:szCs w:val="3"/>
                <w:color w:val="auto"/>
              </w:rPr>
            </w:pPr>
          </w:p>
        </w:tc>
        <w:tc>
          <w:tcPr>
            <w:tcW w:w="98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78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78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80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90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8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429</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467</w:t>
            </w: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1,039,706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7"/>
        </w:trPr>
        <w:tc>
          <w:tcPr>
            <w:tcW w:w="2880" w:type="dxa"/>
            <w:vAlign w:val="bottom"/>
            <w:tcBorders>
              <w:bottom w:val="single" w:sz="8" w:color="CFF0FC"/>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9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(after deducting 38,273,938 common treasury</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286,013,969</w:t>
            </w:r>
          </w:p>
        </w:tc>
        <w:tc>
          <w:tcPr>
            <w:tcW w:w="80" w:type="dxa"/>
            <w:vAlign w:val="bottom"/>
          </w:tcPr>
          <w:p>
            <w:pPr>
              <w:spacing w:after="0"/>
              <w:rPr>
                <w:sz w:val="15"/>
                <w:szCs w:val="15"/>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286</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3,164</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5,450</w:t>
            </w:r>
          </w:p>
        </w:tc>
        <w:tc>
          <w:tcPr>
            <w:tcW w:w="80" w:type="dxa"/>
            <w:vAlign w:val="bottom"/>
          </w:tcPr>
          <w:p>
            <w:pPr>
              <w:spacing w:after="0"/>
              <w:rPr>
                <w:sz w:val="15"/>
                <w:szCs w:val="15"/>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(3,784)</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5,116</w:t>
            </w:r>
          </w:p>
        </w:tc>
        <w:tc>
          <w:tcPr>
            <w:tcW w:w="80" w:type="dxa"/>
            <w:vAlign w:val="bottom"/>
          </w:tcPr>
          <w:p>
            <w:pPr>
              <w:spacing w:after="0"/>
              <w:rPr>
                <w:sz w:val="15"/>
                <w:szCs w:val="15"/>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178</w:t>
            </w:r>
          </w:p>
        </w:tc>
        <w:tc>
          <w:tcPr>
            <w:tcW w:w="80" w:type="dxa"/>
            <w:vAlign w:val="bottom"/>
          </w:tcPr>
          <w:p>
            <w:pPr>
              <w:spacing w:after="0"/>
              <w:rPr>
                <w:sz w:val="15"/>
                <w:szCs w:val="15"/>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5,294</w:t>
            </w:r>
          </w:p>
        </w:tc>
        <w:tc>
          <w:tcPr>
            <w:tcW w:w="0" w:type="dxa"/>
            <w:vAlign w:val="bottom"/>
          </w:tcPr>
          <w:p>
            <w:pPr>
              <w:spacing w:after="0"/>
              <w:rPr>
                <w:sz w:val="1"/>
                <w:szCs w:val="1"/>
                <w:color w:val="auto"/>
              </w:rPr>
            </w:pPr>
          </w:p>
        </w:tc>
      </w:tr>
      <w:tr>
        <w:trPr>
          <w:trHeight w:val="188"/>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37"/>
        </w:trPr>
        <w:tc>
          <w:tcPr>
            <w:tcW w:w="2880" w:type="dxa"/>
            <w:vAlign w:val="bottom"/>
            <w:tcBorders>
              <w:bottom w:val="single" w:sz="8" w:color="CFF0FC"/>
            </w:tcBorders>
          </w:tcPr>
          <w:p>
            <w:pPr>
              <w:spacing w:after="0"/>
              <w:rPr>
                <w:sz w:val="3"/>
                <w:szCs w:val="3"/>
                <w:color w:val="auto"/>
              </w:rPr>
            </w:pPr>
          </w:p>
        </w:tc>
        <w:tc>
          <w:tcPr>
            <w:tcW w:w="98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78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78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80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90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8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(2,117)</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(2,120)</w:t>
            </w: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80" w:type="dxa"/>
            <w:vAlign w:val="bottom"/>
            <w:tcBorders>
              <w:bottom w:val="single" w:sz="8" w:color="CFF0FC"/>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9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(after deducting 38,151,126 common treasury</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286,136,781</w:t>
            </w:r>
          </w:p>
        </w:tc>
        <w:tc>
          <w:tcPr>
            <w:tcW w:w="80" w:type="dxa"/>
            <w:vAlign w:val="bottom"/>
          </w:tcPr>
          <w:p>
            <w:pPr>
              <w:spacing w:after="0"/>
              <w:rPr>
                <w:sz w:val="15"/>
                <w:szCs w:val="15"/>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286</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3,170</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3,255</w:t>
            </w:r>
          </w:p>
        </w:tc>
        <w:tc>
          <w:tcPr>
            <w:tcW w:w="80" w:type="dxa"/>
            <w:vAlign w:val="bottom"/>
          </w:tcPr>
          <w:p>
            <w:pPr>
              <w:spacing w:after="0"/>
              <w:rPr>
                <w:sz w:val="15"/>
                <w:szCs w:val="15"/>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(3,706)</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3,005</w:t>
            </w:r>
          </w:p>
        </w:tc>
        <w:tc>
          <w:tcPr>
            <w:tcW w:w="80" w:type="dxa"/>
            <w:vAlign w:val="bottom"/>
          </w:tcPr>
          <w:p>
            <w:pPr>
              <w:spacing w:after="0"/>
              <w:rPr>
                <w:sz w:val="15"/>
                <w:szCs w:val="15"/>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173</w:t>
            </w:r>
          </w:p>
        </w:tc>
        <w:tc>
          <w:tcPr>
            <w:tcW w:w="80" w:type="dxa"/>
            <w:vAlign w:val="bottom"/>
          </w:tcPr>
          <w:p>
            <w:pPr>
              <w:spacing w:after="0"/>
              <w:rPr>
                <w:sz w:val="15"/>
                <w:szCs w:val="15"/>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3,178</w:t>
            </w:r>
          </w:p>
        </w:tc>
        <w:tc>
          <w:tcPr>
            <w:tcW w:w="0" w:type="dxa"/>
            <w:vAlign w:val="bottom"/>
          </w:tcPr>
          <w:p>
            <w:pPr>
              <w:spacing w:after="0"/>
              <w:rPr>
                <w:sz w:val="1"/>
                <w:szCs w:val="1"/>
                <w:color w:val="auto"/>
              </w:rPr>
            </w:pPr>
          </w:p>
        </w:tc>
      </w:tr>
      <w:tr>
        <w:trPr>
          <w:trHeight w:val="198"/>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dividends declared or paid during the three and nine months ended September 30,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SHAREHOLDERS’ EQUITY (Unaudited)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Pr>
          <w:p>
            <w:pPr>
              <w:spacing w:after="0"/>
              <w:rPr>
                <w:sz w:val="15"/>
                <w:szCs w:val="15"/>
                <w:color w:val="auto"/>
              </w:rPr>
            </w:pPr>
          </w:p>
        </w:tc>
        <w:tc>
          <w:tcPr>
            <w:tcW w:w="208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80" w:type="dxa"/>
            <w:vAlign w:val="bottom"/>
          </w:tcPr>
          <w:p>
            <w:pPr>
              <w:spacing w:after="0"/>
              <w:rPr>
                <w:sz w:val="15"/>
                <w:szCs w:val="15"/>
                <w:color w:val="auto"/>
              </w:rPr>
            </w:pPr>
          </w:p>
        </w:tc>
        <w:tc>
          <w:tcPr>
            <w:tcW w:w="8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880" w:type="dxa"/>
            <w:vAlign w:val="bottom"/>
          </w:tcPr>
          <w:p>
            <w:pPr>
              <w:spacing w:after="0"/>
              <w:rPr>
                <w:sz w:val="9"/>
                <w:szCs w:val="9"/>
                <w:color w:val="auto"/>
              </w:rPr>
            </w:pPr>
          </w:p>
        </w:tc>
        <w:tc>
          <w:tcPr>
            <w:tcW w:w="208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8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6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Equity — Non-</w:t>
            </w:r>
          </w:p>
        </w:tc>
        <w:tc>
          <w:tcPr>
            <w:tcW w:w="980" w:type="dxa"/>
            <w:vAlign w:val="bottom"/>
            <w:gridSpan w:val="2"/>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6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7"/>
                <w:szCs w:val="17"/>
                <w:color w:val="auto"/>
              </w:rPr>
            </w:pPr>
          </w:p>
        </w:tc>
        <w:tc>
          <w:tcPr>
            <w:tcW w:w="8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8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(after deducting 40,501,644 common treasury</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283,786,263</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284</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3,133</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5,035</w:t>
            </w:r>
          </w:p>
        </w:tc>
        <w:tc>
          <w:tcPr>
            <w:tcW w:w="8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(3,835)</w:t>
            </w:r>
          </w:p>
        </w:tc>
        <w:tc>
          <w:tcPr>
            <w:tcW w:w="80" w:type="dxa"/>
            <w:vAlign w:val="bottom"/>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4,617</w:t>
            </w:r>
          </w:p>
        </w:tc>
        <w:tc>
          <w:tcPr>
            <w:tcW w:w="8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162</w:t>
            </w:r>
          </w:p>
        </w:tc>
        <w:tc>
          <w:tcPr>
            <w:tcW w:w="80" w:type="dxa"/>
            <w:vAlign w:val="bottom"/>
            <w:shd w:val="clear" w:color="auto" w:fill="CFF0FC"/>
          </w:tcPr>
          <w:p>
            <w:pPr>
              <w:spacing w:after="0"/>
              <w:rPr>
                <w:sz w:val="15"/>
                <w:szCs w:val="15"/>
                <w:color w:val="auto"/>
              </w:rPr>
            </w:pPr>
          </w:p>
        </w:tc>
        <w:tc>
          <w:tcPr>
            <w:tcW w:w="1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4,779</w:t>
            </w:r>
          </w:p>
        </w:tc>
        <w:tc>
          <w:tcPr>
            <w:tcW w:w="0" w:type="dxa"/>
            <w:vAlign w:val="bottom"/>
          </w:tcPr>
          <w:p>
            <w:pPr>
              <w:spacing w:after="0"/>
              <w:rPr>
                <w:sz w:val="1"/>
                <w:szCs w:val="1"/>
                <w:color w:val="auto"/>
              </w:rPr>
            </w:pPr>
          </w:p>
        </w:tc>
      </w:tr>
      <w:tr>
        <w:trPr>
          <w:trHeight w:val="205"/>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9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7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7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80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90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vMerge w:val="continue"/>
            <w:shd w:val="clear" w:color="auto" w:fill="CFF0FC"/>
          </w:tcPr>
          <w:p>
            <w:pPr>
              <w:spacing w:after="0"/>
              <w:rPr>
                <w:sz w:val="17"/>
                <w:szCs w:val="17"/>
                <w:color w:val="auto"/>
              </w:rPr>
            </w:pPr>
          </w:p>
        </w:tc>
        <w:tc>
          <w:tcPr>
            <w:tcW w:w="86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8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vMerge w:val="continue"/>
            <w:shd w:val="clear" w:color="auto" w:fill="CFF0FC"/>
          </w:tcPr>
          <w:p>
            <w:pPr>
              <w:spacing w:after="0"/>
              <w:rPr>
                <w:sz w:val="17"/>
                <w:szCs w:val="17"/>
                <w:color w:val="auto"/>
              </w:rPr>
            </w:pPr>
          </w:p>
        </w:tc>
        <w:tc>
          <w:tcPr>
            <w:tcW w:w="800" w:type="dxa"/>
            <w:vAlign w:val="bottom"/>
            <w:tcBorders>
              <w:bottom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6"/>
        </w:trPr>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900,744</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3"/>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(after deducting 39,600,900 common treasury</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284,687,007</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285</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3,146</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5,045</w:t>
            </w:r>
          </w:p>
        </w:tc>
        <w:tc>
          <w:tcPr>
            <w:tcW w:w="8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(3,842)</w:t>
            </w:r>
          </w:p>
        </w:tc>
        <w:tc>
          <w:tcPr>
            <w:tcW w:w="80" w:type="dxa"/>
            <w:vAlign w:val="bottom"/>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4,634</w:t>
            </w:r>
          </w:p>
        </w:tc>
        <w:tc>
          <w:tcPr>
            <w:tcW w:w="8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144</w:t>
            </w:r>
          </w:p>
        </w:tc>
        <w:tc>
          <w:tcPr>
            <w:tcW w:w="80" w:type="dxa"/>
            <w:vAlign w:val="bottom"/>
            <w:shd w:val="clear" w:color="auto" w:fill="CFF0FC"/>
          </w:tcPr>
          <w:p>
            <w:pPr>
              <w:spacing w:after="0"/>
              <w:rPr>
                <w:sz w:val="15"/>
                <w:szCs w:val="15"/>
                <w:color w:val="auto"/>
              </w:rPr>
            </w:pPr>
          </w:p>
        </w:tc>
        <w:tc>
          <w:tcPr>
            <w:tcW w:w="1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4,778</w:t>
            </w:r>
          </w:p>
        </w:tc>
        <w:tc>
          <w:tcPr>
            <w:tcW w:w="0" w:type="dxa"/>
            <w:vAlign w:val="bottom"/>
          </w:tcPr>
          <w:p>
            <w:pPr>
              <w:spacing w:after="0"/>
              <w:rPr>
                <w:sz w:val="1"/>
                <w:szCs w:val="1"/>
                <w:color w:val="auto"/>
              </w:rPr>
            </w:pPr>
          </w:p>
        </w:tc>
      </w:tr>
      <w:tr>
        <w:trPr>
          <w:trHeight w:val="205"/>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9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7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7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80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90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vMerge w:val="continue"/>
            <w:shd w:val="clear" w:color="auto" w:fill="CFF0FC"/>
          </w:tcPr>
          <w:p>
            <w:pPr>
              <w:spacing w:after="0"/>
              <w:rPr>
                <w:sz w:val="17"/>
                <w:szCs w:val="17"/>
                <w:color w:val="auto"/>
              </w:rPr>
            </w:pPr>
          </w:p>
        </w:tc>
        <w:tc>
          <w:tcPr>
            <w:tcW w:w="86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8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vMerge w:val="continue"/>
            <w:shd w:val="clear" w:color="auto" w:fill="CFF0FC"/>
          </w:tcPr>
          <w:p>
            <w:pPr>
              <w:spacing w:after="0"/>
              <w:rPr>
                <w:sz w:val="17"/>
                <w:szCs w:val="17"/>
                <w:color w:val="auto"/>
              </w:rPr>
            </w:pPr>
          </w:p>
        </w:tc>
        <w:tc>
          <w:tcPr>
            <w:tcW w:w="800" w:type="dxa"/>
            <w:vAlign w:val="bottom"/>
            <w:tcBorders>
              <w:bottom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86"/>
        </w:trPr>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p>
      <w:pPr>
        <w:spacing w:after="0" w:line="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Stock-based compensation plans</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Dividends declared</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Common stock issued from treasury</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p>
      <w:pPr>
        <w:spacing w:after="0" w:line="71" w:lineRule="exact"/>
        <w:rPr>
          <w:sz w:val="20"/>
          <w:szCs w:val="20"/>
          <w:color w:val="auto"/>
        </w:rPr>
      </w:pPr>
    </w:p>
    <w:p>
      <w:pPr>
        <w:ind w:left="180"/>
        <w:spacing w:after="0" w:line="302" w:lineRule="auto"/>
        <w:rPr>
          <w:sz w:val="20"/>
          <w:szCs w:val="20"/>
          <w:color w:val="auto"/>
        </w:rPr>
      </w:pPr>
      <w:r>
        <w:rPr>
          <w:rFonts w:ascii="Times New Roman" w:cs="Times New Roman" w:eastAsia="Times New Roman" w:hAnsi="Times New Roman"/>
          <w:sz w:val="14"/>
          <w:szCs w:val="14"/>
          <w:color w:val="auto"/>
        </w:rPr>
        <w:t>(after deducting 39,372,886 common treasury shares)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29"/>
        </w:trPr>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0"/>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228,014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7"/>
        </w:trPr>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550"/>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284,915,021</w:t>
            </w:r>
          </w:p>
        </w:tc>
        <w:tc>
          <w:tcPr>
            <w:tcW w:w="80" w:type="dxa"/>
            <w:vAlign w:val="bottom"/>
          </w:tcPr>
          <w:p>
            <w:pPr>
              <w:spacing w:after="0"/>
              <w:rPr>
                <w:sz w:val="24"/>
                <w:szCs w:val="24"/>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285</w:t>
            </w:r>
          </w:p>
        </w:tc>
        <w:tc>
          <w:tcPr>
            <w:tcW w:w="8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3,152</w:t>
            </w:r>
          </w:p>
        </w:tc>
        <w:tc>
          <w:tcPr>
            <w:tcW w:w="8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5,008</w:t>
            </w:r>
          </w:p>
        </w:tc>
        <w:tc>
          <w:tcPr>
            <w:tcW w:w="8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(3,772)</w:t>
            </w:r>
          </w:p>
        </w:tc>
        <w:tc>
          <w:tcPr>
            <w:tcW w:w="8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4,673</w:t>
            </w:r>
          </w:p>
        </w:tc>
        <w:tc>
          <w:tcPr>
            <w:tcW w:w="80" w:type="dxa"/>
            <w:vAlign w:val="bottom"/>
          </w:tcPr>
          <w:p>
            <w:pPr>
              <w:spacing w:after="0"/>
              <w:rPr>
                <w:sz w:val="24"/>
                <w:szCs w:val="24"/>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152</w:t>
            </w:r>
          </w:p>
        </w:tc>
        <w:tc>
          <w:tcPr>
            <w:tcW w:w="8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4,825</w:t>
            </w:r>
          </w:p>
        </w:tc>
      </w:tr>
      <w:tr>
        <w:trPr>
          <w:trHeight w:val="37"/>
        </w:trPr>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-565150</wp:posOffset>
            </wp:positionV>
            <wp:extent cx="712343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1460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-273685</wp:posOffset>
            </wp:positionV>
            <wp:extent cx="7123430"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3430" cy="25717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2820" w:space="60"/>
            <w:col w:w="8340"/>
          </w:cols>
          <w:pgMar w:left="320" w:top="337"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There were no dividends declared or paid during the three and nine months ended September 30,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CASH FLOWS (Unaudited)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9"/>
                <w:szCs w:val="19"/>
                <w:color w:val="auto"/>
              </w:rPr>
            </w:pPr>
          </w:p>
        </w:tc>
        <w:tc>
          <w:tcPr>
            <w:tcW w:w="100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2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(1,798)</w:t>
            </w:r>
          </w:p>
        </w:tc>
        <w:tc>
          <w:tcPr>
            <w:tcW w:w="10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Loss to Cash Flows from Operating Activities: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Amortization and Write-Off of Debt Issuance Costs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 and Intangible Asset Impairment (Note 1)</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Provision for Deferred Income Taxes (Note 6)</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Pension Curtailments and Settlements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Rationalization Charges (Note 4)</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Rationalization Payments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Gains on Asset Sales (Note 2)</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(Gain) on Insurance Recoveries for Damaged Property, Plant and Equipment</w:t>
            </w:r>
          </w:p>
        </w:tc>
        <w:tc>
          <w:tcPr>
            <w:tcW w:w="3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Operating Lease Expense</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Payments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Pension Contributions and Direct Payments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3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Changes in Operating Assets and Liabilities, Net of Asset Acquisitions and Dispositions: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Accounts Payable — Trade</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37"/>
        </w:trPr>
        <w:tc>
          <w:tcPr>
            <w:tcW w:w="848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FF0F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4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Cash Flows from Operating Activities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(716)</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(591)</w:t>
            </w: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(912)</w:t>
            </w:r>
          </w:p>
        </w:tc>
      </w:tr>
      <w:tr>
        <w:trPr>
          <w:trHeight w:val="23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Insurance Recoveries for Damaged Property, Plant and Equipment</w:t>
            </w:r>
          </w:p>
        </w:tc>
        <w:tc>
          <w:tcPr>
            <w:tcW w:w="3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Cash Proceeds from Sale and Leaseback Transactions (Note 5)</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3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Asset Dispositions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Short Term Securities Redeemed</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Long Term Securities Redeemed</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Notes Receivable</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37"/>
        </w:trPr>
        <w:tc>
          <w:tcPr>
            <w:tcW w:w="848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6"/>
                <w:szCs w:val="16"/>
                <w:color w:val="auto"/>
              </w:rPr>
              <w:t>Other Transactions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FF0F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Cash Flows from Investing Activities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663</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(759)</w:t>
            </w: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Short Term Debt and Overdrafts Incurred</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1,034</w:t>
            </w:r>
          </w:p>
        </w:tc>
      </w:tr>
      <w:tr>
        <w:trPr>
          <w:trHeight w:val="23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Short Term Debt and Overdrafts Paid</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Long Term Debt Incurred</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13,385</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10,315</w:t>
            </w:r>
          </w:p>
        </w:tc>
      </w:tr>
      <w:tr>
        <w:trPr>
          <w:trHeight w:val="23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Long Term Debt Paid</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(9,180)</w:t>
            </w: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Common Stock Issued</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Transactions with Minority Interests in Subsidiaries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Debt Related Costs and Other Transactions</w:t>
            </w: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27"/>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Cash Flows from Financing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1,315</w:t>
            </w:r>
          </w:p>
        </w:tc>
      </w:tr>
      <w:tr>
        <w:trPr>
          <w:trHeight w:val="25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27"/>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w:t>
            </w:r>
          </w:p>
        </w:tc>
      </w:tr>
      <w:tr>
        <w:trPr>
          <w:trHeight w:val="25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985</w:t>
            </w:r>
          </w:p>
        </w:tc>
      </w:tr>
      <w:tr>
        <w:trPr>
          <w:trHeight w:val="230"/>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930</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940</w:t>
            </w:r>
          </w:p>
        </w:tc>
      </w:tr>
      <w:tr>
        <w:trPr>
          <w:trHeight w:val="27"/>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-2228215</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-3779520</wp:posOffset>
            </wp:positionV>
            <wp:extent cx="60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-7174230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NOTES TO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2024 (the “2024 Form 10-K”).</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nine months ended September 30, 2025 are not necessarily indicative of the results expected in subsequent quarters or for the year ending December 31,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Revision of Previously Issued Financial Statements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preparing the consolidated financial statements for the quarter ended June 30, 2025, we identified errors in our previously issued financial statements related to our historical computation of currency remeasurement of our foreign operations in Turkey, which was designated as a highly inflationary economy beginning April 1, 2022. Upon that designation, the operations and balance sheet in that country should be remeasured into our parent company reporting currency, with remeasurement gains and losses recognized in earnings to reflect the impact of currency translation on our financial results. Our computation did not reflect the full inflationary impact. The identified errors impacted our previously issued 2022, 2023 and 2024 annual and interim financial statements. There were no impacts on previously reported cash flows from operating, investing and financing activities in any prior periods.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evaluated the errors in accordance with SEC Staff Accounting Bulletin Nos. 99 and 108 and determined that the related impacts were not material in any previously issued annual or interim financial statements. We revised the prior period amounts presented in these financial statements to correct the errors. The applicable notes to the accompanying financial statements have also been corrected to reflect the impact of the revisions of the previously filed consolidated interim financial statements. A summary of the revisions to the previously issued financial information is included in Note to the Consolidated Financial Statements No.16, Revision of Previously Issued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Standards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14, 2023, the Financial Accounting Standards Board ("FASB") issued a final Accounting Standards Update ("ASU") to improve income tax disclosures. The new standard requires enhanced disclosures primarily related to existing rate reconciliation and income taxes paid information and improves the transparency of income tax disclosures by requiring consistent categories and greater disaggregation of information in the rate reconciliation and requiring income taxes paid to be disaggregated by jurisdiction. It also includes certain amendments to improve the effectiveness of income tax disclosures. The standards update is effective for annual periods beginning after December 15, 2024 and will expand our annual income tax disclosures, but will not affect our financial position, results of operations or cash flows.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4, 2024, the FASB issued a final ASU to require disaggregated disclosure of income statement expenses. This new standard requires certain expense categories, including selling expenses, to be disaggregated in the notes to the consolidated financial statements. The standards update is effective for fiscal years beginning after December 15, 2026, and interim periods within fiscal years beginning after December 15, 2027. We are currently assessing the impact of this standards update on our disclosures in the notes to the consolidated financial statements.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18, 2025, the FASB issued a final ASU to modernize the accounting for internal-use software. This update replaces the previous stage-based capitalization model with a principles-based approach, allowing capitalization of software development costs once management has authorized and committed funding and it is probable the project will be completed and perform its intended function. The ASU also consolidates guidance for website development under the internal-use software framework and expands applicability to cloud-based and agile development methods. The standards update is effective for fiscal years beginning after December 15, 2026, with early adoption permitted. We are currently assessing the impact of this standards update on our accounting policies and disclosures.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 and Intangible Assets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annually or more frequently if an indicator of impairment is present. Intangible assets with finite lives are amortized over their useful lives and are reviewed for impairment whenever events or circumstances warrant such review. Goodwill and intangible assets are written down to fair value if considered impaired. Goodwill and Intangible Assets totaled $42 million and $670 million, respectively, at September 30, 2025, compared to $756 million and $805 million, respectively, at December 31, 2024. The goodwill associated with the reporting unit in our Asia Pacific segment was $42 million at September 30, 2025. The goodwill associated with the reporting units in our Americas and Asia Pacific segments was $715 million and $41 million, respectively, at December 31, 2024. Goodwill associated with the reporting unit in our Americas segment was allocated to assets held for sale in the second quarter of 2025 in the amount of $41 million in connection with the anticipated sale of our polymer chemicals business, and the remaining $674 million was written off, resulting in a non-cash impairment charge during the third quarter of 2025. We recorded an intangible asset impairment charge of $125 million in the third quarter of 2024 primarily related to our lower tier indefinite-lived intangible assets related to the acquisition of Cooper Tire.</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third quarter of 2025, we experienced continued industry disruption in Americas, which resulted in a reduction in our near-term and long-term outlook. We also experienced a decline in our market capitalization as a result of a decrease in our stock price. Our stock price has a history of volatility; however, given the decrease was sustained throughout the quarter, combined with the reduction in outlook, we viewed these events as triggering events for purposes of testing goodwill for impairment and performed a quantitative analysis of the fair value of the North America reporting unit in our Americas segment. We determined the estimated fair value of our North America reporting unit based on discounted cash flow projections. The most critical assumptions used in the calculation of the fair value of our North America reporting unit are the projected revenue, projected operating margin and discount rate. Our forecast of future cash flows is based on our best estimate of projected revenue and projected operating margin, based primarily on pricing, raw material costs, market share, industry outlook and general economic conditions. Based on our interim impairment test, the fair value of the North America reporting unit as of September 30, 2025 was less than its carrying value, resulting in full goodwill impairment and a non-cash charge of $674 million during the third quarter of 2025.</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2025, after evaluating macroeconomic conditions and our current and future results of operations, including current results for our Asia Pacific business and brands associated with our indefinite-lived intangible assets, we concluded that there were no triggering events and it was not more likely than not that the fair values of our reporting unit within our Asia Pacific segment or our indefinite-lived intangible assets recorded within our Americas and Asia Pacific segments were less than their respective carrying values and, therefore, did not have any impairment of those assets.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primarily carried at cost. All intercompany balances and transactions have been eliminated in consolidation.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Assets and Liabilities Held for Sale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Assets and liabilities are classified as held for sale when management approves and commits to a formal plan to actively market the assets for sale at a price reasonable in relation to their estimated fair value, the assets are available for immediate sale in their present condition, an active program to locate a buyer and other actions required to complete the sale have been initiated, the sale of the assets is probable and expected to be completed within one year, and it is unlikely that significant changes will be made to the plan. When all of these criteria have been met, the assets and liabilities are classified as held for sale in the balance sheet. Assets classified as held for sale are reported at the lower of their carrying value or fair value less costs to sell. Depreciation of assets ceases upon designation as held for sale. At September 30, 2025, Assets Held for Sale of $565 million, $468 million of which related to the sale of our Chemical business and $97 million of which related to the sale of the Dunlop brand, and Other Current Liabilities classified as held for sale of $150 million related to the sale of our Chemical business, were included in the Consolidated Balance Sheets. At December 31, 2024, assets classified as held for sale of $466 million and liabilities classified as held for sale of $51 million related to the sale of our off-the-road ("OTR") tire business were included within Assets Held for Sale and Other Current Liabilities, respectively, in the Consolidated Balance Sheets. Refer to Note to the Consolidated Financial Statements No. 2, Divestitures, for additional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Cash</w:t>
      </w:r>
    </w:p>
    <w:p>
      <w:pPr>
        <w:spacing w:after="0" w:line="11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reported within the Consolidated Statements of Cash Flows:</w:t>
      </w:r>
    </w:p>
    <w:tbl>
      <w:tblPr>
        <w:tblLayout w:type="fixed"/>
        <w:tblInd w:w="6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9"/>
                <w:szCs w:val="19"/>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84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r>
      <w:tr>
        <w:trPr>
          <w:trHeight w:val="20"/>
        </w:trPr>
        <w:tc>
          <w:tcPr>
            <w:tcW w:w="84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primarily represents amounts required to be set aside for accounts receivable factoring programs. The restrictions lapse when cash from factored accounts receivable is remitted to the purchaser of those receivables. Restricted cash at September 30, 2025 also includes amounts collected in connection with ongoing agreements related to the sale of our OTR tire business. At both September 30, 2025 and 2024, restricted cash was recorded in Prepaid Expenses and Other Current Assets in the 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 and Adjustments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DIVESTITURES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losses on asset sales were $1 million and net gains were $1 million for the three months ended September 30, 2025 and 2024, respectively. Net gains on asset sales were $700 million and $95 million for the nine months ended September 30, 2025 and 2024, respectively. None of our divestitures meet the criteria for presentation as discontinued operations as they do not represent a strategic shift that will have a major effect on our operations or financial results.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3, 2025, we completed the sale of our OTR tire business to The Yokohama Rubber Company, Limited (“Yokohama”) pursuant to the terms of the Share and Asset Purchase Agreement, dated as of July 22, 2024 (the “OTR Purchase Agreement”). In conjunction with the sale of the OTR tire business, we entered into several ancillary agreements, including a trademark license agreement, whereby we license certain trademarks to Yokohama for an initial period of ten years from the date of the sale, a product supply agreement, pursuant to which we supply to Yokohama certain OTR tires for an initial period of up to five years, and a transition services agreement, pursuant to which we are providing certain support services for a period of up to eighteen months. The activity related to these agreements is primarily recorded in Prepaid Expenses and Other Current Assets and Other Current Liabilities in the Consolidated Balance Sheets.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transaction, considering the receipt of the purchase price of $905 million, subject to certain adjustments set forth in the OTR Purchase Agreement, amounts allocated to deferred income related to the trademark license agreement of $90 million, amounts allocated to deferred revenue related to the product supply agreement of $95 million, and transaction costs of $26 million, and based upon the net assets of the OTR tire business of $439 million, we recorded an estimated pre-tax gain of $255 million. We estimated the fair value of the deferred income related to the trademark license agreement using the relief-from-royalty method, with the most critical assumptions based on projected revenue, royalty rate and discount rate. We estimated the fair value of the deferred revenue related to the product supply agreement using a cost-plus-margin approach, with the most critical assumption based on projected cost of goods sold. The pre-tax income from the assets sold included within the Consolidated Statements of Operations was $13 million for the three months ended September 30, 2024 and $48 million for the nine months ended September 30, 2024. These amounts exclude any ongoing obligations related to the product supply agreement and transition services agreement, as well as any amortization of deferred revenue or income.</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7, 2025, we completed the sale of our rights to the Dunlop brand in Europe, North America and Oceania for consumer, commercial and other specialty tires, together with certain associated intellectual property and other intangible assets, for a purchase price of $526 million to Sumitomo Rubber Industries, Ltd. ("SRI") pursuant to the terms of the Purchase Agreement, dated as of January 7, 2025 (as amended, the "Dunlop Purchase Agreement"). SRI also paid us an up-front transition support fee of $105 million for our support in transitioning the Dunlop brand, related intellectual property and Dunlop customers to SRI. SRI also acquired our existing Dunlop tire inventory for approximately $104 million. We also entered into a number of ancillary agreements, including (a) a transition license agreement, pursuant to which we will continue to manufacture, sell and distribute Dunlop-branded consumer tires in Europe from the closing of the transaction until December 31, 2025, and during which we will pay SRI a royalty on such Dunlop sales; (b) a transition offtake agreement, pursuant to which we will sell to SRI certain Dunlop-branded consumer tire products for a period of up to five years, commencing after termination or expiration of the transition license agreement; and (c) we will license back the Dunlop brand from SRI for commercial tires in Europe on a long-term basis, subject to a royalty on sales.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transaction, we received gross proceeds of $735 million at closing for the Dunlop brand, related intellectual property and other intangible assets, the transition support fee and the tire inventory. We allocated $105 million of those proceeds related to the up-front transition support fee to deferred income, which will be recognized over the combined lives of the transition license and transition offtake agreements. We also allocated $86 million of those proceeds to deferred income for tire inventory in Europe that will not transfer ownership until the termination of the transition license agreement. We recognized an estimated pre-tax gain of $385 million based on the net assets sold of $133 million during the second quarter of 2025, net of transaction costs of $26 million.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gains on asset sales for the nine months ended September 30, 2025 also included a $55 million gain ($26 million after-tax and minority) related to the sale of property in Asia Pacific. Net gains on asset sales for the nine months ended September 30, 2024 also included an $80 million gain related to the sale of a distribution center in Europe, Middle East and Africa ("EMEA") and a $14 million gain related to the sale-leaseback of a retail location in North America.</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31, 2025, we completed the $650 million sale of our polymer chemicals business (the “Chemical Business”) pursuant to the Asset Purchase Agreement (the “Chemical Purchase Agreement”) with G-3 Chickadee Purchaser, LLC, a Delaware limited liability company (the “Purchaser”). At the closing, we received gross cash proceeds of approximately $580 million, which reflects working capital adjustments, including an adjustment for intercompany receivables. The purchase price remains subject to customary post-closing adjustments as set forth in the Chemical Purchase Agreement. The assets acquired and the liabilities assumed by the Purchaser are generally those primarily related to the Chemical Business, including our chemical plants in Houston, Texas and Beaumont, Texas and a research and development facility in Akron, Ohio.</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conjunction with the sale of the Chemical Business, we also entered into a number of ancillary agreements including (a) a master supply agreement, pursuant to which the Purchaser will, or will cause its affiliates to, supply to us certain polymer chemical products for a period of fifteen (15) years, (b) a transition services agreement, pursuant to which we will provide certain transition services to the Purchaser for the Chemical Business for a period of up to eighteen (18) months, and (c) a patent and know-how license agreement, pursuant to which the Purchaser will license back to us certain intellectual property related to the Chemical Business for use in connection with certain retained businesses. As a result of the transaction, considering the purchase price and related adjustments, amounts allocated to deferred revenue and transaction costs, and based upon the net assets of the Chemical Business as of September 30, 2025, we estimate we will record a pre-tax gain of approximately $135 million during the fourth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NET SALES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disaggregated net sales from contracts with customers by major source: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56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1"/>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0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66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2,737</w:t>
            </w:r>
          </w:p>
        </w:tc>
        <w:tc>
          <w:tcPr>
            <w:tcW w:w="8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1,407</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4,645</w:t>
            </w:r>
          </w:p>
        </w:tc>
      </w:tr>
      <w:tr>
        <w:trPr>
          <w:trHeight w:val="27"/>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6"/>
        </w:trPr>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
        </w:trPr>
        <w:tc>
          <w:tcPr>
            <w:tcW w:w="56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58"/>
        </w:trPr>
        <w:tc>
          <w:tcPr>
            <w:tcW w:w="5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4"/>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66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4,094</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2,858</w:t>
            </w:r>
          </w:p>
        </w:tc>
        <w:tc>
          <w:tcPr>
            <w:tcW w:w="8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1,348</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4,824</w:t>
            </w:r>
          </w:p>
        </w:tc>
      </w:tr>
      <w:tr>
        <w:trPr>
          <w:trHeight w:val="27"/>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02"/>
        </w:trPr>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
        </w:trPr>
        <w:tc>
          <w:tcPr>
            <w:tcW w:w="56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1"/>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0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66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11,166</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7,901</w:t>
            </w:r>
          </w:p>
        </w:tc>
        <w:tc>
          <w:tcPr>
            <w:tcW w:w="8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4,028</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13,363</w:t>
            </w:r>
          </w:p>
        </w:tc>
      </w:tr>
      <w:tr>
        <w:trPr>
          <w:trHeight w:val="27"/>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5"/>
        </w:trPr>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
        </w:trPr>
        <w:tc>
          <w:tcPr>
            <w:tcW w:w="56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1"/>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0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66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8,143</w:t>
            </w:r>
          </w:p>
        </w:tc>
        <w:tc>
          <w:tcPr>
            <w:tcW w:w="8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3,974</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13,931</w:t>
            </w:r>
          </w:p>
        </w:tc>
      </w:tr>
      <w:tr>
        <w:trPr>
          <w:trHeight w:val="27"/>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Tire unit sales consist of consumer, commercial, farm and OTR tire sales, including the sale of new Company-branded tires through Company-owned retail channels. OTR tire sales in 2025 primarily consist of tires sold to Yokohama pursuant to our product supply agreement.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$45 million and $13 million at September 30, 2025 and December 31, 2024, respectively. Deferred revenue included in Other Long Term Liabilities in the Consolidated Balance Sheets totaled $79 million and $6 million at September 30, 2025 and December 31, 2024, respectively. We recognize deferred revenue after we have transferred control of the goods or services to the customer and all revenue recognition criteria are met. Revenue deferred during the three and nine months ended September 30, 2025 primarily relates to the product supply agreement we entered into in connection with the sale of our OTR tire business.</w:t>
      </w:r>
    </w:p>
    <w:p>
      <w:pPr>
        <w:spacing w:after="0" w:line="7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presents the balance of deferred revenue related to contracts with customers, and changes during the nine months ended September 30, 2025:</w:t>
      </w:r>
    </w:p>
    <w:tbl>
      <w:tblPr>
        <w:tblLayout w:type="fixed"/>
        <w:tblInd w:w="40" w:type="dxa"/>
        <w:tblCellMar>
          <w:top w:w="0" w:type="dxa"/>
          <w:left w:w="0" w:type="dxa"/>
          <w:bottom w:w="0" w:type="dxa"/>
          <w:right w:w="0" w:type="dxa"/>
        </w:tblCellMar>
      </w:tblPr>
      <w:tr>
        <w:trPr>
          <w:trHeight w:val="190"/>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
        </w:trPr>
        <w:tc>
          <w:tcPr>
            <w:tcW w:w="9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50"/>
        </w:trPr>
        <w:tc>
          <w:tcPr>
            <w:tcW w:w="9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520" w:type="dxa"/>
            <w:vAlign w:val="bottom"/>
            <w:tcBorders>
              <w:bottom w:val="single" w:sz="8" w:color="CFF0FC"/>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4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deferred during period</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7"/>
        </w:trPr>
        <w:tc>
          <w:tcPr>
            <w:tcW w:w="9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recognized during period</w:t>
            </w:r>
          </w:p>
        </w:tc>
        <w:tc>
          <w:tcPr>
            <w:tcW w:w="5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4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984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9"/>
        </w:trPr>
        <w:tc>
          <w:tcPr>
            <w:tcW w:w="9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520" w:type="dxa"/>
            <w:vAlign w:val="bottom"/>
            <w:tcBorders>
              <w:bottom w:val="single" w:sz="8" w:color="CFF0FC"/>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r>
      <w:tr>
        <w:trPr>
          <w:trHeight w:val="20"/>
        </w:trPr>
        <w:tc>
          <w:tcPr>
            <w:tcW w:w="98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COSTS ASSOCIATED WITH RATIONALIZATION PROGRAMS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improve our global competitiveness and as part of our execution of the Goodyear Forward transformation plan ("Goodyear Forward"), we have implemented, and are implementing, rationalization actions to reduce high-cost and excess manufacturing capacity and operating and administrative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liability balance between periods: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Associate-</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4"/>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20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706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Charges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50"/>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Incurred, net of foreign currency translation of $40 million and ($1) million, respectively</w:t>
            </w:r>
          </w:p>
        </w:tc>
        <w:tc>
          <w:tcPr>
            <w:tcW w:w="1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706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r>
      <w:tr>
        <w:trPr>
          <w:trHeight w:val="27"/>
        </w:trPr>
        <w:tc>
          <w:tcPr>
            <w:tcW w:w="706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-16510</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-16510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-196215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-196215</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-890905</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-890905</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200" w:hanging="174"/>
        <w:spacing w:after="0" w:line="230" w:lineRule="auto"/>
        <w:tabs>
          <w:tab w:leader="none" w:pos="200" w:val="left"/>
        </w:tabs>
        <w:numPr>
          <w:ilvl w:val="0"/>
          <w:numId w:val="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Charges of $171 million exclude $4 million of benefit plan termination benefit charges recorded in Rationalizations in the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-144780</wp:posOffset>
            </wp:positionV>
            <wp:extent cx="26403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2025, we approved a plan to close our manufacturing facility in Kariega, South Africa in the EMEA business unit in the third quarter of 2025. The plan includes approximately 900 job reductions, including associates and contracted positions. The total charges associated with this action are expected to be between $100 million and $110 million, of which $45 million to $55 million are expected to be cash charges primarily for associate-related and other exit costs and the remaining costs are expected to be non-cash charges primarily for accelerated depreciation and other asset-related charges. We have accrued approximately $6 million for this plan at September 30, 2025.</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quarter of 2025, we approved a rationalization plan to eliminate our production of commercial tires in our Danville, Virginia tire manufacturing facility ("Danville") in order to reduce our production cost per tire in Americas. The plan includes approximately 950 job reductions, including associates and contracted positions. We expect to substantially complete this rationalization plan by the end of 2025. Total pre-tax charges are expected to be between $150 million and $160 million, of which $70 million to $80 million are expected to be cash charges primarily for associate-related and other exit costs and the remaining costs are expected to be non-cash charges primarily for accelerated depreciation, pension termination benefit charges and other asset-related charges. We have accrued approximately $16 million for this plan at September 30, 2025.</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we approved a plan to reduce Selling, Administrative and General expenses (“SAG”) headcount in Americas and Corporate. The plan includes approximately 80 net headcount reductions. Total estimated pre-tax charges are expected to be approximately $6 million. We have accrued approximately $1 million for this plan at September 30,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remainder of the accrual balance at September 30, 2025 includes $214 million related to the closures of our Fulda, Germany ("Fulda") and our Fürstenwalde, Germany ("Fürstenwalde") tire manufacturing facilities, $52 million related to a rationalization and workforce reorganization plan in EMEA, which reflects $10 million of reversals due to voluntary attrition,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$6 million related to the plan to open a shared service center in Costa Rica and to exit certain Commercial Tire and Service Center locations, $5 million related to the closed Amiens, France tire manufacturing facility, $4 million related to a global workforce reorganization plan to improve our cost structure, $2 million related to plans to reduce SAG headcount, $2 million related to the closure of Cooper Tire's Melksham, United Kingdom tire manufacturing facility ("Melksham"), and various other plans to reduce headcount and improve operating efficiency.</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2025 and December 31, 2024, $248 million and $296 million were recorded in Other Current Liabilities in the Consolidated Balance Sheets,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net rationalization charges included in Income (Loss) before Income Taxes: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40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9"/>
                <w:szCs w:val="19"/>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7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Year Plans</w:t>
            </w:r>
          </w:p>
        </w:tc>
        <w:tc>
          <w:tcPr>
            <w:tcW w:w="3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Plan Curtailments/Settlements/Termination Benefits</w:t>
            </w: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Year Plans - Net Charges</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Prior Year Plans</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7"/>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Prior Year Plans - Net Charges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b w:val="1"/>
                <w:bCs w:val="1"/>
                <w:color w:val="auto"/>
              </w:rPr>
              <w:t>Total Net Charges</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700" w:type="dxa"/>
            <w:vAlign w:val="bottom"/>
            <w:vMerge w:val="continue"/>
          </w:tcPr>
          <w:p>
            <w:pPr>
              <w:spacing w:after="0"/>
              <w:rPr>
                <w:sz w:val="14"/>
                <w:szCs w:val="14"/>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4"/>
                <w:szCs w:val="14"/>
                <w:color w:val="auto"/>
              </w:rPr>
            </w:pPr>
          </w:p>
        </w:tc>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4"/>
                <w:szCs w:val="14"/>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4"/>
                <w:szCs w:val="14"/>
                <w:color w:val="auto"/>
              </w:rPr>
            </w:pP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net</w:t>
            </w:r>
          </w:p>
        </w:tc>
        <w:tc>
          <w:tcPr>
            <w:tcW w:w="3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-342265</wp:posOffset>
            </wp:positionV>
            <wp:extent cx="60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-342265</wp:posOffset>
            </wp:positionV>
            <wp:extent cx="60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-522605</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-522605</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-719455</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-865505</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-865505</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-1208405</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-1405255</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-1405255</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-1567815</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-1559560</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-1559560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-1756410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-1902460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-2253615</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-2253615</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of the new charges for the three and nine months ended September 30, 2025 and 2024 relate to future cash outflows. Net current year plan charges for the three and nine months ended September 30, 2025 primarily relate to the plans approved during the first and second quarter of 2025 described above. Net current year plan charges for the nine months ended September 30, 2025 also include a $4 million termination benefits charge for one of our defined benefit pension plans related to headcount reductions at Danville. Net current year plan charges for the three months ended September 30, 2024 primarily relate to the plans to reduce SAG and manufacturing headcount. Net current year plan charges for the nine months ended September 30, 2024 also include the plan to open the shared service center in Costa Rica and the closure of our tire manufacturing facility in Malaysia.</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prior year plan charges for the three months ended September 30, 2025 include $14 million related to the closures of Fulda and Fürstenwalde, $2 million related to plans to reduce SAG headcount, $1 million related to the closure of Melksham, $1 million related to our closure of certain retail and warehouse locations in Americas, and reversals of $5 million primarily related to voluntary attrition. Net prior year plan charges for the nine months ended September 30, 2025 include $44 million related to the closures of Fulda and Fürstenwalde, $7 million related to the rationalization and workforce reorganization plan in EMEA, $5 million related to plans to reduce SAG headcount, $3 million related to the closure of Melksham, $3 million related to our closure of certain retail and warehouse locations in Americas, and reversals of $14 million primarily related to voluntary attrition. Net prior year plan charges for the three months ended September 30, 2024 include $7 million related to the closures of Fulda and Fürstenwalde, $4 million related to the workforce reorganization plan in EMEA, $2 million related to the closure of Melksham, $1 million related to our closure of certain retail and warehouse locations in Americas, $1 million related to plans to reduce SAG headcount, $1 million related to the permanent closure of our Gadsden, Alabama tire manufacturing facility ("Gadsden"), and reversals of $12 million primarily related to voluntary attrition. Net prior year plan charges for the nine months ended September 30, 2024 include $15 million related to the closures of Fulda and Fürstenwalde, $9 million related to the closure of Melksham, $4 million related to the workforce reorganization plan in EMEA, $3 million related to a plan in Australia and New Zealand, $3 million related to the permanent closure of Gadsden, $3 million related to our closure of certain retail and warehouse locations in Americas, $2 million related to plans to reduce SAG headcount, $2 million related to the plan to streamline our EMEA distribution network, $1 million related to a plan in South Africa, $1 million related to the integration of Cooper Tire, and reversals of $25 million related to voluntary attrition.</w:t>
      </w:r>
    </w:p>
    <w:p>
      <w:pPr>
        <w:spacing w:after="0" w:line="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 costs for both the three and nine months ended September 30, 2025 primarily relate to the announced closures of Fulda and Fürstenwalde, the proposed plan to close our manufacturing facility in South Africa, and the plan to reduce our production capacity at Danville.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 costs for both the three and nine months ended September 30, 2024 primarily relate to plans to improve our cost structure through announced closures of our Fulda, Fürstenwalde and Malaysia tire manufacturing facilities, as well as the closure of a development center and warehouse in the U.S.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Ongoing rationalization plans had approximately $1,050 million in charges incurred prior to 2025 and have approximately $150 million in expected charges to be incurred in future periods.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1,900 associates will be released under plans initiated in 2025, of which approximately 1,650 were released through September 30, 2025. In the first nine months of 2025, approximately 1,650 associates were released under plans initiated in prior years. Approximately 950 associates remain to be released under all ongoing rationalization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OTHER (INCOME) EXPENSE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9"/>
                <w:szCs w:val="19"/>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8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Non-service related pension and other postretirement benefits cost</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fees and financial instruments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foreign currency exchange (gains) losses</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product liability expense - discontinued products</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and other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Miscellaneous expense</w:t>
            </w: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7"/>
        </w:trPr>
        <w:tc>
          <w:tcPr>
            <w:tcW w:w="568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r>
      <w:tr>
        <w:trPr>
          <w:trHeight w:val="27"/>
        </w:trPr>
        <w:tc>
          <w:tcPr>
            <w:tcW w:w="5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-376555</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-376555</wp:posOffset>
            </wp:positionV>
            <wp:extent cx="596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-719455</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-719455</wp:posOffset>
            </wp:positionV>
            <wp:extent cx="59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-916940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-916940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-916940</wp:posOffset>
            </wp:positionV>
            <wp:extent cx="59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-1062355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-1062355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-1062355</wp:posOffset>
            </wp:positionV>
            <wp:extent cx="59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-1259840</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-1422400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-1422400</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Pension expense for the three and nine months ended September 30, 2025 includes pension settlement charges of $68 million and $72 million, respectively, resulting from total lump sum payments exceeding annual service and interest cost of the applicable plans. Pension expense for the nine months ended September 30, 2024 includes a pension settlement credit of $5 million related to a premium refund on the purchase of a group annuity contract for the Cooper Tire U.S. salaried defined benefit pension plan in 2023. For further information, refer to Note to the Consolidated Financial Statements No. 11, Pension, Savings and Other Postretirement Benefit Plans.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foreign currency exchange (gains) losses for the three and nine months ended September 30, 2025 includes a $5 million loss and a $17 million loss, respectively, related to the Turkish lira and a $1 million gain and a $5 million gain, respectively, related to the euro. Net foreign currency exchange (gains) losses for the three months ended September 30, 2024 includes a $5 million loss related to the Turkish lira and a $3 million loss related to the euro. Net foreign currency exchange (gains) losses for the nine months ended September 30, 2024 includes a $7 million loss related to the Turkish lira and a $2 million gain related to the euro.</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Royalty and other income for the three and nine months ended September 30, 2025 includes $4 million and $17 million, respectively, primarily related to royalty income, and $13 million and $26 million, respectively, related to OTR transition license agreement royalty income and transition services income related to the sales of the OTR tire business and the Dunlop brand. Royalty and other income for the three and nine months ended September 30, 2024 is primarily related to royalty income.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Miscellaneous expense for the three and nine months ended September 30, 2025 includes transaction costs of $4 million and $7 million, respectively, primarily related to the sale of the Chemical Business. Miscellaneous expense for the three and nine months ended September 30, 2024 includes $11 million of transaction costs related to the sale of the OTR business. Miscellaneous (income) expense for the nine months ended September 30, 2024 also includes an $8 million loss related to the sale of receivables in Argentina.</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also includes financing fees and financial instruments expense, which consists of commitment fees and charges incurred in connection with financing transactions; interest income; and general and product liability expense - discontinued products, which consists of charges for claims against us related primarily to asbestos personal injury claims, net of probable insurance recoveries.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third quarter of 2025, we recorded income tax expense of $1,464 million on loss before income taxes of $733 million. For the first nine months of 2025, we recorded income tax expense of $1,501 million on loss before income taxes of $297 million. Income tax expense for the three and nine months ended September 30, 2025 includes net discrete tax expense of $1,450 million and $1,446 million, respectively. Discrete tax expense for both periods was primarily related to the establishment of a full valuation allowance on our net deferred tax assets in the U.S.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third quarter of 2024, we recorded income tax expense of $9 million on loss before income taxes of $27 million. For the first nine months of 2024, we recorded income tax expense of $75 million on income before income taxes of $42 million. Income tax expense for the three and nine months ended September 30, 2024 includes net discrete tax expense of $7 million and $6 million, respectively.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the three and nine months ended September 30, 2025 is mainly impacted by the establishment of a full valuation allowance on our net deferred tax assets of $1.4 billion in the U.S. The difference between our effective tax rate and the U.S. statutory rate of 21% for the three and nine months ended September 30, 2024 primarily relates to losses in foreign jurisdictions in which no tax benefits are recorded and the discrete items noted above.</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information. We give operating results during the most recent three-year period a significant weight in our analysis.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U.S., we have a cumulative loss for the three-year period ending September 30, 2025 primarily driven by non-recurring items such as goodwill and intangible asset impairments, rationalization charges, pension curtailments and settlements, and one-time costs associated with the Goodyear Forward plan. For the quarter ended September 30, 2025, due to industry disruption and various macroeconomic factors such as the impact of tariff, transportation, labor and energy costs, our U.S. operating results and future forecasted U.S. earnings have declined. In addition, the One Big Beautiful Bill Act ("OBBBA") was enacted in the third quarter, which reinstates the business interest expense limitation. The reduction in current and expected future earnings in the third quarter, as a result of industry disruption, represents significant negative evidence in the assessment of the realizability of our deferred tax assets. We concluded that as of September 30, 2025, it is more likely than not that our U.S. net deferred tax assets will not be fully realized and recorded a non-cash charge of $1.4 billion to establish a full valuation allowance in the U.S. We intend to maintain a valuation allowance until sufficient positive evidence exists to support realization of these deferred tax assets.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2025 and December 31, 2024, we had approximately $1.4 billion and $1.3 billion, respectively, of U.S. federal, state and local net deferred tax assets, and related valuation allowances totaling $1.4 billion and $26 million, respectively. As of September 30, 2025, approximately $1.2 billion of these U.S. net deferred tax assets had unlimited lives and approximately $200 million had limited lives, and the majority do not start to expire until 2030. As of December 31, 2024, approximately $1.1 billion of these U.S. net deferred tax assets had unlimited lives and approximately $200 million had limited lives, and the majority do not start to expire until 2030.</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September 30, 2025 and December 31, 2024, we also had approximately $1.6 billion and $1.5 billion, respectively, of foreign net deferred tax assets and related valuation allowances of approximately $1.3 billion and $1.2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$1.1 billion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foreign deferred tax assets having a significant impact on our financial position or results of operations will exist within the next twelve months.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OBBBA was enacted in the U.S. The OBBBA includes significant provisions, such as the permanent extension of certain expiring provisions of the Tax Cuts and Jobs Act, modifications to the international tax framework, and the restoration of tax treatment for certain business provisions. We do not expect a material impact from OBBBA on our 2025 operating tax rates. We will continue to assess the impact on us as regulations develop in the future.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have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We do not expect the Pillar Two model rules to materially impact our annual effective tax rate in 2025. However, we are continuing to evaluate the Pillar Two model rules and related legislation and their potential impact on future periods.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changes to our unrecognized tax benefits did not, and for the full year of 2025 are not expected to, have a significant impact on our financial position or results of operations.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open to examination in the United States from 2021 onward and in Germany from 2018 onward. Generally, for our remaining tax jurisdictions, years from 2020 onward are still open to examination.</w:t>
      </w:r>
    </w:p>
    <w:p>
      <w:pPr>
        <w:spacing w:after="0" w:line="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Following an audit by the Internal Revenue Service ("IRS"), we received a Notice of Proposed Adjustment ("NOPA") during the second quarter of 2025 related to an intercompany sale of certain intellectual property in 2021. The IRS proposes to disallow income recognition totaling $1.5 billion associated with this transaction. The federal tax charge related to that income recognition was fully offset by the utilization of $315 million of then-existing deferred tax assets, including tax loss carryforwards and foreign tax credits.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disagree with the IRS’s position as stated in the NOPA and plan to challenge the proposed adjustments through the established IRS administrative procedures. Based on the information currently available, we believe that it is more likely than not that our tax position will be sustained upon review; therefore, no changes have been made to our reserve for uncertain tax positions relating to the NOPA. In addition, our U.S. deferred tax assets are in a full valuation allowance as of September 30, 2025. The ultimate resolution of this matter is uncertain, and if the income recognition associated with the transaction is disallowed, we will not be able to use a portion of the deferred tax assets that we utilized to offset the related federal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EARNINGS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common share are calculated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00" w:type="dxa"/>
            <w:vAlign w:val="bottom"/>
          </w:tcPr>
          <w:p>
            <w:pPr>
              <w:spacing w:after="0"/>
              <w:rPr>
                <w:sz w:val="19"/>
                <w:szCs w:val="19"/>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66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 — basic:</w:t>
            </w:r>
          </w:p>
        </w:tc>
        <w:tc>
          <w:tcPr>
            <w:tcW w:w="3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Goodyear 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bottom w:val="single" w:sz="8" w:color="CFF0FC"/>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Loss per common share — basic</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80" w:type="dxa"/>
            <w:vAlign w:val="bottom"/>
          </w:tcPr>
          <w:p>
            <w:pPr>
              <w:spacing w:after="0"/>
              <w:rPr>
                <w:sz w:val="18"/>
                <w:szCs w:val="18"/>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8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p>
        </w:tc>
        <w:tc>
          <w:tcPr>
            <w:tcW w:w="100" w:type="dxa"/>
            <w:vAlign w:val="bottom"/>
          </w:tcPr>
          <w:p>
            <w:pPr>
              <w:spacing w:after="0"/>
              <w:rPr>
                <w:sz w:val="18"/>
                <w:szCs w:val="18"/>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 — diluted:</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Goodyear net income (loss)</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bottom w:val="single" w:sz="8" w:color="CFF0FC"/>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Dilutive effect of stock options and other dilutive securities</w:t>
            </w:r>
          </w:p>
        </w:tc>
        <w:tc>
          <w:tcPr>
            <w:tcW w:w="30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Loss per common share — diluted</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-33655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-33655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-33655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-213995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-213995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-213995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-436880</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-591185</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-796290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-796290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-959485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-1302385</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-1302385</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-1534160</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-1534160</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-1534160</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-1713865</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-1713865</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-1713865</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-1928495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-2082165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-2082165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Weighted average shares outstanding — diluted for both the three and nine months ended September 30, 2025 excludes the dilutive effect of approximately 2 million equivalent shares, and, for both the three and nine months ended September 30, 2024, excludes the dilutive effect of approximately 1 million equivalent shares and 2 million equivalent shares, respectively, related primarily to options with exercise prices less than the average market price of our common shares (i.e., "in-the-money" options) and unvested restricted stock units, as their inclusion would have been anti-dilutive due to the Goodyear net loss. Additionally, weighted average shares outstanding — diluted for both the three and nine months ended September 30, 2025 excludes approximately 3 million equivalent shares, and, for both the three and nine months ended September 30, 2024, excludes approximately 4 million equivalent shares and 1 million equivalent shares, respectively, related to options with exercise prices greater than the average market price of our common shares (i.e., "underwater" options).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BUSINESS SEGMENTS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Cost of Goods Sold ("CGS") (excluding asset write-offs and accelerated depreciation charges) and SAG (including certain allocated corporate administrative expenses). Segment operating income also includes certain royalties and equity in earnings of most affiliates. Segment operating income does not include net rationalization charges, asset sales, goodwill and other asset impairment charges, and certain other items.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chief operating decision maker ("CODM") is the Chief Executive Officer. The CODM uses segment operating income to allocate resources (including employees, property, and financial or capital resources) for each segment predominantly in the annual budget and forecasting process. The CODM considers budget-to-actual variances on a monthly basis for the profit measure when making decisions about allocating capital and personnel to the segments. The CODM also uses segment operating income or loss for evaluating product pricing and to assess the performance for each segment by comparing the results and return on assets of each segment with one another and in the compensation of certain employees.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segment sales, significant segment expenses and operating income, and the reconciliation of segment operating income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5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1"/>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and Africa</w:t>
            </w: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2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22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4"/>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4,645</w:t>
            </w:r>
          </w:p>
        </w:tc>
      </w:tr>
      <w:tr>
        <w:trPr>
          <w:trHeight w:val="243"/>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r>
      <w:tr>
        <w:trPr>
          <w:trHeight w:val="27"/>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Rationalizations (Note 4)</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Asset write-offs, accelerated depreciation and accelerated lease costs,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41"/>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(Note 4)</w:t>
            </w:r>
          </w:p>
        </w:tc>
        <w:tc>
          <w:tcPr>
            <w:tcW w:w="2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522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CFF0FC"/>
            </w:tcBorders>
          </w:tcPr>
          <w:p>
            <w:pPr>
              <w:spacing w:after="0"/>
              <w:rPr>
                <w:sz w:val="23"/>
                <w:szCs w:val="23"/>
                <w:color w:val="auto"/>
              </w:rPr>
            </w:pPr>
          </w:p>
        </w:tc>
        <w:tc>
          <w:tcPr>
            <w:tcW w:w="1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128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40" w:type="dxa"/>
            <w:vAlign w:val="bottom"/>
            <w:tcBorders>
              <w:bottom w:val="single" w:sz="8" w:color="CFF0FC"/>
            </w:tcBorders>
          </w:tcPr>
          <w:p>
            <w:pPr>
              <w:spacing w:after="0"/>
              <w:rPr>
                <w:sz w:val="23"/>
                <w:szCs w:val="23"/>
                <w:color w:val="auto"/>
              </w:rPr>
            </w:pPr>
          </w:p>
        </w:tc>
        <w:tc>
          <w:tcPr>
            <w:tcW w:w="120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5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(733)</w:t>
            </w:r>
          </w:p>
        </w:tc>
      </w:tr>
      <w:tr>
        <w:trPr>
          <w:trHeight w:val="27"/>
        </w:trPr>
        <w:tc>
          <w:tcPr>
            <w:tcW w:w="52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-2039620</wp:posOffset>
            </wp:positionV>
            <wp:extent cx="596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-2039620</wp:posOffset>
            </wp:positionV>
            <wp:extent cx="596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-2039620</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-3110865</wp:posOffset>
            </wp:positionV>
            <wp:extent cx="596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-3110865</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-3110865</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ind w:left="360" w:right="40" w:hanging="334"/>
        <w:spacing w:after="0" w:line="229" w:lineRule="auto"/>
        <w:tabs>
          <w:tab w:leader="none" w:pos="215"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OTR transition license agreement royalty income, in addition to transition services income related to the sales of the OTR tire business and the Dunlop brand.</w:t>
      </w:r>
    </w:p>
    <w:p>
      <w:pPr>
        <w:spacing w:after="0" w:line="17" w:lineRule="exact"/>
        <w:rPr>
          <w:rFonts w:ascii="Times New Roman" w:cs="Times New Roman" w:eastAsia="Times New Roman" w:hAnsi="Times New Roman"/>
          <w:sz w:val="23"/>
          <w:szCs w:val="23"/>
          <w:color w:val="auto"/>
          <w:vertAlign w:val="superscript"/>
        </w:rPr>
      </w:pPr>
    </w:p>
    <w:p>
      <w:pPr>
        <w:ind w:left="200" w:hanging="174"/>
        <w:spacing w:after="0"/>
        <w:tabs>
          <w:tab w:leader="none" w:pos="200"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represents unallocated corporate costs and the elimination of royalty and other income attributable to the strategic business units (“SBUs”).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-454025</wp:posOffset>
            </wp:positionV>
            <wp:extent cx="9086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5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1"/>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and Africa</w:t>
            </w: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2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22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4,824</w:t>
            </w:r>
          </w:p>
        </w:tc>
      </w:tr>
      <w:tr>
        <w:trPr>
          <w:trHeight w:val="243"/>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3"/>
                <w:szCs w:val="23"/>
                <w:color w:val="auto"/>
                <w:vertAlign w:val="superscript"/>
              </w:rPr>
              <w:t>(1)</w:t>
            </w:r>
          </w:p>
        </w:tc>
        <w:tc>
          <w:tcPr>
            <w:tcW w:w="260" w:type="dxa"/>
            <w:vAlign w:val="bottom"/>
            <w:shd w:val="clear" w:color="auto" w:fill="CFF0FC"/>
          </w:tcPr>
          <w:p>
            <w:pPr>
              <w:spacing w:after="0"/>
              <w:rPr>
                <w:sz w:val="23"/>
                <w:szCs w:val="2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3"/>
                <w:szCs w:val="23"/>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r>
      <w:tr>
        <w:trPr>
          <w:trHeight w:val="27"/>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Rationalizations (Note 4)</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Asset write-offs, accelerated depreciation and accelerated lease costs,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41"/>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(Note 4)</w:t>
            </w:r>
          </w:p>
        </w:tc>
        <w:tc>
          <w:tcPr>
            <w:tcW w:w="2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522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CFF0FC"/>
            </w:tcBorders>
          </w:tcPr>
          <w:p>
            <w:pPr>
              <w:spacing w:after="0"/>
              <w:rPr>
                <w:sz w:val="23"/>
                <w:szCs w:val="23"/>
                <w:color w:val="auto"/>
              </w:rPr>
            </w:pPr>
          </w:p>
        </w:tc>
        <w:tc>
          <w:tcPr>
            <w:tcW w:w="1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128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40" w:type="dxa"/>
            <w:vAlign w:val="bottom"/>
            <w:tcBorders>
              <w:bottom w:val="single" w:sz="8" w:color="CFF0FC"/>
            </w:tcBorders>
          </w:tcPr>
          <w:p>
            <w:pPr>
              <w:spacing w:after="0"/>
              <w:rPr>
                <w:sz w:val="23"/>
                <w:szCs w:val="23"/>
                <w:color w:val="auto"/>
              </w:rPr>
            </w:pPr>
          </w:p>
        </w:tc>
        <w:tc>
          <w:tcPr>
            <w:tcW w:w="120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4"/>
        </w:trPr>
        <w:tc>
          <w:tcPr>
            <w:tcW w:w="52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7"/>
        </w:trPr>
        <w:tc>
          <w:tcPr>
            <w:tcW w:w="52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-2039620</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-2039620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-2039620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-3110865</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-3110865</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-3110865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200" w:hanging="174"/>
        <w:spacing w:after="0" w:line="230" w:lineRule="auto"/>
        <w:tabs>
          <w:tab w:leader="none" w:pos="20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represents royalty income attributable to the SBUs.</w:t>
      </w:r>
    </w:p>
    <w:p>
      <w:pPr>
        <w:spacing w:after="0" w:line="56" w:lineRule="exact"/>
        <w:rPr>
          <w:rFonts w:ascii="Times New Roman" w:cs="Times New Roman" w:eastAsia="Times New Roman" w:hAnsi="Times New Roman"/>
          <w:sz w:val="22"/>
          <w:szCs w:val="22"/>
          <w:color w:val="auto"/>
          <w:vertAlign w:val="superscript"/>
        </w:rPr>
      </w:pPr>
    </w:p>
    <w:p>
      <w:pPr>
        <w:ind w:left="360" w:right="20" w:hanging="334"/>
        <w:spacing w:after="0" w:line="219" w:lineRule="auto"/>
        <w:tabs>
          <w:tab w:leader="none" w:pos="217"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unallocated corporate costs and the elimination of royalty income attributable to the SBUs. Other also includes $14 million of costs related to the Goodyear Forward plan, primarily related to third-party consulting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-453390</wp:posOffset>
            </wp:positionV>
            <wp:extent cx="9086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5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1"/>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8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and Africa</w:t>
            </w: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2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22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4"/>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13,363</w:t>
            </w:r>
          </w:p>
        </w:tc>
      </w:tr>
      <w:tr>
        <w:trPr>
          <w:trHeight w:val="243"/>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10,889</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641</w:t>
            </w:r>
          </w:p>
        </w:tc>
      </w:tr>
      <w:tr>
        <w:trPr>
          <w:trHeight w:val="27"/>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Rationalizations (Note 4)</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Asset write-offs, accelerated depreciation and accelerated lease costs,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41"/>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(Note 4)</w:t>
            </w:r>
          </w:p>
        </w:tc>
        <w:tc>
          <w:tcPr>
            <w:tcW w:w="2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522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CFF0FC"/>
            </w:tcBorders>
          </w:tcPr>
          <w:p>
            <w:pPr>
              <w:spacing w:after="0"/>
              <w:rPr>
                <w:sz w:val="23"/>
                <w:szCs w:val="23"/>
                <w:color w:val="auto"/>
              </w:rPr>
            </w:pPr>
          </w:p>
        </w:tc>
        <w:tc>
          <w:tcPr>
            <w:tcW w:w="1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80" w:type="dxa"/>
            <w:vAlign w:val="bottom"/>
            <w:tcBorders>
              <w:bottom w:val="single" w:sz="8" w:color="CFF0FC"/>
            </w:tcBorders>
          </w:tcPr>
          <w:p>
            <w:pPr>
              <w:spacing w:after="0"/>
              <w:rPr>
                <w:sz w:val="23"/>
                <w:szCs w:val="23"/>
                <w:color w:val="auto"/>
              </w:rPr>
            </w:pPr>
          </w:p>
        </w:tc>
        <w:tc>
          <w:tcPr>
            <w:tcW w:w="12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40" w:type="dxa"/>
            <w:vAlign w:val="bottom"/>
            <w:tcBorders>
              <w:bottom w:val="single" w:sz="8" w:color="CFF0FC"/>
            </w:tcBorders>
          </w:tcPr>
          <w:p>
            <w:pPr>
              <w:spacing w:after="0"/>
              <w:rPr>
                <w:sz w:val="23"/>
                <w:szCs w:val="23"/>
                <w:color w:val="auto"/>
              </w:rPr>
            </w:pPr>
          </w:p>
        </w:tc>
        <w:tc>
          <w:tcPr>
            <w:tcW w:w="120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43"/>
        </w:trPr>
        <w:tc>
          <w:tcPr>
            <w:tcW w:w="52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r>
      <w:tr>
        <w:trPr>
          <w:trHeight w:val="27"/>
        </w:trPr>
        <w:tc>
          <w:tcPr>
            <w:tcW w:w="52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-2039620</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-2039620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-2039620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-3111500</wp:posOffset>
            </wp:positionV>
            <wp:extent cx="596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-3111500</wp:posOffset>
            </wp:positionV>
            <wp:extent cx="59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-3111500</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ind w:left="360" w:right="20" w:hanging="334"/>
        <w:spacing w:after="0" w:line="229" w:lineRule="auto"/>
        <w:tabs>
          <w:tab w:leader="none" w:pos="23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OTR transition license agreement royalty income, in addition to transition services income related to the sales of the OTR tire business and the Dunlop brand.</w:t>
      </w:r>
    </w:p>
    <w:p>
      <w:pPr>
        <w:spacing w:after="0" w:line="17" w:lineRule="exact"/>
        <w:rPr>
          <w:rFonts w:ascii="Times New Roman" w:cs="Times New Roman" w:eastAsia="Times New Roman" w:hAnsi="Times New Roman"/>
          <w:sz w:val="23"/>
          <w:szCs w:val="23"/>
          <w:color w:val="auto"/>
          <w:vertAlign w:val="superscript"/>
        </w:rPr>
      </w:pPr>
    </w:p>
    <w:p>
      <w:pPr>
        <w:ind w:left="200" w:hanging="174"/>
        <w:spacing w:after="0"/>
        <w:tabs>
          <w:tab w:leader="none" w:pos="20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represents unallocated corporate costs and the elimination of royalty and other income attributable to the SBUs.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-453390</wp:posOffset>
            </wp:positionV>
            <wp:extent cx="9086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5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58"/>
        </w:trPr>
        <w:tc>
          <w:tcPr>
            <w:tcW w:w="5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4"/>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8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and Africa</w:t>
            </w:r>
          </w:p>
        </w:tc>
        <w:tc>
          <w:tcPr>
            <w:tcW w:w="24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20" w:type="dxa"/>
            <w:vAlign w:val="bottom"/>
          </w:tcPr>
          <w:p>
            <w:pPr>
              <w:spacing w:after="0"/>
              <w:rPr>
                <w:sz w:val="17"/>
                <w:szCs w:val="17"/>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22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13,931</w:t>
            </w:r>
          </w:p>
        </w:tc>
      </w:tr>
      <w:tr>
        <w:trPr>
          <w:trHeight w:val="243"/>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11,145</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920</w:t>
            </w:r>
          </w:p>
        </w:tc>
      </w:tr>
      <w:tr>
        <w:trPr>
          <w:trHeight w:val="27"/>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Rationalizations (Note 4)</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Asset write-offs, accelerated depreciation and accelerated lease costs,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41"/>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(Note 4)</w:t>
            </w:r>
          </w:p>
        </w:tc>
        <w:tc>
          <w:tcPr>
            <w:tcW w:w="2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522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CFF0FC"/>
            </w:tcBorders>
          </w:tcPr>
          <w:p>
            <w:pPr>
              <w:spacing w:after="0"/>
              <w:rPr>
                <w:sz w:val="23"/>
                <w:szCs w:val="23"/>
                <w:color w:val="auto"/>
              </w:rPr>
            </w:pPr>
          </w:p>
        </w:tc>
        <w:tc>
          <w:tcPr>
            <w:tcW w:w="1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80" w:type="dxa"/>
            <w:vAlign w:val="bottom"/>
            <w:tcBorders>
              <w:bottom w:val="single" w:sz="8" w:color="CFF0FC"/>
            </w:tcBorders>
          </w:tcPr>
          <w:p>
            <w:pPr>
              <w:spacing w:after="0"/>
              <w:rPr>
                <w:sz w:val="23"/>
                <w:szCs w:val="23"/>
                <w:color w:val="auto"/>
              </w:rPr>
            </w:pPr>
          </w:p>
        </w:tc>
        <w:tc>
          <w:tcPr>
            <w:tcW w:w="12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40" w:type="dxa"/>
            <w:vAlign w:val="bottom"/>
            <w:tcBorders>
              <w:bottom w:val="single" w:sz="8" w:color="CFF0FC"/>
            </w:tcBorders>
          </w:tcPr>
          <w:p>
            <w:pPr>
              <w:spacing w:after="0"/>
              <w:rPr>
                <w:sz w:val="23"/>
                <w:szCs w:val="23"/>
                <w:color w:val="auto"/>
              </w:rPr>
            </w:pPr>
          </w:p>
        </w:tc>
        <w:tc>
          <w:tcPr>
            <w:tcW w:w="120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4"/>
        </w:trPr>
        <w:tc>
          <w:tcPr>
            <w:tcW w:w="52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7"/>
        </w:trPr>
        <w:tc>
          <w:tcPr>
            <w:tcW w:w="52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-2039620</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-2039620</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-2039620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-3110865</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-3110865</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-3110865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200" w:hanging="174"/>
        <w:spacing w:after="0" w:line="230" w:lineRule="auto"/>
        <w:tabs>
          <w:tab w:leader="none" w:pos="2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represents royalty income attributable to the SBUs.</w:t>
      </w:r>
    </w:p>
    <w:p>
      <w:pPr>
        <w:spacing w:after="0" w:line="56" w:lineRule="exact"/>
        <w:rPr>
          <w:rFonts w:ascii="Times New Roman" w:cs="Times New Roman" w:eastAsia="Times New Roman" w:hAnsi="Times New Roman"/>
          <w:sz w:val="22"/>
          <w:szCs w:val="22"/>
          <w:color w:val="auto"/>
          <w:vertAlign w:val="superscript"/>
        </w:rPr>
      </w:pPr>
    </w:p>
    <w:p>
      <w:pPr>
        <w:ind w:left="360" w:right="20" w:hanging="334"/>
        <w:spacing w:after="0" w:line="219" w:lineRule="auto"/>
        <w:tabs>
          <w:tab w:leader="none" w:pos="217"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unallocated corporate costs and the elimination of royalty income attributable to the SBUs. Other also includes $81 million of costs related to the Goodyear Forward plan, primarily related to third-party consulting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-453390</wp:posOffset>
            </wp:positionV>
            <wp:extent cx="9086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assets at: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4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r>
      <w:tr>
        <w:trPr>
          <w:trHeight w:val="243"/>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w:t>
            </w:r>
          </w:p>
        </w:tc>
      </w:tr>
      <w:tr>
        <w:trPr>
          <w:trHeight w:val="243"/>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7"/>
        </w:trPr>
        <w:tc>
          <w:tcPr>
            <w:tcW w:w="82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Assets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19,150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18,530</w:t>
            </w:r>
          </w:p>
        </w:tc>
      </w:tr>
      <w:tr>
        <w:trPr>
          <w:trHeight w:val="270"/>
        </w:trPr>
        <w:tc>
          <w:tcPr>
            <w:tcW w:w="82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43"/>
        </w:trPr>
        <w:tc>
          <w:tcPr>
            <w:tcW w:w="8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20,222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20,921</w:t>
            </w:r>
          </w:p>
        </w:tc>
      </w:tr>
      <w:tr>
        <w:trPr>
          <w:trHeight w:val="27"/>
        </w:trPr>
        <w:tc>
          <w:tcPr>
            <w:tcW w:w="8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-1233805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200" w:hanging="174"/>
        <w:spacing w:after="0" w:line="230" w:lineRule="auto"/>
        <w:tabs>
          <w:tab w:leader="none" w:pos="2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Corporate includes substantially all of our U.S. net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-144780</wp:posOffset>
            </wp:positionV>
            <wp:extent cx="16884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geographic information. Net sales by country were determined based on the location of the selling subsidiary. Long-lived assets consist of property, plant and equipment. Management did not consider the net sales of any individual country outside the United States to be significant to the consolidated financial statements. For long-lived assets, only the United States and China were considered to be significant.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256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21"/>
                <w:szCs w:val="21"/>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w:t>
            </w:r>
          </w:p>
        </w:tc>
      </w:tr>
      <w:tr>
        <w:trPr>
          <w:trHeight w:val="27"/>
        </w:trPr>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r>
      <w:tr>
        <w:trPr>
          <w:trHeight w:val="237"/>
        </w:trPr>
        <w:tc>
          <w:tcPr>
            <w:tcW w:w="56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4,645</w:t>
            </w:r>
          </w:p>
        </w:tc>
        <w:tc>
          <w:tcPr>
            <w:tcW w:w="8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4,824</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13,363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13,931</w:t>
            </w:r>
          </w:p>
        </w:tc>
      </w:tr>
      <w:tr>
        <w:trPr>
          <w:trHeight w:val="27"/>
        </w:trPr>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5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8"/>
        </w:trPr>
        <w:tc>
          <w:tcPr>
            <w:tcW w:w="5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40" w:type="dxa"/>
            <w:vAlign w:val="bottom"/>
          </w:tcPr>
          <w:p>
            <w:pPr>
              <w:jc w:val="right"/>
              <w:ind w:right="155"/>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6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w:t>
            </w:r>
          </w:p>
        </w:tc>
      </w:tr>
      <w:tr>
        <w:trPr>
          <w:trHeight w:val="27"/>
        </w:trPr>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43"/>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international</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r>
      <w:tr>
        <w:trPr>
          <w:trHeight w:val="27"/>
        </w:trPr>
        <w:tc>
          <w:tcPr>
            <w:tcW w:w="56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6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-899795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-1885315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-1885315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and intangible asset impairment, as described in Notes to the Consolidated Financial Statements No. 1, Accounting Policies; rationalizations, as described in Note to the Consolidated Financial Statements No. 4, Costs Associated with Rationalization Programs; net (gains) losses on asset sales, as described in Note to the Consolidated Financial Statements No. 2, Divestitures; and asset write-offs and accelerated depreciation were not charged (credited) to the SBUs for performance evaluation purposes but were attributable to the SBUs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228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3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and Intangible Asset Impairment</w:t>
            </w:r>
          </w:p>
        </w:tc>
        <w:tc>
          <w:tcPr>
            <w:tcW w:w="8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1"/>
                <w:szCs w:val="21"/>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53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9"/>
        </w:trPr>
        <w:tc>
          <w:tcPr>
            <w:tcW w:w="5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Goodwill and Intangible Asset Impairment</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674</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-556895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-556895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9"/>
                <w:szCs w:val="19"/>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6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Rationalizations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Rationalizations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5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21"/>
                <w:szCs w:val="21"/>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1"/>
                <w:szCs w:val="21"/>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6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(Gains) Losses on Asset Sales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(Gains) Losses on Asset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6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5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9"/>
                <w:szCs w:val="19"/>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6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56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Asset Write-Offs, Accelerated Depreciation, and Accelerated Lease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net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680" w:type="dxa"/>
            <w:vAlign w:val="bottom"/>
            <w:shd w:val="clear" w:color="auto" w:fill="CCEEFF"/>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Total Segment Asset Write-Offs, Accelerated Depreciation, and</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8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0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0" w:type="dxa"/>
            <w:vAlign w:val="bottom"/>
          </w:tcPr>
          <w:p>
            <w:pPr>
              <w:spacing w:after="0"/>
              <w:rPr>
                <w:sz w:val="1"/>
                <w:szCs w:val="1"/>
                <w:color w:val="auto"/>
              </w:rPr>
            </w:pPr>
          </w:p>
        </w:tc>
      </w:tr>
      <w:tr>
        <w:trPr>
          <w:trHeight w:val="258"/>
        </w:trPr>
        <w:tc>
          <w:tcPr>
            <w:tcW w:w="5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Accelerated Lease Costs, net</w:t>
            </w: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vMerge w:val="continue"/>
            <w:shd w:val="clear" w:color="auto" w:fill="CCEEFF"/>
          </w:tcPr>
          <w:p>
            <w:pPr>
              <w:spacing w:after="0"/>
              <w:rPr>
                <w:sz w:val="22"/>
                <w:szCs w:val="22"/>
                <w:color w:val="auto"/>
              </w:rPr>
            </w:pPr>
          </w:p>
        </w:tc>
        <w:tc>
          <w:tcPr>
            <w:tcW w:w="3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vMerge w:val="continue"/>
            <w:shd w:val="clear" w:color="auto" w:fill="CCEEFF"/>
          </w:tcPr>
          <w:p>
            <w:pPr>
              <w:spacing w:after="0"/>
              <w:rPr>
                <w:sz w:val="22"/>
                <w:szCs w:val="22"/>
                <w:color w:val="auto"/>
              </w:rPr>
            </w:pPr>
          </w:p>
        </w:tc>
        <w:tc>
          <w:tcPr>
            <w:tcW w:w="8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-3942715</wp:posOffset>
            </wp:positionV>
            <wp:extent cx="59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-4122420</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-5194300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-5194300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-2108200</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-2288540</wp:posOffset>
            </wp:positionV>
            <wp:extent cx="59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-2673985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-2673985</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-3359785</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-3359785</wp:posOffset>
            </wp:positionV>
            <wp:extent cx="596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-33655</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-213995</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-1534160</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-1534160</wp:posOffset>
            </wp:positionV>
            <wp:extent cx="596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segment capital expenditures and depreciation and amortization: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2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9"/>
                <w:szCs w:val="19"/>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7"/>
        </w:trPr>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8"/>
        </w:trPr>
        <w:tc>
          <w:tcPr>
            <w:tcW w:w="5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Capital Expenditures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9"/>
        </w:trPr>
        <w:tc>
          <w:tcPr>
            <w:tcW w:w="56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912</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-33655</wp:posOffset>
            </wp:positionV>
            <wp:extent cx="596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-213995</wp:posOffset>
            </wp:positionV>
            <wp:extent cx="596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-1285240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-1285240</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2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9"/>
                <w:szCs w:val="19"/>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6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Depreciation and Amortization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-33655</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-213995</wp:posOffset>
            </wp:positionV>
            <wp:extent cx="596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-1285240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-1285240</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equity in the net (income) loss of investees accounted for by the equity method: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234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8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 (Income) Loss</w:t>
            </w:r>
          </w:p>
        </w:tc>
        <w:tc>
          <w:tcPr>
            <w:tcW w:w="8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5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56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9"/>
        </w:trPr>
        <w:tc>
          <w:tcPr>
            <w:tcW w:w="5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Equity in (Income) Loss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-33655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-33655</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-213995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-213995</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-899795</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-899795</wp:posOffset>
            </wp:positionV>
            <wp:extent cx="596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FINANCING ARRANGEMENTS AND DERIVATIVE FINANCIAL INSTRUMENTS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2025, we had total credit arrangements of $10,545 million, of which $2,547 million were unused. At that date, approximately 38% of our debt was at variable interest rates averaging 5.99%.</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Notes Payable and Overdrafts, Long Term Debt and Finance Leases due Within One Year and Short Term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we had short term committed and uncommitted credit arrangements totaling $839 million, of which $228 million were unused.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arrangements are available primarily to certain of our foreign subsidiaries through various banks at quoted market interest rates.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due within one year:</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2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12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20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and Overdrafts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573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558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9.5% Notes due 2025</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foreign and domestic debt (including finance leases)</w:t>
            </w:r>
          </w:p>
        </w:tc>
        <w:tc>
          <w:tcPr>
            <w:tcW w:w="20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 Term Debt and Finance Leases due Within One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219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832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8.46 %</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obligations due within one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792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1,390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-33655</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-213995</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-419100</wp:posOffset>
            </wp:positionV>
            <wp:extent cx="603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-599440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-1490980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-1671320</wp:posOffset>
            </wp:positionV>
            <wp:extent cx="603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-2022475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 Term Debt and Finance Leases and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we had long term credit arrangements totaling $9,706 million, of which $2,319 million were unused.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long term debt and finance leases, net of unamortized discounts, and interest rates: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6"/>
                <w:szCs w:val="16"/>
                <w:color w:val="auto"/>
              </w:rPr>
            </w:pPr>
          </w:p>
        </w:tc>
        <w:tc>
          <w:tcPr>
            <w:tcW w:w="2560" w:type="dxa"/>
            <w:vAlign w:val="bottom"/>
            <w:gridSpan w:val="3"/>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54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71"/>
        </w:trPr>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190"/>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0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60" w:type="dxa"/>
            <w:vAlign w:val="bottom"/>
          </w:tcPr>
          <w:p>
            <w:pPr>
              <w:spacing w:after="0"/>
              <w:rPr>
                <w:sz w:val="16"/>
                <w:szCs w:val="16"/>
                <w:color w:val="auto"/>
              </w:rPr>
            </w:pPr>
          </w:p>
        </w:tc>
        <w:tc>
          <w:tcPr>
            <w:tcW w:w="10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2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37"/>
        </w:trPr>
        <w:tc>
          <w:tcPr>
            <w:tcW w:w="54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0"/>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9.5% due 2025</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5% due 2026</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4.875% due 2027</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7.625% due 2027</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 due 2028</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2.75% Euro Notes due 2028</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due 2029</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6.625% due 2030</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5.25% due April 2031</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5.25% due July 2031</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5.625% due 2033</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First lien revolving credit facility due 2030</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5.86 %</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European revolving credit facility due 2028</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Pan-European accounts receivable facility</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4.83 %</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5.99 %</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7.36 %</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foreign and domestic debt</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8.49 %</w:t>
            </w:r>
          </w:p>
        </w:tc>
        <w:tc>
          <w:tcPr>
            <w:tcW w:w="80" w:type="dxa"/>
            <w:vAlign w:val="bottom"/>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7.39 %</w:t>
            </w:r>
          </w:p>
        </w:tc>
      </w:tr>
      <w:tr>
        <w:trPr>
          <w:trHeight w:val="237"/>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2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spacing w:after="0"/>
              <w:rPr>
                <w:sz w:val="23"/>
                <w:szCs w:val="23"/>
                <w:color w:val="auto"/>
              </w:rPr>
            </w:pPr>
          </w:p>
        </w:tc>
      </w:tr>
      <w:tr>
        <w:trPr>
          <w:trHeight w:val="237"/>
        </w:trPr>
        <w:tc>
          <w:tcPr>
            <w:tcW w:w="54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FF0FC"/>
          </w:tcPr>
          <w:p>
            <w:pPr>
              <w:spacing w:after="0"/>
              <w:rPr>
                <w:sz w:val="23"/>
                <w:szCs w:val="23"/>
                <w:color w:val="auto"/>
              </w:rPr>
            </w:pPr>
          </w:p>
        </w:tc>
        <w:tc>
          <w:tcPr>
            <w:tcW w:w="14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23"/>
                <w:szCs w:val="23"/>
                <w:color w:val="auto"/>
              </w:rPr>
            </w:pPr>
          </w:p>
        </w:tc>
        <w:tc>
          <w:tcPr>
            <w:tcW w:w="1420" w:type="dxa"/>
            <w:vAlign w:val="bottom"/>
            <w:shd w:val="clear" w:color="auto" w:fill="CFF0FC"/>
          </w:tcPr>
          <w:p>
            <w:pPr>
              <w:spacing w:after="0"/>
              <w:rPr>
                <w:sz w:val="23"/>
                <w:szCs w:val="23"/>
                <w:color w:val="auto"/>
              </w:rPr>
            </w:pPr>
          </w:p>
        </w:tc>
      </w:tr>
      <w:tr>
        <w:trPr>
          <w:trHeight w:val="237"/>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portion due within one year</w:t>
            </w:r>
          </w:p>
        </w:tc>
        <w:tc>
          <w:tcPr>
            <w:tcW w:w="2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spacing w:after="0"/>
              <w:rPr>
                <w:sz w:val="23"/>
                <w:szCs w:val="23"/>
                <w:color w:val="auto"/>
              </w:rPr>
            </w:pPr>
          </w:p>
        </w:tc>
      </w:tr>
      <w:tr>
        <w:trPr>
          <w:trHeight w:val="237"/>
        </w:trPr>
        <w:tc>
          <w:tcPr>
            <w:tcW w:w="54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7,264</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6,392</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
        </w:trPr>
        <w:tc>
          <w:tcPr>
            <w:tcW w:w="54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20" w:type="dxa"/>
            <w:vAlign w:val="bottom"/>
            <w:tcBorders>
              <w:bottom w:val="single" w:sz="8" w:color="CFF0FC"/>
            </w:tcBorders>
          </w:tcPr>
          <w:p>
            <w:pPr>
              <w:spacing w:after="0" w:line="20" w:lineRule="exact"/>
              <w:rPr>
                <w:sz w:val="1"/>
                <w:szCs w:val="1"/>
                <w:color w:val="auto"/>
              </w:rPr>
            </w:pPr>
          </w:p>
        </w:tc>
      </w:tr>
      <w:tr>
        <w:trPr>
          <w:trHeight w:val="223"/>
        </w:trPr>
        <w:tc>
          <w:tcPr>
            <w:tcW w:w="5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-153670</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-153670</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-4671060</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-4671060</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-4671060</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ind w:left="340" w:hanging="314"/>
        <w:spacing w:after="0" w:line="220" w:lineRule="auto"/>
        <w:tabs>
          <w:tab w:leader="none" w:pos="3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rates are weighted average interest rates primarily related to various foreign credit facilities with customary terms and conditions.</w:t>
      </w:r>
    </w:p>
    <w:p>
      <w:pPr>
        <w:spacing w:after="0" w:line="2" w:lineRule="exact"/>
        <w:rPr>
          <w:rFonts w:ascii="Times New Roman" w:cs="Times New Roman" w:eastAsia="Times New Roman" w:hAnsi="Times New Roman"/>
          <w:sz w:val="23"/>
          <w:szCs w:val="23"/>
          <w:color w:val="auto"/>
          <w:vertAlign w:val="superscript"/>
        </w:rPr>
      </w:pPr>
    </w:p>
    <w:p>
      <w:pPr>
        <w:ind w:left="360" w:right="40" w:hanging="334"/>
        <w:spacing w:after="0" w:line="219" w:lineRule="auto"/>
        <w:tabs>
          <w:tab w:leader="none" w:pos="347"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 million of non-cash financing additions during the nine months ended September 30, 2025, and $2 million of non-cash financing additions during the twelve months ended December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we had $4,392 million of outstanding notes, compared to $5,240 million at December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$500 million 9.5% Senior Notes due 2025</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19, 2025, we redeemed our remaining $500 million 9.5% senior notes due 2025 at a redemption price equal to 100% of the principal amount redeemed plus accrued and unpaid interest.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$500 million 6.625% Senior Notes due 2030</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 2025, we issued $500 million in aggregate principal amount of 6.625% senior notes due 2030. These notes were sold at 100% of the principal amount and will mature on July 15, 2030. These notes are unsecured senior obligations and are guaranteed by our U.S. and Canadian subsidiaries that also guarantee our obligations under our U.S. first lien revolving credit facility described below.</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on or after July 15, 2027 at a redemption price of 103.313%, 101.656% and 100% during the 12-month periods commencing on July 15, 2027, 2028 and 2029 and thereafter, respectively, plus accrued and unpaid interest to the redemption date. Prior to July 15, 2027, we may redeem these notes, in whole or in part, at a redemption price equal to 100% of the principal amount plus a make-whole premium and accrued and unpaid interest to the redemption date. In addition, prior to July 15, 2027, we may redeem up to 35% of the original aggregate principal amount of these notes from the net cash proceeds of certain equity offerings at a redemption price equal to 106.625% of the principal amount plus accrued and unpaid interest to the redemption date.</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our ability and the ability of certain of our subsidiaries to (i) incur certain liens, (ii) engage in sale and leaseback transactions, and (iii) consolidate, merge, sell or otherwise dispose of all or substantially all of our assets. These covenants are subject to significant exceptions and qualifications.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$900 million 5% Senior Notes due 2026</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2025, we redeemed $400 million of our 5% senior notes due 2026 at a redemption price equal to 100% of the principal amount redeemed plus accrued and unpaid interest. On July 3, 2025, we redeemed the remaining $500 million of our 5% senior notes due 2026 at a redemption price equal to 100% of the principal amount redeemed plus accrued and unpaid interest. We used the net proceeds from the 6.625% senior notes described above, together with cash and cash equivalents, to redeem these notes.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2030</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19, 2025, we amended and restated our U.S. first lien revolving credit facility. The principal change to the facility was the extension of its maturity from June 8, 2026 to May 19, 2030. The interest rate for loans under the facility remained at SOFR plus 125 basis points, based on our current liquidity as described below.</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Availability under the facility is subject to a borrowing base, which is based on (i) eligible accounts receivable and inventory of The Goodyear Tire &amp; Rubber Company and certain of its U.S. and Canadian subsidiaries, (ii) the greater of 50% of the appraised value, if any, of our principal trademarks or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September 30, 2025, our borrowing base was above the facility's stated amount of $2.75 billion.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2024. The facility also has customary defaults, including a cross-default to material indebtedness of Goodyear and our subsidiaries.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Available Cash (as defined in the facility) plus the average quarterly availability under the facility is greater than 25% of the total commitments under the facility, amounts drawn under the facility will bear interest, at our option, at (i) 125 basis points over SOFR or (ii) 25 basis points over an alternate base rate (the higher of (a) the prime rate, (b) the federal funds effective rate or the overnight bank funding rate plus 50 basis points or (c) SOFR plus 100 basis points). If Available Cash plus the average quarterly availability under the facility is equal to or less than 25% of the total commitments under the facility, then amounts drawn under the facility will bear interest, at our option, at (i) 150 basis points over SOFR or (ii) 50 basis points over an alternate base rate. Based on our current liquidity, amounts drawn under this facility bear interest at SOFR plus 125 basis points. Undrawn amounts under the facility are subject to an annual commitment fee of 25 basis points.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2025, we had $1,325 million of borrowings and $1 million of letters of credit issued under the revolving credit facility. At December 31, 2024, we had $700 million of borrowings and $1 million of letters of credit issued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first lien revolving credit facility described above also provide unsecured guarantees in support of the facility.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2021. The facility also has customary defaults, including a cross-default to material indebtedness of Goodyear and our subsidiaries.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2025, there were $235 million (€200 million) of borrowings outstanding under the all-borrower tranche, $211 million (€180 million) of borrowings outstanding under the German tranche, and no letters of credit outstanding under the European revolving credit facility. At December 31, 2024, we had no borrowings and no letters of credit outstanding under the European revolving credit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10, 2025, GEBV and certain other of our European subsidiaries amended and restated our pan-European accounts receivable securitization facility. The principal change to the facility was the extension of its maturity from October 19, 2027 to October 18, 2032. The terms of the facility provide the flexibility to designate annually the maximum amount of funding available under the facility in an amount of not less than €30 million and not more than €450 million. For the period from October 2023 through October 2027, the designated maximum amount of the facility is €300 million.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18, 2032,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in October 2027.</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warranties, covenants and Early Amortisation Events. In addition, it is an Early Amortisation Event under the facility if GEBV’s ratio of Consolidated Net GEBV Indebtedness to Consolidated GEBV EBITDA for a period of four consecutive fiscal quarters is greater than 3.0 to 1.0 at the end of any fiscal quarter. This financial covenant is substantially similar to the covenant included in our European revolving credit facility.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2025, the amounts available and utilized under this program totaled $242 million (€206 million). At December 31, 2024, the amounts available and utilized under this program totaled $227 million (€218 million). The program does not qualify for sale accounting, and accordingly, these amounts are included in Long Term Debt and Finance Leases.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the collateral securing the credit facilities described above as well as the covenants applicable to them, refer to Note to the Consolidated Financial Statements No. 15, Financing Arrangements and Derivative Financial Instruments, in our 2024 Form 10-K.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September 30, 2025, the gross amount of receivables sold was $752 million, compared to $773 million at December 31,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supplier finance programs with several financial institutions. Under these programs, the financial institutions act as our paying agents with respect to accounts payable due to our suppliers. We agree to pay the financial institutions the stated amount of the confirmed invoices from the designated suppliers on the original due dates of the invoices. Invoice payment terms can be up to 120 days based on industry norms for the specific item purchased. We do not pay any fees to the financial institutions and we do not pledge any assets as security or provide other forms of guarantees for these programs. These programs allow our suppliers to sell their receivables to the financial institutions at the sole discretion of the suppliers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these programs. The amounts available under these programs were $902 million and $775 million at September 30, 2025 and December 31, 2024, respectively. The amounts confirmed to the financial institutions were $587 million and $604 million at September 30, 2025 and December 31, 2024, respectively, and are included in Accounts Payable — Trade in our Consolidated Balance Sheets. All activity related to these obligations is presented within operating activities on the Consolidated Statements of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Foreign Credit Facilities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Mexican subsidiary and a U.S. subsidiary have a revolving credit facility in Mexico. At September 30, 2025 and December 31, 2024, the amounts available and utilized under this facility were $200 million. The facility matures on November 22, 2026, has covenants relating to the Mexican and U.S. subsidiaries and has customary representations and warranties and defaults relating to the Mexican and U.S. subsidiaries' ability to perform their respective obligations under the facility.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Chinese subsidiaries have several financing arrangements in China. These facilities contain covenants relating to these Chinese subsidiaries and have customary representations and warranties and defaults relating to these Chinese subsidiaries' ability to perform their respective obligations under these facilities. These facilities are also available for other off-balance sheet utilization, such as letters of credit and bank acceptances.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total amounts available and utilized under the Chinese financing arrangements: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12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3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8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available</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817</w:t>
            </w:r>
          </w:p>
        </w:tc>
        <w:tc>
          <w:tcPr>
            <w:tcW w:w="0" w:type="dxa"/>
            <w:vAlign w:val="bottom"/>
          </w:tcPr>
          <w:p>
            <w:pPr>
              <w:spacing w:after="0"/>
              <w:rPr>
                <w:sz w:val="1"/>
                <w:szCs w:val="1"/>
                <w:color w:val="auto"/>
              </w:rPr>
            </w:pPr>
          </w:p>
        </w:tc>
      </w:tr>
      <w:tr>
        <w:trPr>
          <w:trHeight w:val="20"/>
        </w:trPr>
        <w:tc>
          <w:tcPr>
            <w:tcW w:w="83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utilized: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Notes Payable and Overdrafts</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 Term Debt due Within One Year</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 Term Debt</w:t>
            </w:r>
          </w:p>
        </w:tc>
        <w:tc>
          <w:tcPr>
            <w:tcW w:w="1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Letters of credit, bank acceptances and other utilization</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3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utilized</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0" w:type="dxa"/>
            <w:vAlign w:val="bottom"/>
          </w:tcPr>
          <w:p>
            <w:pPr>
              <w:spacing w:after="0"/>
              <w:rPr>
                <w:sz w:val="1"/>
                <w:szCs w:val="1"/>
                <w:color w:val="auto"/>
              </w:rPr>
            </w:pPr>
          </w:p>
        </w:tc>
      </w:tr>
      <w:tr>
        <w:trPr>
          <w:trHeight w:val="20"/>
        </w:trPr>
        <w:tc>
          <w:tcPr>
            <w:tcW w:w="83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10/25-8/28</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1/25-8/28</w:t>
            </w:r>
          </w:p>
        </w:tc>
        <w:tc>
          <w:tcPr>
            <w:tcW w:w="0" w:type="dxa"/>
            <w:vAlign w:val="bottom"/>
          </w:tcPr>
          <w:p>
            <w:pPr>
              <w:spacing w:after="0"/>
              <w:rPr>
                <w:sz w:val="1"/>
                <w:szCs w:val="1"/>
                <w:color w:val="auto"/>
              </w:rPr>
            </w:pPr>
          </w:p>
        </w:tc>
      </w:tr>
      <w:tr>
        <w:trPr>
          <w:trHeight w:val="27"/>
        </w:trPr>
        <w:tc>
          <w:tcPr>
            <w:tcW w:w="83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-530860</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-873760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-1584960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these facilities can only be used to finance the expansion of our manufacturing facilities in China and the unused amount available under these facilities was $31 million at both September 30, 2025 and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Contracts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presents the fair values for foreign currency hedge contracts that do not meet the criteria to be accounted for as cash flow hedging instruments:</w:t>
      </w:r>
    </w:p>
    <w:tbl>
      <w:tblPr>
        <w:tblLayout w:type="fixed"/>
        <w:tblInd w:w="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4"/>
                <w:szCs w:val="14"/>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7"/>
                <w:szCs w:val="17"/>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r>
      <w:tr>
        <w:trPr>
          <w:trHeight w:val="243"/>
        </w:trPr>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4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-513715</wp:posOffset>
            </wp:positionV>
            <wp:extent cx="603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2025 and December 31, 2024, these outstanding foreign currency derivatives had notional amounts of $2,357 million and $1,779 million, respectively, and were primarily related to intercompany loans. Other (Income) Expense included</w:t>
      </w:r>
    </w:p>
    <w:p>
      <w:pPr>
        <w:sectPr>
          <w:pgSz w:w="11900" w:h="16838" w:orient="portrait"/>
          <w:cols w:equalWidth="0" w:num="1">
            <w:col w:w="11240"/>
          </w:cols>
          <w:pgMar w:left="320" w:top="33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transaction gains on derivatives of $4 million and losses of $102 million for the three and nine months ended September 30, 2025, respectively. Other (Income) Expense included net transaction losses on derivatives of $35 million and gains of $11 million for the three and nine months ended September 30, 2024, respectively. These amounts were substantially offset in Other (Income) Expense by the effect of changing exchange rates on the underlying currency exposures.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2025 and December 31, 2024, we did not have any open foreign currency hedge contracts that meet the criteria to be accounted for as cash flow hedging instruments.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5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presents the classification of changes in fair values of foreign currency contracts that meet the criteria to be accounted for as cash flow hedging instruments (before tax and minority):</w:t>
      </w:r>
    </w:p>
    <w:tbl>
      <w:tblPr>
        <w:tblLayout w:type="fixed"/>
        <w:tblInd w:w="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6"/>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20" w:type="dxa"/>
            <w:vAlign w:val="bottom"/>
            <w:gridSpan w:val="4"/>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9"/>
                <w:szCs w:val="19"/>
                <w:color w:val="auto"/>
              </w:rPr>
            </w:pPr>
          </w:p>
        </w:tc>
        <w:tc>
          <w:tcPr>
            <w:tcW w:w="100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7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5"/>
        </w:trPr>
        <w:tc>
          <w:tcPr>
            <w:tcW w:w="570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Amount of gains (losses) deferred to Accumulated Other Comprehensive</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41"/>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("AOCL")</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FF0FC"/>
            </w:tcBorders>
            <w:gridSpan w:val="3"/>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CFF0FC"/>
            </w:tcBorders>
            <w:gridSpan w:val="3"/>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Borders>
              <w:bottom w:val="single" w:sz="8" w:color="CFF0FC"/>
            </w:tcBorders>
            <w:gridSpan w:val="3"/>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amounts recognized in CGS</w:t>
            </w:r>
          </w:p>
        </w:tc>
        <w:tc>
          <w:tcPr>
            <w:tcW w:w="300" w:type="dxa"/>
            <w:vAlign w:val="bottom"/>
          </w:tcPr>
          <w:p>
            <w:pPr>
              <w:spacing w:after="0"/>
              <w:rPr>
                <w:sz w:val="21"/>
                <w:szCs w:val="21"/>
                <w:color w:val="auto"/>
              </w:rPr>
            </w:pPr>
          </w:p>
        </w:tc>
        <w:tc>
          <w:tcPr>
            <w:tcW w:w="15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net deferred losses at September 30, 2025 are expected to be reclassified to earnings within the next twelve months.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default probabilities,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assets and liabilities recorded at fair value on the Consolidated Balance Sheets at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Carrying Value</w:t>
            </w:r>
          </w:p>
        </w:tc>
        <w:tc>
          <w:tcPr>
            <w:tcW w:w="140" w:type="dxa"/>
            <w:vAlign w:val="bottom"/>
          </w:tcPr>
          <w:p>
            <w:pPr>
              <w:spacing w:after="0"/>
              <w:rPr>
                <w:sz w:val="14"/>
                <w:szCs w:val="14"/>
                <w:color w:val="auto"/>
              </w:rPr>
            </w:pPr>
          </w:p>
        </w:tc>
        <w:tc>
          <w:tcPr>
            <w:tcW w:w="17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7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5"/>
                <w:szCs w:val="15"/>
                <w:color w:val="auto"/>
              </w:rPr>
            </w:pPr>
          </w:p>
        </w:tc>
        <w:tc>
          <w:tcPr>
            <w:tcW w:w="1620" w:type="dxa"/>
            <w:vAlign w:val="bottom"/>
            <w:gridSpan w:val="4"/>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5"/>
                <w:szCs w:val="15"/>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00" w:type="dxa"/>
            <w:vAlign w:val="bottom"/>
          </w:tcPr>
          <w:p>
            <w:pPr>
              <w:spacing w:after="0"/>
              <w:rPr>
                <w:sz w:val="15"/>
                <w:szCs w:val="15"/>
                <w:color w:val="auto"/>
              </w:rPr>
            </w:pPr>
          </w:p>
        </w:tc>
        <w:tc>
          <w:tcPr>
            <w:tcW w:w="17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00" w:type="dxa"/>
            <w:vAlign w:val="bottom"/>
          </w:tcPr>
          <w:p>
            <w:pPr>
              <w:spacing w:after="0"/>
              <w:rPr>
                <w:sz w:val="15"/>
                <w:szCs w:val="15"/>
                <w:color w:val="auto"/>
              </w:rPr>
            </w:pPr>
          </w:p>
        </w:tc>
        <w:tc>
          <w:tcPr>
            <w:tcW w:w="1040" w:type="dxa"/>
            <w:vAlign w:val="bottom"/>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40" w:type="dxa"/>
            <w:vAlign w:val="bottom"/>
          </w:tcPr>
          <w:p>
            <w:pPr>
              <w:spacing w:after="0"/>
              <w:rPr>
                <w:sz w:val="16"/>
                <w:szCs w:val="16"/>
                <w:color w:val="auto"/>
              </w:rPr>
            </w:pPr>
          </w:p>
        </w:tc>
        <w:tc>
          <w:tcPr>
            <w:tcW w:w="1080" w:type="dxa"/>
            <w:vAlign w:val="bottom"/>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364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fair value information about long term fixed rate and variable rate debt, excluding finance leases,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December 31, 2024:</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1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11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0"/>
        </w:trPr>
        <w:tc>
          <w:tcPr>
            <w:tcW w:w="8480" w:type="dxa"/>
            <w:vAlign w:val="bottom"/>
            <w:shd w:val="clear" w:color="auto" w:fill="CFF0FC"/>
          </w:tcPr>
          <w:p>
            <w:pPr>
              <w:ind w:left="20"/>
              <w:spacing w:after="0" w:line="250" w:lineRule="exact"/>
              <w:rPr>
                <w:sz w:val="20"/>
                <w:szCs w:val="20"/>
                <w:color w:val="auto"/>
              </w:rPr>
            </w:pPr>
            <w:r>
              <w:rPr>
                <w:rFonts w:ascii="Times New Roman" w:cs="Times New Roman" w:eastAsia="Times New Roman" w:hAnsi="Times New Roman"/>
                <w:sz w:val="18"/>
                <w:szCs w:val="18"/>
                <w:b w:val="1"/>
                <w:bCs w:val="1"/>
                <w:color w:val="auto"/>
              </w:rPr>
              <w:t>Fixed Rate Debt:</w:t>
            </w:r>
            <w:r>
              <w:rPr>
                <w:rFonts w:ascii="Times New Roman" w:cs="Times New Roman" w:eastAsia="Times New Roman" w:hAnsi="Times New Roman"/>
                <w:sz w:val="23"/>
                <w:szCs w:val="23"/>
                <w:b w:val="1"/>
                <w:bCs w:val="1"/>
                <w:color w:val="auto"/>
                <w:vertAlign w:val="superscript"/>
              </w:rPr>
              <w:t>(1)</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5,076</w:t>
            </w:r>
          </w:p>
        </w:tc>
      </w:tr>
      <w:tr>
        <w:trPr>
          <w:trHeight w:val="257"/>
        </w:trPr>
        <w:tc>
          <w:tcPr>
            <w:tcW w:w="8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Rate Debt:</w:t>
            </w:r>
            <w:r>
              <w:rPr>
                <w:rFonts w:ascii="Times New Roman" w:cs="Times New Roman" w:eastAsia="Times New Roman" w:hAnsi="Times New Roman"/>
                <w:sz w:val="23"/>
                <w:szCs w:val="23"/>
                <w:b w:val="1"/>
                <w:bCs w:val="1"/>
                <w:color w:val="auto"/>
                <w:vertAlign w:val="superscript"/>
              </w:rPr>
              <w:t>(1)</w:t>
            </w:r>
          </w:p>
        </w:tc>
        <w:tc>
          <w:tcPr>
            <w:tcW w:w="18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7"/>
        </w:trPr>
        <w:tc>
          <w:tcPr>
            <w:tcW w:w="84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-1191260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 w:lineRule="exact"/>
        <w:rPr>
          <w:sz w:val="20"/>
          <w:szCs w:val="20"/>
          <w:color w:val="auto"/>
        </w:rPr>
      </w:pPr>
    </w:p>
    <w:p>
      <w:pPr>
        <w:jc w:val="both"/>
        <w:ind w:left="360" w:right="40" w:hanging="334"/>
        <w:spacing w:after="0" w:line="235" w:lineRule="auto"/>
        <w:tabs>
          <w:tab w:leader="none" w:pos="347"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Notes Payable and Overdrafts of $573 million and $558 million at September 30, 2025 and December 31, 2024, respectively, of which $268 million and $241 million, respectively, are at fixed rates and $305 million and $317 million, respectively, are at variable rates. The carrying value of Notes Payable and Overdrafts approximates fair value due to the short term nature of the facilities.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Long term debt with fair values of $4,253 million and $4,921 million at September 30, 2025 and December 31, 2024, respectively, were estimated using quoted Level 1 market prices. The carrying value of the remaining long term debt approximates fair value since the terms of the financing arrangements are similar to terms that could be obtained under current lending market conditions.</w:t>
      </w:r>
    </w:p>
    <w:p>
      <w:pPr>
        <w:spacing w:after="0" w:line="172" w:lineRule="exact"/>
        <w:rPr>
          <w:sz w:val="20"/>
          <w:szCs w:val="20"/>
          <w:color w:val="auto"/>
        </w:rPr>
      </w:pPr>
    </w:p>
    <w:p>
      <w:pPr>
        <w:ind w:right="4400"/>
        <w:spacing w:after="0" w:line="353"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NOTE 11. PENSION, SAVINGS AND OTHER POSTRETIREMENT BENEFIT PLANS </w:t>
      </w:r>
      <w:r>
        <w:rPr>
          <w:rFonts w:ascii="Times New Roman" w:cs="Times New Roman" w:eastAsia="Times New Roman" w:hAnsi="Times New Roman"/>
          <w:sz w:val="18"/>
          <w:szCs w:val="18"/>
          <w:color w:val="auto"/>
        </w:rPr>
        <w:t>We provide employees with defined benefit pension or defined contribution savings plans. Defined benefit pension cost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gridSpan w:val="4"/>
          </w:tcPr>
          <w:p>
            <w:pPr>
              <w:jc w:val="center"/>
              <w:ind w:right="375"/>
              <w:spacing w:after="0"/>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5"/>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U.S.</w:t>
            </w:r>
          </w:p>
        </w:tc>
        <w:tc>
          <w:tcPr>
            <w:tcW w:w="860" w:type="dxa"/>
            <w:vAlign w:val="bottom"/>
          </w:tcPr>
          <w:p>
            <w:pPr>
              <w:spacing w:after="0"/>
              <w:rPr>
                <w:sz w:val="16"/>
                <w:szCs w:val="16"/>
                <w:color w:val="auto"/>
              </w:rPr>
            </w:pPr>
          </w:p>
        </w:tc>
      </w:tr>
      <w:tr>
        <w:trPr>
          <w:trHeight w:val="37"/>
        </w:trPr>
        <w:tc>
          <w:tcPr>
            <w:tcW w:w="5700" w:type="dxa"/>
            <w:vAlign w:val="bottom"/>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r>
      <w:tr>
        <w:trPr>
          <w:trHeight w:val="158"/>
        </w:trPr>
        <w:tc>
          <w:tcPr>
            <w:tcW w:w="5700" w:type="dxa"/>
            <w:vAlign w:val="bottom"/>
          </w:tcPr>
          <w:p>
            <w:pPr>
              <w:spacing w:after="0"/>
              <w:rPr>
                <w:sz w:val="13"/>
                <w:szCs w:val="13"/>
                <w:color w:val="auto"/>
              </w:rPr>
            </w:pPr>
          </w:p>
        </w:tc>
        <w:tc>
          <w:tcPr>
            <w:tcW w:w="2300" w:type="dxa"/>
            <w:vAlign w:val="bottom"/>
            <w:gridSpan w:val="5"/>
          </w:tcPr>
          <w:p>
            <w:pPr>
              <w:jc w:val="center"/>
              <w:ind w:left="317"/>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6"/>
          </w:tcPr>
          <w:p>
            <w:pPr>
              <w:jc w:val="center"/>
              <w:ind w:right="232"/>
              <w:spacing w:after="0" w:line="158"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gridSpan w:val="4"/>
          </w:tcPr>
          <w:p>
            <w:pPr>
              <w:jc w:val="center"/>
              <w:ind w:right="3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5"/>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700" w:type="dxa"/>
            <w:vAlign w:val="bottom"/>
            <w:tcBorders>
              <w:bottom w:val="single" w:sz="8" w:color="CFF0FC"/>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60" w:type="dxa"/>
            <w:vAlign w:val="bottom"/>
            <w:tcBorders>
              <w:bottom w:val="single" w:sz="8" w:color="CFF0FC"/>
            </w:tcBorders>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570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860" w:type="dxa"/>
            <w:vAlign w:val="bottom"/>
            <w:tcBorders>
              <w:bottom w:val="single" w:sz="8" w:color="CFF0FC"/>
            </w:tcBorders>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7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curtailments/settlements/termination benefits</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570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9"/>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defined benefit pension cost</w:t>
            </w:r>
          </w:p>
        </w:tc>
        <w:tc>
          <w:tcPr>
            <w:tcW w:w="860" w:type="dxa"/>
            <w:vAlign w:val="bottom"/>
            <w:tcBorders>
              <w:bottom w:val="single" w:sz="8" w:color="CFF0FC"/>
            </w:tcBorders>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7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75"/>
        </w:trPr>
        <w:tc>
          <w:tcPr>
            <w:tcW w:w="5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40" w:type="dxa"/>
            <w:vAlign w:val="bottom"/>
            <w:gridSpan w:val="4"/>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Non-U.S.</w:t>
            </w: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5"/>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w w:val="99"/>
              </w:rPr>
              <w:t>Non-U.S.</w:t>
            </w:r>
          </w:p>
        </w:tc>
        <w:tc>
          <w:tcPr>
            <w:tcW w:w="860" w:type="dxa"/>
            <w:vAlign w:val="bottom"/>
          </w:tcPr>
          <w:p>
            <w:pPr>
              <w:spacing w:after="0"/>
              <w:rPr>
                <w:sz w:val="23"/>
                <w:szCs w:val="23"/>
                <w:color w:val="auto"/>
              </w:rPr>
            </w:pPr>
          </w:p>
        </w:tc>
      </w:tr>
      <w:tr>
        <w:trPr>
          <w:trHeight w:val="37"/>
        </w:trPr>
        <w:tc>
          <w:tcPr>
            <w:tcW w:w="5700" w:type="dxa"/>
            <w:vAlign w:val="bottom"/>
          </w:tcPr>
          <w:p>
            <w:pPr>
              <w:spacing w:after="0"/>
              <w:rPr>
                <w:sz w:val="3"/>
                <w:szCs w:val="3"/>
                <w:color w:val="auto"/>
              </w:rPr>
            </w:pPr>
          </w:p>
        </w:tc>
        <w:tc>
          <w:tcPr>
            <w:tcW w:w="2300" w:type="dxa"/>
            <w:vAlign w:val="bottom"/>
            <w:tcBorders>
              <w:bottom w:val="single" w:sz="8" w:color="auto"/>
            </w:tcBorders>
            <w:gridSpan w:val="5"/>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6"/>
          </w:tcPr>
          <w:p>
            <w:pPr>
              <w:spacing w:after="0"/>
              <w:rPr>
                <w:sz w:val="3"/>
                <w:szCs w:val="3"/>
                <w:color w:val="auto"/>
              </w:rPr>
            </w:pPr>
          </w:p>
        </w:tc>
      </w:tr>
      <w:tr>
        <w:trPr>
          <w:trHeight w:val="171"/>
        </w:trPr>
        <w:tc>
          <w:tcPr>
            <w:tcW w:w="5700" w:type="dxa"/>
            <w:vAlign w:val="bottom"/>
          </w:tcPr>
          <w:p>
            <w:pPr>
              <w:spacing w:after="0"/>
              <w:rPr>
                <w:sz w:val="14"/>
                <w:szCs w:val="14"/>
                <w:color w:val="auto"/>
              </w:rPr>
            </w:pPr>
          </w:p>
        </w:tc>
        <w:tc>
          <w:tcPr>
            <w:tcW w:w="2300" w:type="dxa"/>
            <w:vAlign w:val="bottom"/>
            <w:gridSpan w:val="5"/>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6"/>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gridSpan w:val="4"/>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5"/>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700" w:type="dxa"/>
            <w:vAlign w:val="bottom"/>
            <w:tcBorders>
              <w:bottom w:val="single" w:sz="8" w:color="CFF0FC"/>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60" w:type="dxa"/>
            <w:vAlign w:val="bottom"/>
            <w:tcBorders>
              <w:bottom w:val="single" w:sz="8" w:color="CFF0FC"/>
            </w:tcBorders>
            <w:shd w:val="clear" w:color="auto" w:fill="CFF0FC"/>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860" w:type="dxa"/>
            <w:vAlign w:val="bottom"/>
          </w:tcPr>
          <w:p>
            <w:pPr>
              <w:spacing w:after="0"/>
              <w:rPr>
                <w:sz w:val="21"/>
                <w:szCs w:val="21"/>
                <w:color w:val="auto"/>
              </w:rPr>
            </w:pP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86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860" w:type="dxa"/>
            <w:vAlign w:val="bottom"/>
            <w:tcBorders>
              <w:top w:val="single" w:sz="8" w:color="auto"/>
            </w:tcBorders>
          </w:tcPr>
          <w:p>
            <w:pPr>
              <w:jc w:val="right"/>
              <w:ind w:right="657"/>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7"/>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curtailments/settlements/termination benefits</w:t>
            </w:r>
          </w:p>
        </w:tc>
        <w:tc>
          <w:tcPr>
            <w:tcW w:w="86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defined benefit pension cost</w:t>
            </w:r>
          </w:p>
        </w:tc>
        <w:tc>
          <w:tcPr>
            <w:tcW w:w="860" w:type="dxa"/>
            <w:vAlign w:val="bottom"/>
            <w:tcBorders>
              <w:top w:val="single" w:sz="8" w:color="auto"/>
            </w:tcBorders>
          </w:tcPr>
          <w:p>
            <w:pPr>
              <w:jc w:val="right"/>
              <w:ind w:right="657"/>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7"/>
        </w:trPr>
        <w:tc>
          <w:tcPr>
            <w:tcW w:w="5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-2091055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-2270760</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-2622550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-3316605</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-3316605</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-1430655</wp:posOffset>
            </wp:positionV>
            <wp:extent cx="603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-1430655</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-1430655</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cost is recorded in CGS or SAG. Other components of net periodic pension cost are recorded in Other (Income) Expense. Net curtailments, settlements and termination benefits, if any, are recorded in Other (Income) Expense or Rationalizations if related to a rationalization plan.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third quarter and first nine months of 2025, pension settlement charges of $68 million and $72 million, respectively, were recorded in Other (Income) Expense. The settlement charges resulted from total lump sums exceeding annual service and</w:t>
      </w:r>
    </w:p>
    <w:p>
      <w:pPr>
        <w:sectPr>
          <w:pgSz w:w="11900" w:h="16838" w:orient="portrait"/>
          <w:cols w:equalWidth="0" w:num="1">
            <w:col w:w="11240"/>
          </w:cols>
          <w:pgMar w:left="320" w:top="33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interest cost of the applicable plans, including $68 million in the third quarter from the offer of lump sum payments over a limited time to certain active and former employees in the U.S. salaried defined benefit pension plan. In addition, in the first nine months of 2025, pension termination benefits charges of $4 million and $1 million were recorded related to the exit of employees under an approved rationalization plan and the sale of the OTR tire business, respectively.</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first nine months of 2024, a pension settlement credit of $5 million was recorded in Other (Income) Expense. The settlement credit resulted from a premium refund related to the purchase of a group annuity contract for the Cooper Tire U.S. salaried defined benefit pension plan in 2023.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provide certain U.S. employees and employees at certain non-U.S. subsidiaries with health care benefits or life insurance benefits upon retirement. Other postretirement benefits (income) expense for three months ended September 30, 2025 and 2024 was $(1) million and $1 million, respectively, and for the nine months ended September 30, 2025 and 2024 was $(1) million and $5 million, respectively.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contribute $20 million to $30 million to our funded non-U.S. pension plans in 2025. For the three and nine months ended September 30, 2025, we contributed $8 million and $21 million, respectively, to our non-U.S. plans.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expense recognized for our contributions to defined contribution savings plans for the three months ended September 30, 2025 and 2024 was $30 million and $34 million, respectively, and for the nine months ended September 30, 2025 and 2024 was $92 million and $104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STOCK COMPENSATION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granted 2.1 million restricted stock units and 1.0 million performance share units during the nine months ended September 30, 2025 under our stock compensation plans. We measure the fair value of grants of restricted stock units and performance share units based primarily on the closing market price of a share of our common stock on the date of the grant, modified as appropriate to take into account the features of such grants. The weighted average fair value per share was $9.73 for restricted stock units and $9.31 for performance share units granted during the nine months ended September 30, 2025.</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stock-based compensation expense of $6 million and $17 million during the three and nine months ended September 30, 2025, respectively. At September 30, 2025, unearned compensation cost related to the unvested portion of all stock-based awards was approximately $23 million and is expected to be recognized over the remaining vesting period of the respective grants, through the third quarter of 2028. We recognized stock-based compensation expense of $6 million and $15 million during the three and nine months ended September 30,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recorded liabilities totaling $77 million and $81 million at September 30, 2025 and December 31, 2024, respectively, for anticipated costs related to various environmental matters, primarily the remediation of numerous waste disposal sites and certain properties sold by us. Of these amounts, $20 million and $24 million were included in Other Current Liabilities at September 30, 2025 and December 31, 2024,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recorded liabilities, on a discounted basis, totaling $161 million and $158 million for anticipated costs related to workers’ compensation at September 30, 2025 and December 31, 2024, respectively. Of these amounts, $28 million and $31 million were included in Other Current Liabilities as part of Compensation and Benefits at September 30, 2025 and December 31, 2024,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loss development factors based on actuarial analyses. At September 30, 2025 and December 31, 2024, the liability was discounted using a risk-free rate of return. At September 30, 2025, we estimate that it is reasonably possible that the liability could exceed our recorded amounts by approximately $25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Product Liability and Other Litigation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recorded liabilities for both asserted and unasserted claims totaling $409 million and $406 million, including related legal fees expected to be incurred, for potential product liability and other tort claims, including asbestos claims, at September 30, 2025 and December 31, 2024, respectively. Of these amounts, $81 million and $60 million were included in Other Current Liabilities at September 30, 2025 and December 31, 2024, respectively. The amounts recorded were estimated based on an assessment of potential liability using an analysis of available information with respect to pending claims, historical experience and, where available, recent and current trends. Based upon that assessment, at September 30, 2025,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recorded an indemnification asset within Accounts Receivable of $4 million and within Other Assets of $2 million for SRI's obligation to indemnify us for certain product liability claims related to products manufactured by a formerly consolidated joint venture entity, subject to certain caps and restrictions.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Asbestos. </w:t>
      </w:r>
      <w:r>
        <w:rPr>
          <w:rFonts w:ascii="Times New Roman" w:cs="Times New Roman" w:eastAsia="Times New Roman" w:hAnsi="Times New Roman"/>
          <w:sz w:val="18"/>
          <w:szCs w:val="18"/>
          <w:color w:val="auto"/>
        </w:rPr>
        <w:t>We are a defendant in numerous lawsuits alleging various asbestos-related personal injuries purported to result from alleged exposure to asbestos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certain products manufactured by us or present in certain of our facilities. Typically, these lawsuits have been brought against multiple defendants in state and federal courts. To date, we have disposed of approximately 164,800 claims by defending, obtaining the dismissal thereof, or entering into a settlement. The sum of our accrued asbestos-related liability and gross payments to date, including legal costs, by us and our insurers totaled approximately $601 million through September 30, 2025 and $589 million through December 31, 2024.</w:t>
      </w:r>
    </w:p>
    <w:p>
      <w:pPr>
        <w:spacing w:after="0" w:line="7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A summary of recent approximate asbestos claims activity follows. Because claims are often filed and disposed of by settlement or dismissal in large numbers, the amount and timing of filings, settlements and dismissals and the number of open claims during a particular period can fluctuate significantly.</w:t>
      </w: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5"/>
                <w:szCs w:val="15"/>
                <w:color w:val="auto"/>
              </w:rPr>
            </w:pPr>
          </w:p>
        </w:tc>
        <w:tc>
          <w:tcPr>
            <w:tcW w:w="11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48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4"/>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beginning of period</w:t>
            </w: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35,400</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35,800</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 filed</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7"/>
        </w:trPr>
        <w:tc>
          <w:tcPr>
            <w:tcW w:w="8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settled/dismissed</w:t>
            </w:r>
          </w:p>
        </w:tc>
        <w:tc>
          <w:tcPr>
            <w:tcW w:w="4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end of period</w:t>
            </w: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35,400</w:t>
            </w: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480" w:type="dxa"/>
            <w:vAlign w:val="bottom"/>
            <w:tcBorders>
              <w:bottom w:val="single" w:sz="8" w:color="CFF0F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9"/>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auto"/>
            </w:tcBorders>
            <w:shd w:val="clear" w:color="auto" w:fill="CFF0FC"/>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-213995</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-942340</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ind w:left="340" w:hanging="314"/>
        <w:spacing w:after="0" w:line="232" w:lineRule="auto"/>
        <w:tabs>
          <w:tab w:leader="none" w:pos="3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cash payments made during the period by us and our insurers for asbestos litigation defense and claim resolution.</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$116 million and $115 million at September 30, 2025 and December 31, 2024,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insurance receivable related to asbestos claims of $64 million and $63 million at September 30, 2025 and December 31, 2024, respectively. We expect that approximately 55% of asbestos claim related losses would be recoverable through insurance during the ten-year period covered by the estimated liability. Of these amounts, $11 million was included in Current Assets as part of Accounts Receivable at both September 30, 2025 and December 31, 2024.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at December 31, 2024, we had approximately $520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Matters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an audit by the IRS, we received a Notice of Proposed Adjustment ("NOPA") during the second quarter of 2025 related to an intercompany sale of certain intellectual property in 2021. The IRS proposes to disallow income recognition totaling $1.5 billion associated with this transaction. The federal tax charge related to that income recognition was fully offset by the utilization of $315 million of then-existing deferred tax assets, including tax loss carryforwards and foreign tax credits.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disagree with the IRS’s position as stated in the NOPA and plan to challenge the proposed adjustments through the established IRS administrative procedures. Based on the information currently available, we believe that it is more likely than not that our tax position will be sustained upon review; therefore, no changes have been made to our reserve for uncertain tax positions relating to the NOPA. In addition, our U.S. deferred tax assets are in a full valuation allowance as of September 30, 2025. The ultimate resolution of this matter is uncertain, and if the income recognition associated with the transaction is disallowed, we will not be able to use a portion of the deferred tax assets that we utilized to offset the related federal taxes.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Binding Commitments and Guarantees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off-balance sheet financial guarantees and other commitments totaling $29 million at both September 30, 2025 and December 31, 2024. We issue guarantees to financial institutions or other entities on behalf of certain of our affiliates, lessors or customers. We generally do not require collateral in connection with the issuance of these guarantees.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2015, as a result of the dissolution of the global alliance with SRI, we issued a guarantee of $46 million to an insurance company related to SRI's obligation to pay certain outstanding workers' compensation claims of a formerly consolidated joint venture entity. As of September 30, 2025, this guarantee amount has been reduced to $15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performance under these guarantees is triggered by non-payment or another specified event, we would be obligated to make payment to the financial institution or the other entity, and would typically have recourse to the affiliate, lessor, customer or SRI, as applicable. We are unable to estimate the extent to which our lessors’, customers’ or SRI's assets would be adequate to recover any payments made by us under the related guarantees.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 agreement to provide a revolving loan commitment to TireHub, LLC of up to $130 million. The carrying value of our net investment in TireHub was $64 million and $110 million, which includes an outstanding loan receivable of $113 million and $119 million, including $2 million of interest, at September 30, 2025 and December 31, 2024, respectively, and was included in Other Assets on our Consolidated Balance Sheets. Our investment in TireHub is accounted for under the equity method of accounting and, as such, includes our 50% share of the net income (losses) of TireHub.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nine months of 2025, we did not repurchase any shares from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changes in AOCL, by component, for the nine months ended September 30, 2025 and 2024, after tax and minority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34290</wp:posOffset>
            </wp:positionV>
            <wp:extent cx="60325" cy="5911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59118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34290</wp:posOffset>
            </wp:positionV>
            <wp:extent cx="60325" cy="5911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59118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34290</wp:posOffset>
            </wp:positionV>
            <wp:extent cx="60325" cy="5911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59118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34290</wp:posOffset>
            </wp:positionV>
            <wp:extent cx="60325" cy="5911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59118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Actuarial</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2"/>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 and</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6"/>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 from</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Prior Service</w:t>
            </w:r>
          </w:p>
        </w:tc>
        <w:tc>
          <w:tcPr>
            <w:tcW w:w="1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300" w:type="dxa"/>
            <w:vAlign w:val="bottom"/>
          </w:tcPr>
          <w:p>
            <w:pPr>
              <w:spacing w:after="0"/>
              <w:rPr>
                <w:sz w:val="17"/>
                <w:szCs w:val="17"/>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(3,844)</w:t>
            </w:r>
          </w:p>
        </w:tc>
      </w:tr>
      <w:tr>
        <w:trPr>
          <w:trHeight w:val="225"/>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61"/>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(1,707)</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(3,706)</w:t>
            </w:r>
          </w:p>
        </w:tc>
      </w:tr>
      <w:tr>
        <w:trPr>
          <w:trHeight w:val="27"/>
        </w:trPr>
        <w:tc>
          <w:tcPr>
            <w:tcW w:w="4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87"/>
        </w:trPr>
        <w:tc>
          <w:tcPr>
            <w:tcW w:w="4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Actuarial</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 and</w:t>
            </w:r>
          </w:p>
        </w:tc>
        <w:tc>
          <w:tcPr>
            <w:tcW w:w="1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 from</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Prior Service</w:t>
            </w:r>
          </w:p>
        </w:tc>
        <w:tc>
          <w:tcPr>
            <w:tcW w:w="1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30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2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(1,613)</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(3,835)</w:t>
            </w:r>
          </w:p>
        </w:tc>
      </w:tr>
      <w:tr>
        <w:trPr>
          <w:trHeight w:val="225"/>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61"/>
        </w:trPr>
        <w:tc>
          <w:tcPr>
            <w:tcW w:w="4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(3,772)</w:t>
            </w:r>
          </w:p>
        </w:tc>
      </w:tr>
      <w:tr>
        <w:trPr>
          <w:trHeight w:val="27"/>
        </w:trPr>
        <w:tc>
          <w:tcPr>
            <w:tcW w:w="4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-1010920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-1010920</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-1010920</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reclassifications out of AOCL:</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80" w:type="dxa"/>
            <w:vAlign w:val="bottom"/>
          </w:tcPr>
          <w:p>
            <w:pPr>
              <w:spacing w:after="0"/>
              <w:rPr>
                <w:sz w:val="15"/>
                <w:szCs w:val="15"/>
                <w:color w:val="auto"/>
              </w:rPr>
            </w:pPr>
          </w:p>
        </w:tc>
        <w:tc>
          <w:tcPr>
            <w:tcW w:w="1760" w:type="dxa"/>
            <w:vAlign w:val="bottom"/>
            <w:gridSpan w:val="4"/>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80" w:type="dxa"/>
            <w:vAlign w:val="bottom"/>
          </w:tcPr>
          <w:p>
            <w:pPr>
              <w:spacing w:after="0"/>
              <w:rPr>
                <w:sz w:val="16"/>
                <w:szCs w:val="16"/>
                <w:color w:val="auto"/>
              </w:rPr>
            </w:pPr>
          </w:p>
        </w:tc>
        <w:tc>
          <w:tcPr>
            <w:tcW w:w="1760" w:type="dxa"/>
            <w:vAlign w:val="bottom"/>
            <w:gridSpan w:val="4"/>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Expense</w:t>
            </w: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4180" w:type="dxa"/>
            <w:vAlign w:val="bottom"/>
            <w:vMerge w:val="continue"/>
          </w:tcPr>
          <w:p>
            <w:pPr>
              <w:spacing w:after="0"/>
              <w:rPr>
                <w:sz w:val="24"/>
                <w:szCs w:val="24"/>
                <w:color w:val="auto"/>
              </w:rPr>
            </w:pPr>
          </w:p>
        </w:tc>
        <w:tc>
          <w:tcPr>
            <w:tcW w:w="1760" w:type="dxa"/>
            <w:vAlign w:val="bottom"/>
            <w:gridSpan w:val="4"/>
            <w:vMerge w:val="restart"/>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Amount Reclassified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vMerge w:val="restart"/>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Amount Reclassified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39"/>
        </w:trPr>
        <w:tc>
          <w:tcPr>
            <w:tcW w:w="4180" w:type="dxa"/>
            <w:vAlign w:val="bottom"/>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gridSpan w:val="3"/>
            <w:vMerge w:val="continue"/>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418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Component of AOCL</w:t>
            </w:r>
          </w:p>
        </w:tc>
        <w:tc>
          <w:tcPr>
            <w:tcW w:w="640" w:type="dxa"/>
            <w:vAlign w:val="bottom"/>
          </w:tcPr>
          <w:p>
            <w:pPr>
              <w:spacing w:after="0"/>
              <w:rPr>
                <w:sz w:val="16"/>
                <w:szCs w:val="16"/>
                <w:color w:val="auto"/>
              </w:rPr>
            </w:pPr>
          </w:p>
        </w:tc>
        <w:tc>
          <w:tcPr>
            <w:tcW w:w="1120" w:type="dxa"/>
            <w:vAlign w:val="bottom"/>
            <w:gridSpan w:val="3"/>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37"/>
        </w:trPr>
        <w:tc>
          <w:tcPr>
            <w:tcW w:w="4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before tax</w:t>
            </w:r>
          </w:p>
        </w:tc>
        <w:tc>
          <w:tcPr>
            <w:tcW w:w="640" w:type="dxa"/>
            <w:vAlign w:val="bottom"/>
            <w:tcBorders>
              <w:bottom w:val="single" w:sz="8" w:color="CFF0FC"/>
            </w:tcBorders>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FF0FC"/>
            </w:tcBorders>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Asset Sales</w:t>
            </w:r>
          </w:p>
        </w:tc>
        <w:tc>
          <w:tcPr>
            <w:tcW w:w="0" w:type="dxa"/>
            <w:vAlign w:val="bottom"/>
          </w:tcPr>
          <w:p>
            <w:pPr>
              <w:spacing w:after="0"/>
              <w:rPr>
                <w:sz w:val="1"/>
                <w:szCs w:val="1"/>
                <w:color w:val="auto"/>
              </w:rPr>
            </w:pPr>
          </w:p>
        </w:tc>
      </w:tr>
      <w:tr>
        <w:trPr>
          <w:trHeight w:val="243"/>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64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of tax</w:t>
            </w:r>
          </w:p>
        </w:tc>
        <w:tc>
          <w:tcPr>
            <w:tcW w:w="640" w:type="dxa"/>
            <w:vAlign w:val="bottom"/>
            <w:tcBorders>
              <w:bottom w:val="single" w:sz="8" w:color="CFF0FC"/>
            </w:tcBorders>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FF0FC"/>
            </w:tcBorders>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486"/>
        </w:trPr>
        <w:tc>
          <w:tcPr>
            <w:tcW w:w="4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and unrecognized</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gains and losses</w:t>
            </w:r>
          </w:p>
        </w:tc>
        <w:tc>
          <w:tcPr>
            <w:tcW w:w="640" w:type="dxa"/>
            <w:vAlign w:val="bottom"/>
            <w:tcBorders>
              <w:bottom w:val="single" w:sz="8" w:color="CFF0FC"/>
            </w:tcBorders>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FF0FC"/>
            </w:tcBorders>
            <w:shd w:val="clear" w:color="auto" w:fill="CFF0FC"/>
          </w:tcPr>
          <w:p>
            <w:pPr>
              <w:spacing w:after="0"/>
              <w:rPr>
                <w:sz w:val="20"/>
                <w:szCs w:val="20"/>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25"/>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Immediate recognition of prior service cost and</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gains and losses due to curtailments,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and divestitures</w:t>
            </w:r>
          </w:p>
        </w:tc>
        <w:tc>
          <w:tcPr>
            <w:tcW w:w="6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80" w:type="dxa"/>
            <w:vAlign w:val="bottom"/>
            <w:shd w:val="clear" w:color="auto" w:fill="CFF0FC"/>
          </w:tcPr>
          <w:p>
            <w:pPr>
              <w:ind w:left="180"/>
              <w:spacing w:after="0" w:line="205" w:lineRule="exact"/>
              <w:rPr>
                <w:sz w:val="20"/>
                <w:szCs w:val="20"/>
                <w:color w:val="auto"/>
              </w:rPr>
            </w:pPr>
            <w:r>
              <w:rPr>
                <w:rFonts w:ascii="Times New Roman" w:cs="Times New Roman" w:eastAsia="Times New Roman" w:hAnsi="Times New Roman"/>
                <w:sz w:val="18"/>
                <w:szCs w:val="18"/>
                <w:color w:val="auto"/>
              </w:rPr>
              <w:t>Unrecognized net actuarial losses and</w:t>
            </w:r>
          </w:p>
        </w:tc>
        <w:tc>
          <w:tcPr>
            <w:tcW w:w="6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prior service costs, before tax</w:t>
            </w:r>
          </w:p>
        </w:tc>
        <w:tc>
          <w:tcPr>
            <w:tcW w:w="640" w:type="dxa"/>
            <w:vAlign w:val="bottom"/>
            <w:tcBorders>
              <w:bottom w:val="single" w:sz="8" w:color="CFF0FC"/>
            </w:tcBorders>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FF0FC"/>
            </w:tcBorders>
            <w:shd w:val="clear" w:color="auto" w:fill="CFF0FC"/>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6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of tax</w:t>
            </w:r>
          </w:p>
        </w:tc>
        <w:tc>
          <w:tcPr>
            <w:tcW w:w="640" w:type="dxa"/>
            <w:vAlign w:val="bottom"/>
            <w:tcBorders>
              <w:bottom w:val="single" w:sz="8" w:color="CFF0FC"/>
            </w:tcBorders>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103</w:t>
            </w:r>
          </w:p>
        </w:tc>
        <w:tc>
          <w:tcPr>
            <w:tcW w:w="1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FF0FC"/>
            </w:tcBorders>
            <w:shd w:val="clear" w:color="auto" w:fill="CFF0FC"/>
          </w:tcPr>
          <w:p>
            <w:pPr>
              <w:spacing w:after="0"/>
              <w:rPr>
                <w:sz w:val="21"/>
                <w:szCs w:val="21"/>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derivative (gains) losses, before tax</w:t>
            </w:r>
          </w:p>
        </w:tc>
        <w:tc>
          <w:tcPr>
            <w:tcW w:w="640" w:type="dxa"/>
            <w:vAlign w:val="bottom"/>
            <w:tcBorders>
              <w:bottom w:val="single" w:sz="8" w:color="CFF0FC"/>
            </w:tcBorders>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FF0FC"/>
            </w:tcBorders>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FF0FC"/>
            </w:tcBorders>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0" w:type="dxa"/>
            <w:vAlign w:val="bottom"/>
          </w:tcPr>
          <w:p>
            <w:pPr>
              <w:spacing w:after="0"/>
              <w:rPr>
                <w:sz w:val="1"/>
                <w:szCs w:val="1"/>
                <w:color w:val="auto"/>
              </w:rPr>
            </w:pPr>
          </w:p>
        </w:tc>
      </w:tr>
      <w:tr>
        <w:trPr>
          <w:trHeight w:val="243"/>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64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of tax</w:t>
            </w:r>
          </w:p>
        </w:tc>
        <w:tc>
          <w:tcPr>
            <w:tcW w:w="640" w:type="dxa"/>
            <w:vAlign w:val="bottom"/>
            <w:tcBorders>
              <w:bottom w:val="single" w:sz="8" w:color="CFF0FC"/>
            </w:tcBorders>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FF0FC"/>
            </w:tcBorders>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FF0FC"/>
            </w:tcBorders>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6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w:t>
            </w:r>
          </w:p>
        </w:tc>
        <w:tc>
          <w:tcPr>
            <w:tcW w:w="6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103</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-393700</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-393700</wp:posOffset>
            </wp:positionV>
            <wp:extent cx="596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-393700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-393700</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-1087755</wp:posOffset>
            </wp:positionV>
            <wp:extent cx="596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-1087755</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-1567815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-1567815</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-1567815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-1567815</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-2811145</wp:posOffset>
            </wp:positionV>
            <wp:extent cx="596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-2811145</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-2811145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-3308350</wp:posOffset>
            </wp:positionV>
            <wp:extent cx="60325"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-3308350</wp:posOffset>
            </wp:positionV>
            <wp:extent cx="60325"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-3522345</wp:posOffset>
            </wp:positionV>
            <wp:extent cx="596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-3522345</wp:posOffset>
            </wp:positionV>
            <wp:extent cx="603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comprehensive income (loss) attributable to minority shareholders: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20" w:type="dxa"/>
            <w:vAlign w:val="bottom"/>
            <w:gridSpan w:val="3"/>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1"/>
                <w:szCs w:val="21"/>
                <w:color w:val="auto"/>
              </w:rPr>
            </w:pPr>
          </w:p>
        </w:tc>
      </w:tr>
      <w:tr>
        <w:trPr>
          <w:trHeight w:val="37"/>
        </w:trPr>
        <w:tc>
          <w:tcPr>
            <w:tcW w:w="5440" w:type="dxa"/>
            <w:vAlign w:val="bottom"/>
            <w:tcBorders>
              <w:bottom w:val="single" w:sz="8" w:color="CFF0FC"/>
            </w:tcBorders>
          </w:tcPr>
          <w:p>
            <w:pPr>
              <w:spacing w:after="0"/>
              <w:rPr>
                <w:sz w:val="3"/>
                <w:szCs w:val="3"/>
                <w:color w:val="auto"/>
              </w:rPr>
            </w:pPr>
          </w:p>
        </w:tc>
        <w:tc>
          <w:tcPr>
            <w:tcW w:w="240" w:type="dxa"/>
            <w:vAlign w:val="bottom"/>
            <w:tcBorders>
              <w:bottom w:val="single" w:sz="8" w:color="CFF0FC"/>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Minority Shareholders</w:t>
            </w:r>
          </w:p>
        </w:tc>
        <w:tc>
          <w:tcPr>
            <w:tcW w:w="1100" w:type="dxa"/>
            <w:vAlign w:val="bottom"/>
            <w:tcBorders>
              <w:bottom w:val="single" w:sz="8" w:color="CFF0FC"/>
            </w:tcBorders>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center"/>
              <w:ind w:left="514"/>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center"/>
              <w:ind w:left="554"/>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3"/>
                <w:szCs w:val="23"/>
                <w:color w:val="auto"/>
              </w:rPr>
            </w:pP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Pr>
          <w:p>
            <w:pPr>
              <w:spacing w:after="0"/>
              <w:rPr>
                <w:sz w:val="20"/>
                <w:szCs w:val="20"/>
                <w:color w:val="auto"/>
              </w:rPr>
            </w:pPr>
          </w:p>
        </w:tc>
        <w:tc>
          <w:tcPr>
            <w:tcW w:w="86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jc w:val="center"/>
              <w:ind w:left="554"/>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20"/>
                <w:szCs w:val="20"/>
                <w:color w:val="auto"/>
              </w:rPr>
            </w:pPr>
          </w:p>
        </w:tc>
      </w:tr>
      <w:tr>
        <w:trPr>
          <w:trHeight w:val="27"/>
        </w:trPr>
        <w:tc>
          <w:tcPr>
            <w:tcW w:w="544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Minority Shareholders</w:t>
            </w:r>
          </w:p>
        </w:tc>
        <w:tc>
          <w:tcPr>
            <w:tcW w:w="1100" w:type="dxa"/>
            <w:vAlign w:val="bottom"/>
            <w:tcBorders>
              <w:bottom w:val="single" w:sz="8" w:color="CFF0FC"/>
            </w:tcBorders>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FF0FC"/>
            </w:tcBorders>
            <w:shd w:val="clear" w:color="auto" w:fill="CFF0FC"/>
          </w:tcPr>
          <w:p>
            <w:pPr>
              <w:jc w:val="center"/>
              <w:ind w:left="514"/>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Pr>
          <w:p>
            <w:pPr>
              <w:spacing w:after="0"/>
              <w:rPr>
                <w:sz w:val="24"/>
                <w:szCs w:val="24"/>
                <w:color w:val="auto"/>
              </w:rPr>
            </w:pPr>
          </w:p>
        </w:tc>
      </w:tr>
      <w:tr>
        <w:trPr>
          <w:trHeight w:val="20"/>
        </w:trPr>
        <w:tc>
          <w:tcPr>
            <w:tcW w:w="54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03"/>
        </w:trPr>
        <w:tc>
          <w:tcPr>
            <w:tcW w:w="5440" w:type="dxa"/>
            <w:vAlign w:val="bottom"/>
          </w:tcPr>
          <w:p>
            <w:pPr>
              <w:spacing w:after="0"/>
              <w:rPr>
                <w:sz w:val="24"/>
                <w:szCs w:val="24"/>
                <w:color w:val="auto"/>
              </w:rPr>
            </w:pPr>
          </w:p>
        </w:tc>
        <w:tc>
          <w:tcPr>
            <w:tcW w:w="1100" w:type="dxa"/>
            <w:vAlign w:val="bottom"/>
            <w:gridSpan w:val="2"/>
          </w:tcPr>
          <w:p>
            <w:pPr>
              <w:jc w:val="right"/>
              <w:ind w:right="739"/>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-582295</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-582295</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-762000</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-1464945</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-1464945</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16. REVISION OF PREVIOUSLY ISSUED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 1, in preparing the consolidated financial statements as of and for the three and nine months ended September 30, 2025, we identified errors in our previously issued financial statements related to our historical computation of currency remeasurement of our foreign operations in Turkey, which was designated as a highly inflationary economy beginning April 1, 2022. The identified errors impacted our previously issued 2022, 2023 and 2024 annual and interim financial statements. There were no impacts on previously reported cash flows from operating, investing and financing activities in any prior periods.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evaluated the errors in accordance with SEC Staff Accounting Bulletin Nos. 99 and 108 and determined that the related impacts were not material in any previously issued annual or interim financial statements. We revised the prior period amounts presented in these financial statements to correct the errors. The applicable notes to the accompanying financial statements have also been corrected to reflect the impact of the revisions of the previously filed consolidated interim financial statements.</w:t>
      </w:r>
    </w:p>
    <w:p>
      <w:pPr>
        <w:spacing w:after="0" w:line="72" w:lineRule="exact"/>
        <w:rPr>
          <w:sz w:val="20"/>
          <w:szCs w:val="20"/>
          <w:color w:val="auto"/>
        </w:rPr>
      </w:pPr>
    </w:p>
    <w:p>
      <w:pPr>
        <w:ind w:right="1280"/>
        <w:spacing w:after="0" w:line="405" w:lineRule="auto"/>
        <w:rPr>
          <w:sz w:val="20"/>
          <w:szCs w:val="20"/>
          <w:color w:val="auto"/>
        </w:rPr>
      </w:pPr>
      <w:r>
        <w:rPr>
          <w:rFonts w:ascii="Times New Roman" w:cs="Times New Roman" w:eastAsia="Times New Roman" w:hAnsi="Times New Roman"/>
          <w:sz w:val="18"/>
          <w:szCs w:val="18"/>
          <w:color w:val="auto"/>
        </w:rPr>
        <w:t xml:space="preserve">The following tables reflect the impact of the revision to the specific line items presented in our previously reported financial information. </w:t>
      </w:r>
      <w:r>
        <w:rPr>
          <w:rFonts w:ascii="Times New Roman" w:cs="Times New Roman" w:eastAsia="Times New Roman" w:hAnsi="Times New Roman"/>
          <w:sz w:val="18"/>
          <w:szCs w:val="18"/>
          <w:i w:val="1"/>
          <w:iCs w:val="1"/>
          <w:u w:val="single" w:color="auto"/>
          <w:color w:val="auto"/>
        </w:rPr>
        <w:t>Impacts to Consolidated Statements of Operations and Comprehensive Income (in millions, except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6"/>
          </w:tcPr>
          <w:p>
            <w:pPr>
              <w:ind w:left="3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140" w:type="dxa"/>
            <w:vAlign w:val="bottom"/>
          </w:tcPr>
          <w:p>
            <w:pPr>
              <w:spacing w:after="0"/>
              <w:rPr>
                <w:sz w:val="14"/>
                <w:szCs w:val="14"/>
                <w:color w:val="auto"/>
              </w:rPr>
            </w:pPr>
          </w:p>
        </w:tc>
        <w:tc>
          <w:tcPr>
            <w:tcW w:w="2900" w:type="dxa"/>
            <w:vAlign w:val="bottom"/>
            <w:gridSpan w:val="5"/>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r>
      <w:tr>
        <w:trPr>
          <w:trHeight w:val="203"/>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As Reported</w:t>
            </w:r>
          </w:p>
        </w:tc>
        <w:tc>
          <w:tcPr>
            <w:tcW w:w="180" w:type="dxa"/>
            <w:vAlign w:val="bottom"/>
          </w:tcPr>
          <w:p>
            <w:pPr>
              <w:spacing w:after="0"/>
              <w:rPr>
                <w:sz w:val="17"/>
                <w:szCs w:val="17"/>
                <w:color w:val="auto"/>
              </w:rPr>
            </w:pPr>
          </w:p>
        </w:tc>
        <w:tc>
          <w:tcPr>
            <w:tcW w:w="84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Revision</w:t>
            </w:r>
          </w:p>
        </w:tc>
        <w:tc>
          <w:tcPr>
            <w:tcW w:w="14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As Revised</w:t>
            </w:r>
          </w:p>
        </w:tc>
        <w:tc>
          <w:tcPr>
            <w:tcW w:w="140" w:type="dxa"/>
            <w:vAlign w:val="bottom"/>
          </w:tcPr>
          <w:p>
            <w:pPr>
              <w:spacing w:after="0"/>
              <w:rPr>
                <w:sz w:val="17"/>
                <w:szCs w:val="17"/>
                <w:color w:val="auto"/>
              </w:rPr>
            </w:pPr>
          </w:p>
        </w:tc>
        <w:tc>
          <w:tcPr>
            <w:tcW w:w="8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As Reported</w:t>
            </w:r>
          </w:p>
        </w:tc>
        <w:tc>
          <w:tcPr>
            <w:tcW w:w="180" w:type="dxa"/>
            <w:vAlign w:val="bottom"/>
          </w:tcPr>
          <w:p>
            <w:pPr>
              <w:spacing w:after="0"/>
              <w:rPr>
                <w:sz w:val="17"/>
                <w:szCs w:val="17"/>
                <w:color w:val="auto"/>
              </w:rPr>
            </w:pPr>
          </w:p>
        </w:tc>
        <w:tc>
          <w:tcPr>
            <w:tcW w:w="82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Revision</w:t>
            </w:r>
          </w:p>
        </w:tc>
        <w:tc>
          <w:tcPr>
            <w:tcW w:w="160" w:type="dxa"/>
            <w:vAlign w:val="bottom"/>
          </w:tcPr>
          <w:p>
            <w:pPr>
              <w:spacing w:after="0"/>
              <w:rPr>
                <w:sz w:val="17"/>
                <w:szCs w:val="17"/>
                <w:color w:val="auto"/>
              </w:rPr>
            </w:pPr>
          </w:p>
        </w:tc>
        <w:tc>
          <w:tcPr>
            <w:tcW w:w="8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As Revised</w:t>
            </w:r>
          </w:p>
        </w:tc>
      </w:tr>
      <w:tr>
        <w:trPr>
          <w:trHeight w:val="29"/>
        </w:trPr>
        <w:tc>
          <w:tcPr>
            <w:tcW w:w="5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6"/>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11,218</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3,881</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3,882</w:t>
            </w:r>
          </w:p>
        </w:tc>
      </w:tr>
      <w:tr>
        <w:trPr>
          <w:trHeight w:val="203"/>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Other Expense </w:t>
            </w:r>
            <w:r>
              <w:rPr>
                <w:rFonts w:ascii="Times New Roman" w:cs="Times New Roman" w:eastAsia="Times New Roman" w:hAnsi="Times New Roman"/>
                <w:sz w:val="16"/>
                <w:szCs w:val="16"/>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83"/>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73"/>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Minority Shareholders’ 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9"/>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Goodyear 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73"/>
        </w:trPr>
        <w:tc>
          <w:tcPr>
            <w:tcW w:w="5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Comprehensive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29"/>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Comprehensive Income (Loss) Attributable to Minority Shareholders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73"/>
        </w:trPr>
        <w:tc>
          <w:tcPr>
            <w:tcW w:w="5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Goodyear Comprehensive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29"/>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EPS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w:t>
            </w:r>
          </w:p>
        </w:tc>
      </w:tr>
      <w:tr>
        <w:trPr>
          <w:trHeight w:val="173"/>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 EPS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23430" cy="2228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23430" cy="222885"/>
                    </a:xfrm>
                    <a:prstGeom prst="rect">
                      <a:avLst/>
                    </a:prstGeom>
                    <a:noFill/>
                  </pic:spPr>
                </pic:pic>
              </a:graphicData>
            </a:graphic>
          </wp:anchor>
        </w:drawing>
      </w:r>
    </w:p>
    <w:p>
      <w:pPr>
        <w:spacing w:after="0" w:line="18" w:lineRule="exact"/>
        <w:rPr>
          <w:sz w:val="20"/>
          <w:szCs w:val="20"/>
          <w:color w:val="auto"/>
        </w:rPr>
      </w:pPr>
    </w:p>
    <w:p>
      <w:pPr>
        <w:ind w:left="20" w:right="320" w:firstLine="6"/>
        <w:spacing w:after="0" w:line="243" w:lineRule="auto"/>
        <w:tabs>
          <w:tab w:leader="none" w:pos="147" w:val="left"/>
        </w:tabs>
        <w:numPr>
          <w:ilvl w:val="0"/>
          <w:numId w:val="1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Other Expense also reflects the reclassification of Net (Gain) Loss on Asset Sales of $(1) million for the three months ended September 30, 2024 and $(95) million for the nine months ended September 30, 2024, to conform to the current presentation.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Impacts to Consolidated Balance Sheets and Statements of Shareholders' Equity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3"/>
        </w:trPr>
        <w:tc>
          <w:tcPr>
            <w:tcW w:w="7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As Reported</w:t>
            </w:r>
          </w:p>
        </w:tc>
        <w:tc>
          <w:tcPr>
            <w:tcW w:w="140" w:type="dxa"/>
            <w:vAlign w:val="bottom"/>
          </w:tcPr>
          <w:p>
            <w:pPr>
              <w:spacing w:after="0"/>
              <w:rPr>
                <w:sz w:val="17"/>
                <w:szCs w:val="17"/>
                <w:color w:val="auto"/>
              </w:rPr>
            </w:pPr>
          </w:p>
        </w:tc>
        <w:tc>
          <w:tcPr>
            <w:tcW w:w="120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Revision</w:t>
            </w:r>
          </w:p>
        </w:tc>
        <w:tc>
          <w:tcPr>
            <w:tcW w:w="220" w:type="dxa"/>
            <w:vAlign w:val="bottom"/>
          </w:tcPr>
          <w:p>
            <w:pPr>
              <w:spacing w:after="0"/>
              <w:rPr>
                <w:sz w:val="17"/>
                <w:szCs w:val="17"/>
                <w:color w:val="auto"/>
              </w:rPr>
            </w:pPr>
          </w:p>
        </w:tc>
        <w:tc>
          <w:tcPr>
            <w:tcW w:w="11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As Revised</w:t>
            </w:r>
          </w:p>
        </w:tc>
      </w:tr>
      <w:tr>
        <w:trPr>
          <w:trHeight w:val="30"/>
        </w:trPr>
        <w:tc>
          <w:tcPr>
            <w:tcW w:w="7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6"/>
        </w:trPr>
        <w:tc>
          <w:tcPr>
            <w:tcW w:w="7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Inventories</w:t>
            </w: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3,554</w:t>
            </w:r>
          </w:p>
        </w:tc>
      </w:tr>
      <w:tr>
        <w:trPr>
          <w:trHeight w:val="173"/>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Current Assets</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7,589</w:t>
            </w:r>
          </w:p>
        </w:tc>
      </w:tr>
      <w:tr>
        <w:trPr>
          <w:trHeight w:val="30"/>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3"/>
        </w:trPr>
        <w:tc>
          <w:tcPr>
            <w:tcW w:w="7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Assets</w:t>
            </w: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20,964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20,921</w:t>
            </w:r>
          </w:p>
        </w:tc>
      </w:tr>
      <w:tr>
        <w:trPr>
          <w:trHeight w:val="173"/>
        </w:trPr>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Payable — Trade</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4,092</w:t>
            </w:r>
          </w:p>
        </w:tc>
      </w:tr>
      <w:tr>
        <w:trPr>
          <w:trHeight w:val="30"/>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3"/>
        </w:trPr>
        <w:tc>
          <w:tcPr>
            <w:tcW w:w="7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7,377</w:t>
            </w:r>
          </w:p>
        </w:tc>
      </w:tr>
      <w:tr>
        <w:trPr>
          <w:trHeight w:val="173"/>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Liabilities</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16,098</w:t>
            </w:r>
          </w:p>
        </w:tc>
      </w:tr>
      <w:tr>
        <w:trPr>
          <w:trHeight w:val="30"/>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3"/>
        </w:trPr>
        <w:tc>
          <w:tcPr>
            <w:tcW w:w="7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Retained Earnings</w:t>
            </w: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5,081</w:t>
            </w:r>
          </w:p>
        </w:tc>
      </w:tr>
      <w:tr>
        <w:trPr>
          <w:trHeight w:val="173"/>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Goodyear Shareholders' Equity</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4,681</w:t>
            </w:r>
          </w:p>
        </w:tc>
      </w:tr>
      <w:tr>
        <w:trPr>
          <w:trHeight w:val="30"/>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3"/>
        </w:trPr>
        <w:tc>
          <w:tcPr>
            <w:tcW w:w="7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Minority Shareholders' Equity</w:t>
            </w: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r>
      <w:tr>
        <w:trPr>
          <w:trHeight w:val="173"/>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4,823</w:t>
            </w:r>
          </w:p>
        </w:tc>
      </w:tr>
      <w:tr>
        <w:trPr>
          <w:trHeight w:val="30"/>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73"/>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Liabilities and Shareholders' Equity</w:t>
            </w: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20,921</w:t>
            </w:r>
          </w:p>
        </w:tc>
      </w:tr>
      <w:tr>
        <w:trPr>
          <w:trHeight w:val="30"/>
        </w:trPr>
        <w:tc>
          <w:tcPr>
            <w:tcW w:w="7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180"/>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color w:val="auto"/>
        </w:rPr>
        <w:t xml:space="preserve">All per share amounts are diluted and refer to Goodyear net income (loss). </w:t>
      </w:r>
      <w:r>
        <w:rPr>
          <w:rFonts w:ascii="Times New Roman" w:cs="Times New Roman" w:eastAsia="Times New Roman" w:hAnsi="Times New Roman"/>
          <w:sz w:val="18"/>
          <w:szCs w:val="18"/>
          <w:b w:val="1"/>
          <w:bCs w:val="1"/>
          <w:u w:val="single" w:color="auto"/>
          <w:color w:val="auto"/>
        </w:rPr>
        <w:t>OVERVIEW</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Goodyear Tire &amp; Rubber Company (the "Company," "Goodyear," "we," "us" or "our") is one of the world’s leading manufacturers of tires, with one of the most recognizable brand names in the world and operations in most regions of the world. We have a broad global footprint with 51 manufacturing facilities in 19 countries, including the United States. We operate our business through three operating segments representing our regional tire businesses: Americas; Europe, Middle East and Africa (“EMEA”); and Asia Pacific.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Results of Operations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15, 2023, we announced a transformation plan, Goodyear Forward, that is intended to optimize our portfolio of products, deliver segment operating margin expansion and reduce our leverage in order to drive sustainable, long-term shareholder value creation. Optimization of our portfolio consisted of a strategic review of three major asset groups: our chemical operations which produces synthetic rubber and other chemical products in our Americas segment, the Dunlop brand for which we own rights in certain markets throughout the world, but is primarily used in our EMEA segment, and our global off-the-road ("OTR") tire business. Our plans for margin expansion include brand optimization and tiering to capitalize on premium tire pricing and volume and a reduction of our overall exposure related to lower-tiered products either through margin expansion or product line rationalization, resulting in an expected annual run-rate benefit of approximately $200 million by the end of 2025. Our plans for margin expansion also include a reduction of our cost structure by approximately $1.3 billion by the end of 2025, including actions related to our manufacturing footprint, plant optimization, further improvement of our purchasing leverage, reduction of Selling, Administrative and General expenses (“SAG”) and improvements in our supply chain planning and logistics. During the nine months ended September 30, 2025, the Goodyear Forward plan provided $580 million in benefits to segment operating income.</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3, 2025, we completed the sale of our OTR tire business to The Yokohama Rubber Company, Limited (“Yokohama”) pursuant to the terms of the Share and Asset Purchase Agreement, dated as of July 22, 2024 (the “OTR Purchase Agreement”). Yokohama acquired our OTR tire business for a purchase price of $905 million in cash, subject to certain adjustments set forth in the OTR Purchase Agreement. In conjunction with the sale of the OTR tire business, we entered into several ancillary agreements, including a trademark license agreement, whereby we license certain trademarks to Yokohama for an initial period of ten years from the date of the sale, and a product supply agreement, pursuant to which we will supply to Yokohama certain OTR tires for an initial period of up to five years, subject to the terms and conditions set forth therein, including an exit and asset relocation plan to be mutually agreed upon by the parties pursuant to which, beginning no earlier than the second anniversary of closing of the transaction, the production of those OTR tires will transition to Yokohama’s facilities. The cash received of $905 million included $185 million for deferred amounts related to the trademark license and product supply agreements that are presented in operating activities and $720 million for proceeds that are presented in investing activities on our Consolidated Statements of Cash Flows.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7, 2025, we completed the sale of our rights to the Dunlop brand in Europe, North America and Oceania for consumer, commercial and other specialty tires, together with certain associated intellectual property and other intangible assets, for a purchase price of $526 million to Sumitomo Rubber Industries, Ltd. ("SRI") pursuant to the terms of the Purchase Agreement, dated as of January 7, 2025 (as amended, the "Dunlop Purchase Agreement"). SRI also paid us an up-front transition support fee of $105 million for our support in transitioning the Dunlop brand, related intellectual property and Dunlop customers to SRI. SRI also acquired our existing Dunlop tire inventory for approximately $104 million. We also entered into a number of ancillary agreements, including (a) a transition license agreement, pursuant to which we will continue to manufacture, sell and distribute Dunlop-branded consumer tires in Europe from the closing of the transaction until December 31, 2025, and during which we will pay SRI a royalty on such Dunlop sales; (b) a transition offtake agreement, pursuant to which we will sell to SRI certain Dunlop-branded consumer tire products for a period of up to five years, commencing after termination or expiration of the transition license agreement; and (c) we will license back the Dunlop brand from SRI for commercial tires in Europe on a long-term basis, subject to a royalty on sales.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transaction, we received gross proceeds of $735 million at closing for the Dunlop brand, related intellectual property and other intangible assets, the transition support fee and the tire inventory. We allocated $105 million of those proceeds related to the up-front transition support fee to deferred income, which will be recognized over the combined lives of the transition license and transition offtake agreements. We also allocated $86 million of those proceeds to deferred income for tire inventory in Europe that will not transfer ownership until the termination of the transition license agreement. The deferred amounts related to the transition agreements and inventory are presented in operating activities and the $526 million purchase price is presented in investing activities on our Consolidated Statements of Cash Flows.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31, 2025, we completed the $650 million sale of our polymer chemicals business (the “Chemical Business”) pursuant to the Asset Purchase Agreement (the “Chemical Purchase Agreement”) with G-3 Chickadee Purchaser, LLC, a Delaware limited liability company (the “Purchaser”). At the closing, we received gross cash proceeds of approximately $580 million, which reflects working capital adjustments, including an adjustment for intercompany receivables. The purchase price remains subject to customary post-closing adjustments as set forth in the Chemical Purchase Agreement. The assets acquired and the liabilities assumed by the Purchaser are generally those primarily related to the Chemical Business, including our chemical plants in Houston, Texas and Beaumont, Texas and a research and development facility in Akron, Ohio.</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conjunction with the sale of the Chemical Business, we also entered into a number of ancillary agreements including (a) a master supply agreement, pursuant to which the Purchaser will, or will cause its affiliates to, supply to us certain polymer chemical products for a period of fifteen (15) years, (b) a transition services agreement, pursuant to which we will provide certain transition services to the Purchaser for the Chemical Business for a period of up to eighteen (18) months, and (c) a patent and know-how license agreement, pursuant to which the Purchaser will license back to us certain intellectual property related to the Chemical Business for use in connection with certain retained businesses. As a result of the transaction, considering the purchase price and related adjustments, amounts allocated to deferred revenue and transaction costs, and based upon the net assets of the Chemical Business as of September 30, 2025, we estimate we will record a pre-tax gain of approximately $135 million during the fourth quarter of 2025.</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results for the third quarter of 2025 include a 5.9% decrease in tire unit sales compared to 2024 due to lower global tire volume. In the third quarter of 2025, we experienced approximately $51 million of inflationary cost pressures.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third quarter of 2025 were $4,645 million, compared to $4,824 million in the third quarter of 2024. Net sales decreased in 2025 primarily due to lower global tire volume and the impacts of our divestitures, primarily the sale of the OTR tire business. These decreases were partially offset by global increases in price and product mix, the positive impact of changes in foreign exchange rates and benefits from the Goodyear Forward plan.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of 2025, Goodyear net loss was $2,195 million, or $7.62 per share, compared to Goodyear net loss of $37 million, or $0.13 per share, in the third quarter of 2024. The change in Goodyear net loss was primarily due to the change in U.S. and Foreign Tax Expense, primarily related to the establishment of a full valuation allowance on our net deferred tax assets in the U.S., a non-cash goodwill impairment charge and pension settlement charges.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segment operating income for the third quarter of 2025 was $287 million, compared to $346 million in the third quarter of 2024. The $59 million decrease was primarily due to increased conversion costs of $110 million, driven by inflation, higher raw material costs of $81 million, higher SAG of $51 million when excluding Goodyear Forward savings, lower tire volume of $50 million, higher other costs of $39 million, primarily related to tariffs and inflation, and the impact of the sale of the OTR tire business of $16 million. These decreases were partially offset by benefits from the Goodyear Forward plan of $185 million and benefits from price and product mix of $100 million. Refer to "Results of Operations — Segment Information" for additional information.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first nine months of 2025 were $13,363 million, compared to $13,931 million in the first nine months of 2024. Net sales decreased in 2025 primarily due to lower global tire volume, the impacts of our divestitures, primarily the sale of the OTR tire business, and the negative impact of changes in foreign exchange rates. These decreases were partially offset by favorable price and product mix, higher sales in other tire-related businesses, primarily due to growth in Fleet Solutions in EMEA and higher aviation sales in Americas, and benefits from the Goodyear Forward plan.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nine months of 2025, Goodyear net loss was $1,826 million, or $6.35 per share, compared to Goodyear net loss of $27 million, or $0.09 per share, in the first nine months of 2024. The change in Goodyear net loss was primarily due to the change in U.S. and Foreign Tax Expense, primarily related the establishment of a full valuation allowance on our net deferred tax assets in the U.S., a non-cash goodwill impairment charge and lower segment operating income, partially offset by gains on the sales of the OTR tire business and the Dunlop brand.</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segment operating income for the first nine months of 2025 was $641 million, compared to $920 million in the first nine months of 2024. The $279 million decrease was primarily due to higher raw material costs of $433 million, increased conversion costs of $215 million, driven by inflation, higher SAG of $147 million when excluding Goodyear Forward savings, increased tariffs and inflation of $123 million, lower tire volume of $120 million, the impact of the sale of the OTR tire business of $45 million, and the negative impact of changes in foreign exchange rates of $10 million. These decreases were partially offset by benefits from the Goodyear Forward plan of $580 million and global improvements in price and product mix of $259 million. Refer to "Results of Operations —Segment Information"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19, 2025, we redeemed our remaining $500 million 9.5% senior notes due 2025 at a redemption price equal to 100% of the principal amount redeemed plus accrued and unpaid interest.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19, 2025, we amended and restated our first lien revolving credit facility. The principal change to the facility was the extension of its maturity from 2026 to 2030.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 2025, we issued $500 million in aggregate principal amount of 6.625% senior notes due 2030.</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2025, we redeemed $400 million and, on July 3, 2025, we redeemed the remaining $500 million of our 5% senior notes due 2026 at redemption prices equal to 100% of the principal amount redeemed plus accrued and unpaid interest, using the net proceeds from the 6.625% senior notes due 2030, together with cash and cash equivalents.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September 30, 2025, we had $810 million of cash and cash equivalents as well as $2,547 million of unused availability under our various credit agreements, compared to $810 million and $3,555 million, respectively, at December 31, 2024. Net cash provided by investing activities was $663 million, primarily representing proceeds from the sales of the OTR tire business and the Dunlop brand, as well as other asset dispositions, of $1,332 million, partially offset by capital expenditures of $649 million, and net cash provided by financing activities was $92 million, primarily due to net borrowings of $97 million, partially offset by net cash used for operating activities of $716 million, reflecting the Company's cash used for working capital of $1,210 million and the Company's net loss of $1,798 million for the period, which reflected significant non-cash items of $1,345 million for provision for deferred income taxes, goodwill impairment of $674 million, and net gains on asset sales of $700 million. Refer to "Liquidity and Capital Resources"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Outlook</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fourth quarter of 2025, we expect our global tire unit volume to decline approximately 4% compared to the fourth quarter of 2024, driven by lower consumer replacement volume due to high channel inventories in the U.S. and the European Union.</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raw material costs to decrease approximately $5 million in the fourth quarter of 2025 compared to the fourth quarter of 2024. In addition, we expect to benefit from approximately $135 million of price and product mix improvements, driven by previously implemented pricing actions and customer contracts indexed to changes in raw materials. Natural and synthetic rubber prices and other commodity prices historically have been volatile, and our raw materials costs could change based on future cost fluctuations and changes in foreign exchange rates. We continue to focus on price and product mix, to substitute lower cost materials where possible, to identify additional substitution opportunities, to reduce the amount of material required in each tire, and to pursue alternative raw materials to minimize the impact of higher raw material costs.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complete our Goodyear Forward transformation plan in 2025, with fourth quarter benefits from the program of approximately $180 million and full year benefits of approximately $750 million in segment operating income.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non-raw material inflation, tariffs and other costs to be approximately $190 million higher in the fourth quarter of 2025 compared to the fourth quarter of 2024, driven by a global inflation rate of approximately 3% and U.S. tariff impacts. We now expect annualized tariff costs of approximately $300 million on finished goods and raw materials. We continue to focus on actions to offset costs other than raw materials through cost savings initiatives, including initiatives related to the Goodyear Forward plan, rationalization actions and improvements in price and product mix.</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full year of 2025, we expect working capital to be a use of cash of approximately $150 million and our capital expenditures to be approximately $875 million. We estimate our rationalization payments to be approximately $450 million, as we continue to take actions to improve our cost structure.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"Item 1A. Risk Factors" in the 2024 Form 10-K for a discussion of the factors that may impact our business, results of operations, financial condition or liquidity and "Forward-Looking Information — Safe Harbor Statement" in this Quarterly Report on Form 10-Q for a discussion of our use of forward-looking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and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third quarter of 2025 were $4,645 million, decreasing $179 million, or 3.7%, from $4,824 million in the third quarter of 2024. Goodyear net loss was $2,195 million, or $7.62 per share, in the third quarter of 2025, compared to Goodyear net loss of $37 million, or $0.13 per share, in the third quarter of 2024.</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decreased in the third quarter of 2025 primarily due to lower global tire volume of $227 million, the impact of the sale of the OTR tire business of $140 million, excluding product supply agreement revenue of $65 million, and the impact of the sale of the Dunlop brand of $8 million. These decreases were partially offset by global improvements in price and product mix of $61 million, the positive impact of changes in foreign exchange rates of $61 million, primarily in EMEA, and benefits from the Goodyear Forward plan of $16 million.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Worldwide tire unit sales in the third quarter of 2025 were 40.0 million units, decreasing 2.5 million units, or 5.9%, from 42.5 million units in the third quarter of 2024. Replacement tire volume decreased globally by 2.6 million units, or 8.5%. OE tire volume increased by 0.1 million units, or 1.2%, driven by EMEA.</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Goods Sold ("CGS") in the third quarter of 2025 was $3,801 million, decreasing $81 million, or 2.1%, from $3,882 million in the third quarter of 2024. CGS decreased primarily due to lower tire volume of $177 million, savings related to the Goodyear Forward plan of $132 million and benefits related to divestitures, primarily the sale of the OTR tire business, of $59 million. These decreases were partially offset by higher conversion costs of $110 million, higher raw material costs of $81 million, foreign currency translation of $44 million and an increase in asset write-offs, accelerated depreciation and accelerated lease charges of $32 million. CGS in the third quarter of 2024 included a benefit of $20 million ($15 million after-tax and minority) from insurance proceeds for property damage and business interruptions resulting from storm damage events in prior years and $3 million ($2 million after-tax and minority) as a result of the Debica fire, primarily comprised of repair costs.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CGS in the third quarter of 2025 and 2024 included pension expense of $3 million and $4 million, respectively. CGS in the third quarter of 2025 included $11 million of incremental savings from rationalization plans. CGS was 81.8% of sales in the third quarter of 2025, compared to 80.5% in the third quarter of 2024.</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SAG in the third quarter of 2025 was $676 million, increasing $13 million, or 2.0%, from $663 million in the third quarter of 2024. SAG increased primarily due to $31 million related to inflation and wages and benefits, $27 million of other costs including claims reserves, foreign currency translation of $10 million and increased advertising costs of $4 million. These increases were partially offset by savings related to the Goodyear Forward plan of $36 million, benefits related to divestitures, primarily the sale of the OTR tire business, of $9 million, and a decrease in accelerated lease costs and asset write-offs of $3 million. SAG in the third quarter of 2025 also included costs related to the Goodyear Forward plan of $4 million ($4 million after-tax and minority), compared to $14 million ($11 million after-tax and minority) in the third quarter of 2024, primarily related to third-party advisory, legal and consulting fees and costs associated with planned asset sales.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SAG in the third quarter of 2025 and 2024 included pension expense of $2 million and $3 million, respectively. SAG in the third quarter of 2025 included $6 million of incremental savings from rationalization plans. SAG was 14.6% of sales in the third quarter of 2025, compared to 13.7% in the third quarter of 2024.</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goodwill impairment charge of $674 million ($674 million after-tax and minority) in the third quarter of 2025 related to our North America reporting unit. We recorded an intangible asset impairment charge of $125 million ($94 million after-tax and minority) in the third quarter of 2024 primarily related to our lower tier indefinite-lived intangible assets related to the acquisition of Cooper Tire.</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recorded net rationalization charges of $21 million ($21 million after-tax and minority) in the third quarter of 2025 and $11 million ($9 million after-tax and minority) in the third quarter of 2024. Net rationalization charges in the third quarter of 2025 primarily related to the plan to close our manufacturing facility in Kariega, South Africa ("Kariega"), the elimination of commercial tire production at our Danville, Virginia tire manufacturing facility ("Danville"), the closures of our Fulda, Germany tire manufacturing facility (“Fulda”) and our Fürstenwalde, Germany tire manufacturing facility (“Fürstenwalde”), and the plan to reduce SAG headcount in Americas and Corporate. Net rationalization charges in the third quarter of 2024 primarily related to a reduction in headcount in Americas, partially offset by reversals primarily related to our rationalization and workforce reorganization plan in EMEA due to voluntary attrition. For further information, refer to Note to the Consolidated Financial Statements No. 4, Costs Associated with Rationalization Programs.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CGS and SAG in the third quarter of 2025 included $55 million ($55 million after-tax and minority) of asset write-offs, accelerated depreciation and accelerated lease charges, primarily related to the closures of Fulda and Fürstenwalde, the elimination of commercial tire production at Danville and the closure of Kariega. CGS and SAG in the third quarter of 2024 included $25 million ($23 million after-tax and minority) of asset write-offs, accelerated depreciation and accelerated lease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charges, primarily related to plans to improve our cost structure through announced closures of our Fulda, Fürstenwalde and Malaysia tire manufacturing facilities, as well as the closure of a development center and warehouse in the U.S.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 the third quarter of 2025 was $114 million, decreasing $21 million, or 15.6%, from $135 million in the third quarter of 2024. The average interest rate was 5.74% in the third quarter of 2025 compared to 6.17% in the third quarter of 2024. The average debt balance was $7,946 million in the third quarter of 2025 compared to $8,751 million in the third quarter of 2024.</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third quarter of 2025 included net losses on asset sales of $1 million ($1 million after-tax and minority), compared to net gains of $1 million in the third quarter of 2024.</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(Income) Expense in the third quarter of 2025 was $91 million of expense, compared to $36 million of expense in the third quarter of 2024. The change in Other (Income) Expense was primarily due to a pension settlement charge of $68 million ($68 million after-tax and minority), an increase in net foreign currency exchange losses of $6 million and a decrease in interest income of $5 million, partially offset by an increase in royalty and other income of $12 million. The third quarter of 2025 included transaction costs of $4 million ($4 million after-tax and minority), primarily related to the anticipated sale of the Chemical Business. The third quarter of 2024 included transaction costs of $11 million ($9 million after-tax and minority) related to the sale of the OTR business.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third quarter of 2025, we recorded income tax expense of $1,464 million on a loss before income taxes of $733 million. Income tax expense for the three months ended September 30, 2025 included net discrete tax expense of $1,450 million ($1,450 million after minority interest), primarily related to the establishment of a full valuation allowance on our net deferred tax assets in the U.S. In the third quarter of 2024, we recorded income tax expense of $9 million on a loss before income taxes of $27 million. Income tax expense for the three months ended September 30, 2024 includes net discrete tax expense of $7 million ($7 million after minority interest).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the three months ended September 30, 2025 was mainly impacted by the establishment of a full valuation allowance on our net deferred tax assets of $1.4 billion in the U.S. The difference between our effective tax rate and the U.S. statutory rate of 21% for the three months ended September 30, 2024 primarily related to losses in foreign jurisdictions in which no tax benefits were recorded.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refer to Note to the Consolidated Financial Statements No. 6, Income Taxes.</w:t>
      </w:r>
    </w:p>
    <w:p>
      <w:pPr>
        <w:spacing w:after="0" w:line="54" w:lineRule="exact"/>
        <w:rPr>
          <w:sz w:val="20"/>
          <w:szCs w:val="20"/>
          <w:color w:val="auto"/>
        </w:rPr>
      </w:pPr>
    </w:p>
    <w:p>
      <w:pPr>
        <w:ind w:right="400"/>
        <w:spacing w:after="0" w:line="375" w:lineRule="auto"/>
        <w:rPr>
          <w:sz w:val="20"/>
          <w:szCs w:val="20"/>
          <w:color w:val="auto"/>
        </w:rPr>
      </w:pPr>
      <w:r>
        <w:rPr>
          <w:rFonts w:ascii="Times New Roman" w:cs="Times New Roman" w:eastAsia="Times New Roman" w:hAnsi="Times New Roman"/>
          <w:sz w:val="18"/>
          <w:szCs w:val="18"/>
          <w:color w:val="auto"/>
        </w:rPr>
        <w:t xml:space="preserve">There was $2 million of minority shareholders’ net loss in the third quarter of 2025, compared to $1 million of net income in the third quarter of 2024. </w:t>
      </w:r>
      <w:r>
        <w:rPr>
          <w:rFonts w:ascii="Times New Roman" w:cs="Times New Roman" w:eastAsia="Times New Roman" w:hAnsi="Times New Roman"/>
          <w:sz w:val="18"/>
          <w:szCs w:val="18"/>
          <w:b w:val="1"/>
          <w:bCs w:val="1"/>
          <w:i w:val="1"/>
          <w:iCs w:val="1"/>
          <w:color w:val="auto"/>
        </w:rPr>
        <w:t>Nine Months Ended September 30, 2025 and 2024</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first nine months of 2025 were $13,363 million, decreasing $568 million, or 4.1%, from $13,931 million in the first nine months of 2024. Goodyear net loss was $1,826 million, or $6.35 per share, in the first nine months of 2025, compared to Goodyear net loss of $27 million, or $0.09 per share, in the first nine months of 2024.</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decreased in the first nine months of 2025 primarily due to lower tire volume of $540 million, the impact of the sale of the OTR tire business of $395 million, excluding product supply agreement revenue of $202 million, the negative impact of changes in foreign exchange rates of $88 million, primarily in Americas and Asia Pacific, and the impact of the sale of the Dunlop brand of $46 million. These decreases were partially offset by favorable price and product mix of $207 million, higher sales in other tire-related businesses of $49 million, primarily due to growth in Fleet Solutions in EMEA and higher aviation sales in Americas, and benefits from the Goodyear Forward plan of $45 million.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Worldwide tire unit sales in the first nine months of 2025 were 116.4 million units, decreasing 6.6 million units, or 5.4%, from 123.0 million units in the first nine months of 2024. Replacement tire volume decreased globally by 6.2 million units, or 7.0%. OE tire volume decreased by 0.4 million units, or 1.2%, driven by Asia Pacific.</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CGS in the first nine months of 2025 was $11,019 million, decreasing $212 million, or 1.9%, from $11,231 million in the first nine months of 2024. CGS decreased primarily due to savings related to the Goodyear Forward plan of $431 million, lower tire volume of $420 million, benefits related to divestitures, primarily the sale of the OTR tire business, of $154 million, and lower global product mix of $52 million. These decreases were partially offset by higher raw material costs of $433 million, higher conversion costs of $215 million, higher costs in other tire-related businesses of $51 million, primarily related Fleet Solutions in EMEA, an increase in asset write-offs, accelerated depreciation and accelerated lease charges of $38 million, primarily related to the closures of Fulda and Fürstenwalde, the elimination of commercial tire production at Danville and the closure of Kariega, and a benefit received in 2024 related to a reduction in U.S. duty rates on various commercial tires from China of $14 million. CGS in the first nine months of 2024 included a benefit of $39 million ($30 million after-tax and minority) from insurance proceeds for property damages and business interruptions resulting from storm damage events in prior years, a net benefit from insurance recoveries related to the Debica fire of $30 million ($17 million after-tax and minority), a favorable $8</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($6 million after-tax and minority) tax item in Brazil and a $3 million ($3 million after-tax and minority) charge related to a flood in South Africa.</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CGS in the first nine months of 2025 and 2024 included pension expense of $9 million and $11 million, respectively. CGS in the first nine months of 2025 included $19 million of incremental savings from rationalization plans. CGS was 82.5% of sales in the first nine months of 2025, compared to 80.6% in the first nine months of 2024.</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SAG in the first nine months of 2025 was $2,018 million, decreasing $72 million, or 3.4%, from $2,090 million in the first nine months of 2024. SAG decreased primarily due to savings related to the Goodyear Forward plan of $103 million, benefits related to divestitures, primarily the sale of the OTR tire business, of $38 million, a decrease in asset write-offs, accelerated depreciation and accelerated lease charges of $16 million and foreign currency translation of $8 million. These decreases were partially offset by an increase of $73 million related to inflation and wages and benefits, an increase in other costs of $65 million including claims reserves and increased advertising costs of $29 million. SAG in the first nine months of 2025 also included costs related to the Goodyear Forward plan of $9 million ($9 million after-tax and minority) compared to $81 million ($61 million after-tax and minority) in the first nine months of 2024, primarily related to third-party advisory, legal and consulting fees and costs associated with planned asset sales.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SAG in the first nine months of 2025 and 2024 included pension expense of $7 million and $9 million, respectively. SAG in the first nine months of 2025 included $25 million of incremental savings from rationalization plans. SAG was 15.1% of sales in the first nine months of 2025, compared to 15.0% in the first nine months of 2024.</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goodwill impairment charge of $674 million ($674 million after-tax and minority) in the first nine months of 2025 related to our North America reporting unit. We recorded an intangible asset impairment charge of $125 million ($94 million after-tax and minority) in the first nine months of 2024 primarily related to our lower tier indefinite-lived intangible assets related to the acquisition of Cooper Tire.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net rationalization charges of $161 million ($140 million after-tax and minority) in the first nine months of 2025 and $52 million ($40 million after-tax and minority) in the first nine months of 2024. Net rationalization charges in the first nine months of 2025 primarily related to the plan to close Kariega, the elimination of commercial tire production at Danville, the closures of Fulda and Fürstenwalde, and the plan to reduce SAG headcount in Americas and Corporate. Net rationalization charges in the first nine months of 2024 primarily related to the closures of our Malaysia, Melksham, Fulda and Fürstenwalde tire manufacturing facilities, as well as the closure of a development center and warehouse in the U.S., and the plan to open a new shared services center in Costa Rica, partially offset by reversals related to our rationalization and workforce reorganization plan in EMEA due to voluntary attrition. For further information, refer to Note to the Consolidated Financial Statements No. 4, Costs Associated with Rationalization Programs.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CGS and SAG in the first nine months of 2025 included $142 million ($131 million after-tax and minority) of asset write-offs, accelerated depreciation and accelerated lease charges, primarily related to the closures of Fulda and Fürstenwalde, the elimination of commercial tire production at Danville and the closure of Kariega. CGS and SAG in the first nine months of 2024 included $119 million ($101 million after-tax and minority) of asset write offs, accelerated depreciation and accelerated lease charges, primarily related to plant closures in Asia Pacific and EMEA, closure of a development center in the U.S. and the exit of our retail operations in Australia and New Zealand.</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 the first nine months of 2025 was $341 million, decreasing $50 million, or 12.8%, from $391 million in the first nine months of 2024. The average interest rate was 5.73% in the first nine months of 2025 compared to 6.24% in the first nine months of 2024. The average debt balance was $7,930 million in the first nine months of 2025 compared to $8,355 million in the first nine months of 2024.</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first nine months of 2025 include net gains on asset sales of $700 million ($628 million after-tax and minority), primarily due to an estimated gain of $385 million ($367 million after-tax and minority) on the sale of the Dunlop brand, an estimated gain of $255 million on the sale of the OTR tire business ($231 million after-tax and minority), and other asset sales of $60 million ($30 million after-tax and minority), compared to net gains on asset and other sales of $87 million ($61 million after-tax and minority) in the first nine months of 2024, primarily due to the sale of distribution centers in EMEA and Americas.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(Income) Expense in the first nine months of 2025 was $147 million of expense, compared to $95 million of expense in the first nine months of 2024. The change in Other (Income) Expense was primarily due to pension settlement charges of $72 million ($71 million after-tax and minority) in the first nine months of 2025 compared to a pension settlement credit of $5 million ($4 million after-tax and minority) in the first nine months of 2024, partially offset by an increase in royalty and other income of $27 million. The first nine months of 2025 included transaction costs of $10 million ($7 million after-tax and minority), primarily related to the sale of the Chemical Business, compared to transaction costs of $11 million ($9 million after-tax and minority) related to the sale of the OTR business in the first nine months of 2024. The first nine months of 2024 included a favorable $2 million ($1 million after-tax and minority) tax item in Brazil.</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first nine months of 2025, we recorded income tax expense of $1,501 million on a loss before income taxes of $297 million. Income tax expense for the nine months ended September 30, 2025 included net discrete tax expense of $1,446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($1,446 million after minority interest). Discrete tax expense was primarily related to the establishment of a full valuation allowance on our net deferred tax assets in the U.S.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nine months of 2024, we recorded income tax expense of $75 million on income before income taxes of $42 million. Income tax expense for the nine months ended September 30, 2024 included net discrete tax expense of $6 million ($6 million after minority interest).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the nine months ended September 30, 2025 was mainly impacted by the establishment of a full valuation allowance on our net deferred tax assets of $1.4 billion in the U.S. The difference between our effective tax rate and the U.S. statutory rate of 21% for the nine months ended September 30, 2024 primarily related to losses in foreign jurisdictions in which no tax benefits were recorded and the discrete items noted above.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U.S., we have a cumulative loss for the three-year period ending September 30, 2025 primarily driven by non-recurring items such as goodwill and intangible asset impairments, rationalization charges, pension curtailments and settlements, and one-time costs associated with the Goodyear Forward plan.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quarter ended September 30, 2025, due to industry disruption and various macroeconomic factors such as the impact of tariff, transportation, labor and energy costs, our U.S. operating results and future forecasted U.S. earnings have declined. In addition, the One Big Beautiful Bill Act ("OBBBA") was enacted in the third quarter, which reinstates the business interest expense limitation. The reduction in current and expected future earnings in the third quarter, as a result of industry disruption, represents significant negative evidence in the assessment of the realizability of our deferred tax assets. We concluded that as of September 30, 2025, it is more likely than not that our U.S. net deferred tax assets will not be fully realized and recorded a non-cash charge of $1.4 billion to establish a full valuation allowance in the U.S. We intend to maintain a valuation allowance until sufficient positive evidence exists to support realization of these deferred tax assets.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2025 and December 31, 2024, we had approximately $1.4 billion and $1.3 billion, respectively, of U.S. federal, state and local net deferred tax assets, and related valuation allowances totaling $1.4 billion and $26 million, respectively. As of September 30, 2025, approximately $1.2 billion of these U.S. net deferred tax assets had unlimited lives and approximately $200 million had limited lives, and the majority do not start to expire until 2030. As of December 31, 2024, approximately $1.1 billion of these U.S. net deferred tax assets had unlimited lives and approximately $200 million had limited lives, and the majority do not start to expire until 2030.</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September 30, 2025 and December 31, 2024, we also had approximately $1.6 billion and $1.5 billion, respectively, of foreign net deferred tax assets and related valuation allowances of approximately $1.3 billion and $1.2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$1.1 billion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foreign deferred tax assets having a significant impact on our financial position or results of operations will exist within the next twelve months.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OBBBA was enacted in the U.S. The OBBBA includes significant provisions, such as the permanent extension of certain expiring provisions of the Tax Cuts and Jobs Act, modifications to the international tax framework, and the restoration of tax treatment for certain business provisions. We do not expect a material impact from OBBBA on our 2025 operating tax rates. We will continue to assess the impact on us as regulations develop in the future.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has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We do not expect the Pillar Two model rules to materially impact our annual effective tax rate in 2025. However, we are continuing to evaluate the Pillar Two model rules and related legislation and their potential impact on future periods.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refer to Note to the Consolidated Financial Statements No. 6, Income Taxes.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Minority shareholders’ net income in the first nine months of 2025 was $28 million, primarily related to the sale of property in Asia Pacific, compared to a net loss of $6 million in the first nine months of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and are segmented on a regional basis.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asset sales, goodwill and other impairment charges, and certain other items.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segment operating income for the third quarter of 2025 was $287 million, a decrease of $59 million, or 17.1%, from $346 million in the third quarter of 2024. Total segment operating margin in the third quarter of 2025 was 6.2%, compared to 7.2% in the third quarter of 2024. Total segment operating income for the first nine months of 2025 was $641 million, a decrease of $279 million, or 30.3%, from $920 million in the first nine months of 2024. Total segment operating margin in the first nine months of 2025 was 4.8%, compared to 6.6% in the first nine months of 2024.</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8, Business Segments, for further information and for a reconciliation of total segment operating income to Income (Loss) before Income Taxes.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Americas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20" w:type="dxa"/>
            <w:vAlign w:val="bottom"/>
          </w:tcPr>
          <w:p>
            <w:pPr>
              <w:spacing w:after="0"/>
              <w:rPr>
                <w:sz w:val="16"/>
                <w:szCs w:val="16"/>
                <w:color w:val="auto"/>
              </w:rPr>
            </w:pPr>
          </w:p>
        </w:tc>
      </w:tr>
      <w:tr>
        <w:trPr>
          <w:trHeight w:val="37"/>
        </w:trPr>
        <w:tc>
          <w:tcPr>
            <w:tcW w:w="20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1"/>
        </w:trPr>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6"/>
                <w:szCs w:val="16"/>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20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2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28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2,737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7,901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-676910</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-676910</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-676910</wp:posOffset>
            </wp:positionV>
            <wp:extent cx="596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-676910</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-676910</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-676910</wp:posOffset>
            </wp:positionV>
            <wp:extent cx="596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-676910</wp:posOffset>
            </wp:positionV>
            <wp:extent cx="596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and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unit sales in the third quarter of 2025 decreased 1.4 million units, or 6.5%, to 19.6 million units. Replacement tire volume decreased 1.4 million units, or 8.1%, primarily due to a decrease in our consumer business, driven by increased competitiveness in the U.S. from the lower tier market and short-term impacts resulting from changes in our distribution strategy. OE tire volume remained flat.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third quarter of 2025 were $2,737 million, decreasing $121 million, or 4.2%, from $2,858 million in the third quarter of 2024. The decrease in net sales was primarily due to lower tire volume of $151 million, the impact of the sale of the OTR tire business of $37 million, excluding product supply agreement revenue of $34 million, and decreased sales in other tire-related businesses of $10 million, primarily due to decreased third-party chemical sales. These decreases were partially offset by favorable price and product mix of $25 million and a $16 million benefit related to the Goodyear Forward plan.</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income in the third quarter of 2025 was $206 million, decreasing $45 million, or 17.9%, from $251 million in the third quarter of 2024. The decrease in operating income was due to higher conversion costs of $84 million, driven by the effect of lower tire production on fixed cost absorption and inflation, higher raw material costs of $52 million, higher SAG of $37 million, lower tire volume of $32 million, a $20 million benefit received in 2024 related to insurance proceeds for property damage and business interruptions resulting from storm damage in prior years, and higher transportation and imported tire costs of $15 million. These decreases were partially offset by a $140 million benefit related to the Goodyear Forward plan and favorable price and product mix of $51 million. Operating income for the third quarter of 2025 includes incremental savings from rationalization plans of $6 million.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 the third quarter of 2025 excluded a non-cash goodwill impairment charge of $674 million, asset write-offs, accelerated depreciation and accelerated lease costs of $20 million, net rationalization charges of $4 million and net gains on asset sales of $3 million. Operating income in the third quarter of 2024 excluded a non-cash intangible asset impairment charge of $125 million, net rationalization charges of $5 million and asset write-offs, accelerated depreciation and accelerated lease costs of $1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and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unit sales in the first nine months of 2025 decreased 2.5 million units, or 4.1%, to 57.1 million units. Replacement tire volume decreased 2.2 million units, or 4.5%, primarily due to a decrease in our consumer business, driven by increased competitiveness in the U.S. from the lower tier market. OE tire volume decreased 0.3 million units, or 2.5%, primarily due to weakness in the OE industry in North America.</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first nine months of 2025 were $7,901 million, decreasing $242 million, or 3.0%, from $8,143 million in the first nine months of 2024. The decrease in net sales was primarily due to lower tire volume of $271 million, the impact of the sale of the OTR tire business of $114 million, excluding product supply agreement revenue of $111 million, and the negative impact of changes in foreign exchange rates of $90 million, primarily related to the weakening of the Brazilian real and Mexican peso. These decreases were partially offset by favorable price and product mix of $54 million and a $45 million benefit related to the Goodyear Forward plan.</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income in the first nine months of 2025 was $502 million, decreasing $169 million, or 25.2%, from $671 million in the first nine months of 2024. The decrease in operating income was due to higher raw material costs of $266 million, higher conversion costs of $174 million, driven by the effect of lower tire production on fixed cost absorption and inflation, higher SAG of $101 million, lower tire volume of $60 million, higher transportation and imported tire costs of $52 million, and a $39 million benefit received in 2024 related to insurance proceeds for property damage and business interruptions resulting from storm damage events in prior years. These decreases were partially offset by a $427 million benefit related to the Goodyear Forward plan and favorable price and product mix of $102 million. Operating income for 2025 included incremental savings from rationalization plans of $20 million.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 the first nine months of 2025 excluded a non-cash goodwill impairment charge of $674 million, net rationalization charges of $76 million, asset write-offs, accelerated depreciation and accelerated lease costs of $62 million, and net gains on asset sales of $4 million. Operating income in the first nine months of 2024 excluded a non-cash intangible asset impairment charge of $125 million, net rationalization charges of $20 million, net gains on asset sales of $14 million, and asset write-offs, accelerated depreciation and accelerated lease costs of $11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Europe, Middle East and Africa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40" w:type="dxa"/>
            <w:vAlign w:val="bottom"/>
          </w:tcPr>
          <w:p>
            <w:pPr>
              <w:spacing w:after="0"/>
              <w:rPr>
                <w:sz w:val="16"/>
                <w:szCs w:val="16"/>
                <w:color w:val="auto"/>
              </w:rPr>
            </w:pPr>
          </w:p>
        </w:tc>
      </w:tr>
      <w:tr>
        <w:trPr>
          <w:trHeight w:val="37"/>
        </w:trPr>
        <w:tc>
          <w:tcPr>
            <w:tcW w:w="20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1"/>
        </w:trPr>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8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20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2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2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1,407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1"/>
                <w:szCs w:val="21"/>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4.4 %  $</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7"/>
        </w:trPr>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6339840</wp:posOffset>
            </wp:positionH>
            <wp:positionV relativeFrom="paragraph">
              <wp:posOffset>-676275</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-676275</wp:posOffset>
            </wp:positionV>
            <wp:extent cx="596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-676275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-676275</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-676275</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-676275</wp:posOffset>
            </wp:positionV>
            <wp:extent cx="596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-676275</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and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unit sales in the third quarter of 2025 decreased 0.2 million units, or 2.4%, to 12.0 million units. Replacement tire volume decreased 0.8 million units, or 8.6%, mainly driven by our consumer business, reflecting market softness and increased competition from the lower tier market. OE tire volume increased 0.6 million units, or 18.7%, primarily in our consumer business, reflecting share gains driven by new fitments.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third quarter of 2025 were $1,407 million, increasing $59 million, or 4.4%, from $1,348 million in the third quarter of 2024. The increase in net sales was primarily driven by the positive impact of changes in foreign exchange rates of $57 million, driven by a stronger euro, Polish zloty and British pound, partially offset by a weaker Turkish lira, improvements in price and product mix of $36 million, and higher sales in other tire-related businesses of $14 million, primarily due to growth in Fleet Solutions. These increases were partially offset by the impact of the sale of the OTR tire business of $51 million, excluding product supply agreement revenue of $30 million, and lower tire volume of $27 million.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in the third quarter of 2025 was $30 million, increasing $7 million, or 30.4%, from operating income of $23 million in the third quarter of 2024. The increase in operating income was primarily driven by favorable price and product mix of $46 million and benefits related to the Goodyear Forward plan of $25 million. These increases were partially offset by higher raw material costs of $24 million, higher conversion costs of $16 million, higher SAG of $11 million, lower volume of $6 million, lower earnings in other tire-related business of $4 million and decreased earnings of $4 million due to the sale of the OTR tire business. Operating income for third quarter of 2025 included incremental savings from rationalization plans of $12 million.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third quarter of 2025 excluded asset write-offs, accelerated depreciation and accelerated lease costs of $33 million and net rationalization charges of $16 million. Operating income in the third quarter of 2024 excluded asset write-offs, accelerated depreciation and accelerated lease costs of $17 million and net rationalization reversals of $2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and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unit sales in the first nine months of 2025 decreased 0.7 million units, or 2.1%, to 35.6 million units. Replacement tire volume decreased 1.7 million units, or 6.6%, mainly driven by our consumer business, reflecting market softness and increased competition from the lower tier market. OE tire volume increased 1.0 million units, or 10.3%, primarily in our consumer business, reflecting share gains driven by new fitments.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first nine months of 2025 were $4,028 million, increasing $54 million, or 1.4%, from $3,974 million in the first nine months of 2024. The increase in net sales was primarily driven by improvements in price and product mix of $121 million, higher sales in the other tire-related businesses of $44 million, primarily due to growth in Fleet Solutions, and the positive impact of changes in foreign exchange rates of $10 million, driven by a stronger euro, British pound and Polish zloty, partially offset by a weaker Turkish lira. These increases were partially offset by lower tire volume of $73 million and the impact of the sale of the OTR tire business of $141 million, excluding product supply agreement revenue of $89 million.</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income in the first nine months of 2025 was flat, decreasing $54 million from operating income of $54 million in the first nine months of 2024. The change in operating income was primarily due to higher raw material costs of $122 million, a net benefit from insurance recoveries last year related to the Debica fire of $46 million, higher SAG of $43 million, higher conversion costs of $28 million, lower earnings in other tire-related businesses of $17 million, primarily due to mileage contracts, and lower tire volume of $14 million. These decreases were partially offset by favorable price and product mix of $119 million and benefits related to the Goodyear Forward plan of $97 million. Operating income for the first nine months of 2025 included incremental savings from rationalization plans of $24 million.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third quarter of 2025 excluded asset write-offs, accelerated depreciation and accelerated lease costs of $75 million and net rationalizations charges of $71 million. Operating income in the first nine months of 2024 excluded an $80 million net gain on asset sales, asset write-offs, accelerated depreciation and accelerated lease costs of $50 million, and net rationalization charges of $8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Asia Pacific</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60" w:type="dxa"/>
            <w:vAlign w:val="bottom"/>
          </w:tcPr>
          <w:p>
            <w:pPr>
              <w:spacing w:after="0"/>
              <w:rPr>
                <w:sz w:val="16"/>
                <w:szCs w:val="16"/>
                <w:color w:val="auto"/>
              </w:rPr>
            </w:pPr>
          </w:p>
        </w:tc>
      </w:tr>
      <w:tr>
        <w:trPr>
          <w:trHeight w:val="37"/>
        </w:trPr>
        <w:tc>
          <w:tcPr>
            <w:tcW w:w="21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71"/>
        </w:trPr>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0"/>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214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4"/>
        </w:trPr>
        <w:tc>
          <w:tcPr>
            <w:tcW w:w="2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2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1,814</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7"/>
        </w:trPr>
        <w:tc>
          <w:tcPr>
            <w:tcW w:w="2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tcPr>
          <w:p>
            <w:pPr>
              <w:spacing w:after="0"/>
              <w:rPr>
                <w:sz w:val="21"/>
                <w:szCs w:val="21"/>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-676910</wp:posOffset>
            </wp:positionV>
            <wp:extent cx="596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-676910</wp:posOffset>
            </wp:positionV>
            <wp:extent cx="59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-676910</wp:posOffset>
            </wp:positionV>
            <wp:extent cx="596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-676910</wp:posOffset>
            </wp:positionV>
            <wp:extent cx="596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-676910</wp:posOffset>
            </wp:positionV>
            <wp:extent cx="596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-676910</wp:posOffset>
            </wp:positionV>
            <wp:extent cx="596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and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unit sales in the third quarter of 2025 decreased 0.9 million units, or 9.2%, to 8.4 million units. Replacement tire volume decreased 0.4 million units, or 9.7%, driven by actions taken to reduce lower margin business and softness in consumer replacement. OE tire volume decreased 0.5 million units, or 8.8%, primarily in China.</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third quarter of 2025 were $501 million, decreasing $117 million, or 18.9%, from $618 million in the third quarter of 2024. The decrease in net sales was primarily related to the sale of the OTR tire business of $52 million, excluding product supply agreement revenue of $1 million, lower tire volume of $49 million, lower sales in other tire-related business of $9 million, and the sale of the Dunlop brand of $8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 the third quarter of 2025 was $51 million, decreasing $21 million, or 29.2%, from $72 million in the third quarter of 2024. The decrease in operating income was primarily due to decreased earnings of $15 million due to the sale of the OTR tire business, lower tire volume of $12 million, higher conversion costs of $10 million, and higher raw material costs of $5 million. These decreases were partially offset by benefits related to the Goodyear Forward plan of $20 million.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third quarter of 2025 excluded asset write-offs, accelerated depreciation and accelerated lease costs of $2 million. Operating income in the third quarter of 2024 excluded asset write-offs, accelerated depreciation and accelerated lease costs of $7 million, net rationalization charges of $1 million, and net gains on asset sales of $1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and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unit sales in the first nine months of 2025 decreased 3.4 million units, or 12.4%, to 23.7 million units. Replacement tire volume decreased 2.3 million units, or 16.4%, driven by actions taken to reduce lower margin business and softness in consumer replacement. OE tire volume decreased 1.1 million units, or 8.2%, primarily in China.</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in the first nine months of 2025 were $1,434 million, decreasing $380 million, or 20.9%, from $1,814 million in the first nine months of 2024. The decrease in net sales was primarily due to lower tire volume of $196 million, the sale of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OTR tire business of $140 million, excluding product supply agreement revenue of $2 million, and the sale of the Dunlop brand of $46 million. These decreases were partially offset by favorable price and product mix of $32 million.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in the first nine months of 2025 was $139 million, decreasing $56 million, or 28.7%, from $195 million in the first nine months of 2024. The decrease in operating income was primarily due to decreased earnings of $52 million due to the sale of the OTR tire business, lower tire volume of $46 million, higher raw material costs of $45 million, higher conversion costs of $13 million, and decreased earnings from other tire-related businesses of $4 million. These decreases were partially offset by benefits related to the Goodyear Forward plan of $56 million, favorable price and product mix of $38 million and other cost savings of $14 million.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 the first nine months of 2025 excluded net gains on asset sales of $55 million, asset write-offs, accelerated depreciation and accelerated lease costs of $5 million and net rationalization charges of $1 million. Operating income in the first nine months of 2024 excluded asset write-offs, accelerated depreciation and accelerated lease costs of $37 million, net rationalization charges of $14 million, and net gains on asset sales of $1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both September 30, 2025 and December 31, 2024, we had $810 million in cash and cash equivalents. For the nine months ended September 30, 2025, net cash used for operating activities was $716 million, reflecting the Company's cash used for working capital of $1,210 million and the Company's net loss of $1,798 million, which included significant non-cash items of $1,345 million for provision for deferred income taxes, goodwill impairment of $674 million and net gains on asset sales of $700 million. Net cash provided by investing activities was $663 million, primarily representing proceeds from the sales of the OTR tire business and the Dunlop brand, as well as other asset dispositions, of $1,332 million, partially offset by capital expenditures of $649 million. Net cash provided by financing activities was $92 million, primarily due to net borrowings of $97 million.</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2025, we had $2,547 million of unused availability under our various credit agreements, compared to $3,555 million at December 31, 2024. The table below presents unused availability under our credit facilities at those dates: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11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lien revolving credit facility</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revolving credit facility</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1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1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7"/>
        </w:trPr>
        <w:tc>
          <w:tcPr>
            <w:tcW w:w="84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3,555</w:t>
            </w:r>
          </w:p>
        </w:tc>
      </w:tr>
      <w:tr>
        <w:trPr>
          <w:trHeight w:val="27"/>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default probabilities,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2025 full-year cash flow needs to include capital expenditures of approximately $875 million. We also expect interest expense to be approximately $450 million; rationalization payments to be approximately $450 million; income tax payments to be approximately $160 million, excluding one-time items; and contributions to our funded pension plans to be $25 million to $50 million. We expect working capital to be a use of cash of approximately $150 million, reflecting the impact of tariffs in 2025.</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continuing to actively monitor our liquidity and intend to operate our business in a way that allows us to address our cash flow needs with our existing cash and available credit if they cannot be funded by cash generated from operating or other</w:t>
      </w:r>
    </w:p>
    <w:p>
      <w:pPr>
        <w:sectPr>
          <w:pgSz w:w="11900" w:h="16838" w:orient="portrait"/>
          <w:cols w:equalWidth="0" w:num="1">
            <w:col w:w="11240"/>
          </w:cols>
          <w:pgMar w:left="320" w:top="33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September 30, 2025, approximately $761 million of net assets, including approximately $169 million of cash and cash equivalents, were subject to such requirements. The requirements we must comply with to transfer funds out of China, South Africa, Serbia and Argentina have not adversely impacted our ability to make transfers out of those countries.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operating activities was $716 million in the first nine months of 2025, compared to net cash used for operating activities of $591 million in the first nine months of 2024. The $125 million increase in net cash used for operating activities was primarily due to a higher use of working capital in the first nine months of 2025 compared to 2024 of $107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cash used for working capital reflects an increase in cash used for Inventory of $187 million, partially offset by a decrease in cash used for Accounts Receivable of $53 million and Accounts Payable — Trade of $27 million. These changes were driven by lower sales volume and the timing of accounts receivable collections in the first nine months of 2025 compared to the first nine months of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$663 million in the first nine months of 2025, compared to net cash used for investing activities of $759 million in the first nine months of 2024. The $1,422 million increase in net cash provided by investing activities was primarily due to net cash provided by the sales of the OTR tire business and the Dunlop brand, as well as other asset dispositions, of $1,332 million in the first nine months of 2025, compared to $110 million in the first nine months of 2024. Capital expenditures were $649 million in the first nine months of 2025, compared to $912 million in the first nine months of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$92 million in the first nine months of 2025, compared to net cash provided by financing activities of $1,315 million in the first nine months of 2024. The $1,223 million decrease in cash provided by financing activities was primarily related to net borrowings of $97 million in the first nine months of 2025, compared to net borrowings of $1,366 million in the first nine months of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aggregate, we had total credit arrangements of $10,545 million available at September 30, 2025, of which $2,547 million were unused, compared to $11,223 million available at December 31, 2024, of which $3,555 million were unused. At September 30, 2025, we had long term credit arrangements totaling $9,706 million, of which $2,319 million were unused, compared to $10,352 million and $3,263 million, respectively, at December 31, 2024. At September 30, 2025, we had short term committed and uncommitted credit arrangements totaling $839 million, of which $228 million were unused, compared to $871 million and $292 million, respectively, at December 31, 2024. The continued availability of the short term uncommitted arrangements is at the discretion of the relevant lenders and may be terminated at any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we had $4,392 million of outstanding notes, compared to $5,240 million at December 31, 2024.</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19, 2025, we redeemed our remaining $500 million 9.5% senior notes due 2025 at a redemption price equal to 100% of the principal amount redeemed plus accrued and unpaid interest.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 2025, we issued $500 million in aggregate principal amount of 6.625% senior notes due 2030. These notes were sold at 100% of the principal amount and will mature on July 15, 2030.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2025, we redeemed $400 million of our 5% senior notes due 2026 at a redemption price equal to 100% of the principal amount redeemed plus accrued and unpaid interest. On July 3, 2025, we redeemed the remaining $500 million of our 5% senior notes due 2026 at a redemption price equal to 100% of the principal amount redeemed plus accrued and unpaid interest. We used the net proceeds from the 6.625% senior notes, together with cash and cash equivalents, to redeem these notes.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2030</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19, 2025, we amended and restated our U.S. first lien revolving credit facility. The principal change to the facility was the extension of its maturity from June 8, 2026 to May 19, 2030. The interest rate for loans under the facility remained at SOFR plus 125 basis points.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Based on our current liquidity, amounts drawn under this facility bear interest at SOFR plus 125 basis points. Undrawn amounts under the facility are subject to an annual commitment fee of 25 basis points.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greater of 50% of the appraised value, if any, of our principal trademarks or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In addition, if the amount of outstanding borrowings and letters of credit under the facility exceeds the borrowing base, we would be required to prepay borrowings and/or cash collateralize letters of credit sufficient to eliminate the excess. As of September 30, 2025, our borrowing base was above the facility's stated amount of $2.75 billion.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2025, we had $1,325 million of borrowings and $1 million of letters of credit issued under the revolving credit facility. At December 31, 2024, we had $700 million of borrowings and $1 million of letters of credit issued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2025, there were $235 million (€200 million) of borrowings outstanding under the all-borrower tranche, $211 million (€180 million) of borrowings outstanding under the German tranche, and no letters of credit outstanding under the European revolving credit facility. At December 31, 2024, we had no borrowings and no letters of credit outstanding under the European revolving credit facility.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Both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2024 under the first lien facility and December 31, 2021 under the European facility.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10, 2025, GEBV and certain other of our European subsidiaries amended and restated our pan-European accounts receivable securitization facility. The principal change to the facility was the extension of its maturity from October 19, 2027 to October 18, 2032. The terms of the facility provide the flexibility to designate annually the maximum amount of funding available under the facility in an amount of not less than €30 million and not more than €450 million. For the period from October 2023 through October 2027, the designated maximum amount of the facility is €300 million.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18, 2032,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in October 2027.</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warranties, covenants and Early Amortisation Events. In addition, it is an Early Amortisation Event under the facility if GEBV’s ratio of Consolidated Net GEBV Indebtedness to Consolidated GEBV EBITDA for a period of four consecutive fiscal quarters is greater than 3.0 to 1.0 at the end of any fiscal quarter. This financial covenant is substantially similar to the covenant included in our European revolving credit facility.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2025, the amounts available and utilized under this program totaled $242 million (€206 million). At December 31, 2024, the amounts available and utilized under this program totaled $227 million (€218 million). The program does not qualify for sale accounting, and accordingly, these amounts are included in Long Term Debt and Finance Leases.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September 30, 2025, the gross amount of receivables sold was $752 million, compared to $773 million at December 31,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Letters of Credit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2025, we had $227 million in letters of credit issued under bilateral letter of credit agreements and other foreign credit facilities. The majority of these letter of credit agreements are in lieu of security deposits.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supplier finance programs with several financial institutions. Under these programs, the financial institutions act as our paying agents with respect to accounts payable due to our suppliers. We agree to pay the financial institutions the stated amount of the confirmed invoices from the designated suppliers on the original due dates of the invoices. Invoice payment terms can be up to 120 days based on industry norms for the specific item purchased. We do not pay any fees to the financial institutions and we do not pledge any assets as security or provide other forms of guarantees for these programs. These programs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these programs. The amounts available under these programs were $902 million and $775 million at September 30, 2025 and December 31, 2024, respectively. The amounts confirmed to the financial institutions were $587 million and $604 million at September 30, 2025 and December 31, 2024, respectively, and are included in Accounts Payable — Trade in our Consolidated Balance Sheets. All activity related to these obligations is presented within operating activities on the Consolidated Statements of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Further Information</w:t>
      </w:r>
    </w:p>
    <w:p>
      <w:pPr>
        <w:spacing w:after="0" w:line="11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For a further description of the terms of our outstanding notes, first lien revolving credit facility, European revolving credit facility and pan-European accounts receivable securitization facility, refer to Note to the Consolidated Financial Statements No. 16, Financing Arrangements and Derivative Financial Instruments, in our 2024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Note to the Consolidated Financial Statements No. 9, Financing Arrangements and Derivative Financial Instruments, in this Form 10-Q.</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Covenant Compliance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first lien revolving credit facility contains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 indentures governing our notes also contain certain covenants that, among other things, limit our ability to incur liens, engage in sale and leaseback transactions, and consolidate, merge, sell or otherwise dispose of all or substantially all of our assets. These covenants are subject to significant exceptions and qualifications. Our first lien revolving credit facility and the indentures governing our notes also have customary defaults, including cross-defaults to material indebtedness of Goodyear and its subsidiaries.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 additional financial covenant in our first lien revolving credit facility that is currently not applicable. We become subject to that financial covenant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 be</w:t>
      </w:r>
    </w:p>
    <w:p>
      <w:pPr>
        <w:sectPr>
          <w:pgSz w:w="11900" w:h="16838" w:orient="portrait"/>
          <w:cols w:equalWidth="0" w:num="1">
            <w:col w:w="11240"/>
          </w:cols>
          <w:pgMar w:left="320" w:top="337"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less than 2.0 to 1.0 for the most recent period of four consecutive fiscal quarters. As of September 30, 2025, our unused availability under this facility of $1,424 million, plus our Available Cash of $124 million, totaled $1,548 million, which is in excess of $275 million.</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European revolving credit facility contains non-financial covenants similar to the non-financial covenants in our first lien revolving credit facility that are described above, similar non-financial covenants specifically applicable to GEBV and its subsidiaries,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September 30, 2025, we were in compliance with this financial covenant.</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Our credit facilities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Covenants could change based upon a refinancing or amendment of an existing facility, or additional covenants may be added in connection with the incurrence of new debt.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we were in compliance with the currently applicable material covenants imposed by our principal credit facilities and indentures.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“Available Cash,” “EBITDA,” “Consolidated Interest Expense,” “Consolidated Net GEBV Indebtedness” and “Consolidated GEBV EBITDA” have the meanings given them in the respective credit facilities.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Future Financings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liquidity requirements may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Common Stock Repurchases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primary credit facilities, we are permitted to pay dividends on and repurchase our capital stock (which constitute restricted payments) as long as no default will have occurred and be continuing, additional indebtedness can be incurred under the credit facilities following the payment, and certain financial tests are satisfied.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pay a quarterly dividend on our common stock.</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nine months of 2025, we did not repurchase any shares from employees.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restrictions imposed by our credit facilities are not expected to significantly affect our ability to pay dividends or repurchase our capital stock in the future.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Dispositions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the restrictions on asset sales and sale and leaseback transactions imposed by our material indebtedness have not affected our ability to divest non-core businesses or assets. We may undertake additional asset sales and sale and leaseback transactions in the future. The restrictions imposed by our material indebtedness may require us to seek waivers or amendments of covenants or alternative sources of financing to proceed with future transactions. We cannot assure you that such waivers, amendments or alternative financing could be obtained, or if obtained, would be on terms acceptable to us.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subsidiaries, which are listed on Exhibit 22.1 to this Quarterly Report on Form 10-Q and are generally holding or operating companies, have guaranteed our obligations under the $700 million outstanding principal amount of 4.875% senior notes due 2027, the $850 million outstanding principal amount of 5% senior notes due 2029, the $500 million outstanding principal amount of 6.625% senior notes due 2030, the $550 million outstanding principal amount of 5.25% senior notes due April 2031, the $600 million outstanding principal amount of 5.25% senior notes due July 2031 and the $450 million outstanding principal amount of 5.625% senior notes due 2033 (collectively, the “Notes”).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our first lien revolving credit facility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68" w:lineRule="exact"/>
        <w:rPr>
          <w:sz w:val="20"/>
          <w:szCs w:val="20"/>
          <w:color w:val="auto"/>
        </w:rPr>
      </w:pPr>
    </w:p>
    <w:p>
      <w:pPr>
        <w:ind w:left="1700" w:hanging="801"/>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insolvent or rendered insolvent by reason of the incurrence;</w:t>
      </w:r>
    </w:p>
    <w:p>
      <w:pPr>
        <w:spacing w:after="0" w:line="117"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engaged in a business or transaction for which its remaining assets constituted unreasonably small capital; or</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intended to incur, or believed (or reasonably should have believed) that it would incur, debts beyond its ability to pay as those debts matured.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2" w:lineRule="exact"/>
        <w:rPr>
          <w:sz w:val="20"/>
          <w:szCs w:val="20"/>
          <w:color w:val="auto"/>
        </w:rPr>
      </w:pPr>
    </w:p>
    <w:p>
      <w:pPr>
        <w:ind w:left="5540" w:right="3100" w:hanging="4641"/>
        <w:spacing w:after="0" w:line="783" w:lineRule="auto"/>
        <w:tabs>
          <w:tab w:leader="none" w:pos="171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intended to defeat, hinder, delay, defraud or prejudice creditors or others;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700" w:hanging="801"/>
        <w:spacing w:after="0" w:line="261" w:lineRule="auto"/>
        <w:tabs>
          <w:tab w:leader="none" w:pos="1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1" w:lineRule="exact"/>
        <w:rPr>
          <w:rFonts w:ascii="Times New Roman" w:cs="Times New Roman" w:eastAsia="Times New Roman" w:hAnsi="Times New Roman"/>
          <w:sz w:val="18"/>
          <w:szCs w:val="18"/>
          <w:color w:val="auto"/>
        </w:rPr>
      </w:pPr>
    </w:p>
    <w:p>
      <w:pPr>
        <w:jc w:val="both"/>
        <w:ind w:left="1700" w:hanging="801"/>
        <w:spacing w:after="0" w:line="261" w:lineRule="auto"/>
        <w:tabs>
          <w:tab w:leader="none" w:pos="1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71"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court canceled a Guarantee, the holders of Notes would no longer have a claim against that Subsidiary Guarantor or its assets.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Summarized Balance Sheets</w:t>
            </w:r>
          </w:p>
        </w:tc>
        <w:tc>
          <w:tcPr>
            <w:tcW w:w="48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71"/>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114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4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6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10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5,621</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8,606</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4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3,420</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7,932</w:t>
            </w:r>
          </w:p>
        </w:tc>
      </w:tr>
      <w:tr>
        <w:trPr>
          <w:trHeight w:val="27"/>
        </w:trPr>
        <w:tc>
          <w:tcPr>
            <w:tcW w:w="84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-864870</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360" w:right="40" w:hanging="334"/>
        <w:spacing w:after="0" w:line="229" w:lineRule="auto"/>
        <w:tabs>
          <w:tab w:leader="none" w:pos="347"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receivables due from Non-Guarantor Subsidiaries of $1,401 million and $1,824 million as of September 30, 2025 and December 31, 2024, 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Summarized Statements of Operations</w:t>
            </w:r>
          </w:p>
        </w:tc>
      </w:tr>
      <w:tr>
        <w:trPr>
          <w:trHeight w:val="37"/>
        </w:trPr>
        <w:tc>
          <w:tcPr>
            <w:tcW w:w="8480" w:type="dxa"/>
            <w:vAlign w:val="bottom"/>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1"/>
        </w:trPr>
        <w:tc>
          <w:tcPr>
            <w:tcW w:w="848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4"/>
                <w:szCs w:val="14"/>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4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10,402</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r>
      <w:tr>
        <w:trPr>
          <w:trHeight w:val="27"/>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 Impairment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Rationalizations</w:t>
            </w: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7"/>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on Asset Sales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4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r>
        <w:trPr>
          <w:trHeight w:val="217"/>
        </w:trPr>
        <w:tc>
          <w:tcPr>
            <w:tcW w:w="8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36" w:lineRule="exact"/>
        <w:rPr>
          <w:sz w:val="20"/>
          <w:szCs w:val="20"/>
          <w:color w:val="auto"/>
        </w:rPr>
      </w:pPr>
    </w:p>
    <w:p>
      <w:pPr>
        <w:jc w:val="both"/>
        <w:ind w:left="360" w:right="40" w:hanging="334"/>
        <w:spacing w:after="0" w:line="235" w:lineRule="auto"/>
        <w:tabs>
          <w:tab w:leader="none" w:pos="347"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income from intercompany transactions with Non-Guarantor Subsidiaries of $379 million for the nine months ended September 30, 2025, primarily from royalties, intercompany product sales, dividends and interest, and $659 million for the year ended December 31, 2024, primarily from royalties, dividends, interest and intercompany product sales.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Goodwill and indefinite-lived intangible assets are tested for impairment annually or more frequently if an indicator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is present. Intangible assets with finite lives are amortized over their useful lives and are reviewed for impairment whenever events or circumstances warrant such review. Goodwill and intangible assets are written down to fair value if considered impaired. Goodwill and Intangible Assets totaled $42 million and $670 million, respectively, at September 30, 2025, compared to $756 million and $805 million, respectively, at December 31, 2024. The goodwill associated with the reporting unit in our Asia Pacific segment was $42 million at September 30, 2025. The goodwill associated with the reporting units in our Americas and Asia Pacific segments was $715 million and $41 million, respectively, at December 31, 2024. Goodwill associated with the reporting unit in our Americas segment was allocated to assets held for sale in the second quarter of 2025 in the amount of $41 million in connection with the anticipated sale of our polymer chemicals business, and the remaining $674 million was written off, resulting in a non-cash impairment charge during the third quarter of 2025. We recorded an intangible asset impairment charge of $125 million in the third quarter of 2024 primarily related to our lower tier indefinite-lived intangible assets related to the acquisition of Cooper Tire.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and intangible assets with indefinite useful lives are not amortized but are assessed for impairment annually on October 31 with the option to perform a qualitative assessment to determine whether further impairment testing is necessary or to perform a quantitative assessment by comparing the fair value of the reporting unit or indefinite-lived intangible asset to its carrying value. In addition to the annual assessment, impairment evaluation is considered during interim periods when events occur or circumstances change that would more likely than not reduce the fair value of the asset below its carrying value. During our annual impairment assessment and in subsequent interim periods, we review events that occur or circumstances that change, including the macroeconomic environment, our business performance and our market capitalization, to determine if a quantitative impairment assessment is necessary. We review our business performance and the macroeconomic environment against our recent expectations and evaluate book value compared to market capitalization, including fluctuations in our stock price, to determine if this could be an indicator of potential impairment. Consideration is given as to whether a fluctuation in our stock price is a result of current market conditions, due to a transitory event or an event that is expected to continue to affect us, or is consistent with our historical stock price volatility. We also consider these factors compared to the results of our most recent quantitative goodwill impairment assessment.</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qualitative assessment, we assess whether it is more likely than not (defined as a likelihood of more than 50%) that the fair value of our goodwill or indefinite-lived intangible assets is less than the respective carrying values. If it is more likely than not that an impairment exists, then a quantitative impairment assessment is performed. If under the quantitative assessment the fair value is less than the carrying value, an impairment loss will be recorded for the difference between the carrying value and the fair value. Under the quantitative assessment, we estimate the fair value of goodwill using the discounted cash flows of a reporting unit. For indefinite-lived intangible assets we estimate the fair value using discounted cash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flows following a relief-from-royalty method utilizing a market-based royalty rate. Forecasts of future cash flows are based on our best estimate of projected revenue and projected operating margin, based primarily on sales and production volume, pricing, raw material costs, market share, industry outlook, general economic conditions, and certain strategic actions we plan to implement. Cash flows are discounted using our weighted average cost of capital.</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third quarter of 2025, we experienced continued industry disruption in Americas, which resulted in a reduction in our near-term and long-term outlook. We also experienced a decline in our market capitalization as a result of a decrease in our stock price. Our stock price has a history of volatility; however, given the decrease was sustained throughout the quarter, combined with the reduction in outlook, we viewed these events as triggering events for purposes of testing goodwill for impairment and performed a quantitative analysis of the fair value of the North America reporting unit in our Americas segment. We determined the estimated fair value of our North America reporting unit based on discounted cash flow projections. The most critical assumptions used in the calculation of the fair value of our North America reporting unit are the projected revenue, projected operating margin and discount rate. Our forecast of future cash flows is based on our best estimate of projected revenue and projected operating margin, based primarily on pricing, raw material costs, market share, industry outlook and general economic conditions. Based on our interim impairment test, the fair value of the North America reporting unit as of September 30, 2025 was less than its carrying value, resulting in full goodwill impairment and a non-cash charge of $674 million during the third quarter of 2025.</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September 30, 2025, after evaluating macroeconomic conditions and our current and future results of operations, including current results for our Asia Pacific business and brands associated with our indefinite-lived intangible assets, we concluded that there were no triggering events and it was not more likely than not that the fair values of our reporting unit within our Asia Pacific segment or our indefinite-lived intangible assets recorded within our Americas and Asia Pacific segments were less than their respective carrying values and, therefore, did not have any impairment. Future changes in the judgments, assumptions and estimates that are used in our impairment testing for goodwill and indefinite-lived intangible assets, including discount rates and cash flow projections, could result in significantly different estimates of the fair values. A significant reduction in the estimated fair values could result in impairment charges that could adversely affect our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 — SAFE HARBOR STATEMENT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187" w:lineRule="exact"/>
        <w:rPr>
          <w:sz w:val="20"/>
          <w:szCs w:val="20"/>
          <w:color w:val="auto"/>
        </w:rPr>
      </w:pPr>
    </w:p>
    <w:p>
      <w:pPr>
        <w:ind w:left="1700" w:right="2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implement the Goodyear Forward plan and our other strategic initiatives, our operating results, financial condition and liquidity may be materially adversely affected;</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global competition and our market share could decline;</w:t>
      </w:r>
    </w:p>
    <w:p>
      <w:pPr>
        <w:spacing w:after="0" w:line="117"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cost increases may materially adversely affect our operating results and financial condition;</w:t>
      </w:r>
    </w:p>
    <w:p>
      <w:pPr>
        <w:spacing w:after="0" w:line="117"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inflationary cost pressures, including with respect to wages, benefits and energy costs, that may materially adversely affect our operating results and financial condition;</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 or in the provision of services, including utilities, to us could result in increased costs or disruptions in our operations;</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downturn or economic uncertainty could adversely affect our business and results of operations;</w:t>
      </w:r>
    </w:p>
    <w:p>
      <w:pPr>
        <w:spacing w:after="0" w:line="117"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labor strike, work stoppage, labor shortage or other similar event at the Company or its joint ventures, our business, results of operations, financial condition and liquidity could be materially adversely affected;</w:t>
      </w:r>
    </w:p>
    <w:p>
      <w:pPr>
        <w:spacing w:after="0" w:line="53"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work stoppages, labor shortages, supply disruptions or economic conditions affecting our major OE customers, dealers or suppliers could harm our business;</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may not be adequate to maintain our competitive position and may not be implemented in a timely or cost-effective manner;</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tariffs, trade agreements or trade restrictions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have certain risks that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foreign currency translation and transaction risks that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ability to meet our obligations, to repay maturing indebtedness or to implement strategic initiatives may be dependent on our ability to access capital markets in the future and to improve our operating results;</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restrict our growth, place us at a competitive disadvantage or otherwise materially adversely affect our financial health;</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in compliance with any material provision or covenant of our debt instruments, or a material reduction in the borrowing base under our first lien revolving credit facility, could have a material adverse effect on our liquidity and operations;</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 which could cause our debt service obligations to increase significantly;</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fixed costs and, as a result, our operating income fluctuates disproportionately with changes in our net sales;</w:t>
      </w:r>
    </w:p>
    <w:p>
      <w:pPr>
        <w:spacing w:after="0" w:line="117"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in connection with our contingent liabilities and tax matters;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1700" w:right="20" w:hanging="801"/>
        <w:spacing w:after="0" w:line="282" w:lineRule="auto"/>
        <w:tabs>
          <w:tab w:leader="none" w:pos="1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including climate change, or legal, regulatory or market measures to address environmental issues, may negatively affect our business and operations and cause us to incur significant costs;</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regulations that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adequately;</w:t>
      </w:r>
    </w:p>
    <w:p>
      <w:pPr>
        <w:spacing w:after="0" w:line="117"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personnel, our business could be materially adversely affected; and</w:t>
      </w:r>
    </w:p>
    <w:p>
      <w:pPr>
        <w:spacing w:after="0" w:line="117" w:lineRule="exact"/>
        <w:rPr>
          <w:rFonts w:ascii="Times New Roman" w:cs="Times New Roman" w:eastAsia="Times New Roman" w:hAnsi="Times New Roman"/>
          <w:sz w:val="18"/>
          <w:szCs w:val="18"/>
          <w:color w:val="auto"/>
        </w:rPr>
      </w:pPr>
    </w:p>
    <w:p>
      <w:pPr>
        <w:jc w:val="both"/>
        <w:ind w:left="1700" w:hanging="801"/>
        <w:spacing w:after="0" w:line="266" w:lineRule="auto"/>
        <w:tabs>
          <w:tab w:leader="none" w:pos="1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economic and supply disruptions associated with events beyond our control, such as war, including the current conflicts between Russia and Ukraine and in the Middle East, acts of terror, political unrest, public health concerns, labor disputes or natural disasters.</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raw material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continuously monitor our fixed and floating rate debt mix. Within defined limitations, we manage the mix using refinancing. At September 30, 2025, approximately 38% of our debt was at variable interest rates averaging 5.99%.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long term fixed rate debt, excluding finance leases, at September 30, 2025:</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7"/>
        </w:trPr>
        <w:tc>
          <w:tcPr>
            <w:tcW w:w="6120" w:type="dxa"/>
            <w:vAlign w:val="bottom"/>
          </w:tcPr>
          <w:p>
            <w:pPr>
              <w:spacing w:after="0"/>
              <w:rPr>
                <w:sz w:val="3"/>
                <w:szCs w:val="3"/>
                <w:color w:val="auto"/>
              </w:rPr>
            </w:pPr>
          </w:p>
        </w:tc>
        <w:tc>
          <w:tcPr>
            <w:tcW w:w="4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50"/>
        </w:trPr>
        <w:tc>
          <w:tcPr>
            <w:tcW w:w="6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4260" w:type="dxa"/>
            <w:vAlign w:val="bottom"/>
            <w:tcBorders>
              <w:bottom w:val="single" w:sz="8" w:color="CFF0FC"/>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4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w:t>
            </w:r>
          </w:p>
        </w:tc>
      </w:tr>
      <w:tr>
        <w:trPr>
          <w:trHeight w:val="27"/>
        </w:trPr>
        <w:tc>
          <w:tcPr>
            <w:tcW w:w="61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 forma fair value — liability</w:t>
            </w:r>
          </w:p>
        </w:tc>
        <w:tc>
          <w:tcPr>
            <w:tcW w:w="4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4,552</w:t>
            </w:r>
          </w:p>
        </w:tc>
      </w:tr>
      <w:tr>
        <w:trPr>
          <w:trHeight w:val="27"/>
        </w:trPr>
        <w:tc>
          <w:tcPr>
            <w:tcW w:w="6120" w:type="dxa"/>
            <w:vAlign w:val="bottom"/>
            <w:shd w:val="clear" w:color="auto" w:fill="CFF0FC"/>
          </w:tcPr>
          <w:p>
            <w:pPr>
              <w:spacing w:after="0"/>
              <w:rPr>
                <w:sz w:val="2"/>
                <w:szCs w:val="2"/>
                <w:color w:val="auto"/>
              </w:rPr>
            </w:pPr>
          </w:p>
        </w:tc>
        <w:tc>
          <w:tcPr>
            <w:tcW w:w="426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information assumes a 100 basis point decrease in market interest rates at September 30, 2025, and reflects the estimated fair value of fixed rate debt outstanding at that date under that assumption. The sensitivity of our fixed rate debt to changes in interest rates was determined using current market pricing models.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foreign currency contract information at September 30, 2025:</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61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6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asset (liability)</w:t>
            </w:r>
          </w:p>
        </w:tc>
        <w:tc>
          <w:tcPr>
            <w:tcW w:w="41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decrease in fair value</w:t>
            </w:r>
          </w:p>
        </w:tc>
        <w:tc>
          <w:tcPr>
            <w:tcW w:w="4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7"/>
        </w:trPr>
        <w:tc>
          <w:tcPr>
            <w:tcW w:w="6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maturities</w:t>
            </w:r>
          </w:p>
        </w:tc>
        <w:tc>
          <w:tcPr>
            <w:tcW w:w="4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10/25-9/26</w:t>
            </w:r>
          </w:p>
        </w:tc>
      </w:tr>
      <w:tr>
        <w:trPr>
          <w:trHeight w:val="27"/>
        </w:trPr>
        <w:tc>
          <w:tcPr>
            <w:tcW w:w="6120" w:type="dxa"/>
            <w:vAlign w:val="bottom"/>
            <w:shd w:val="clear" w:color="auto" w:fill="CFF0FC"/>
          </w:tcPr>
          <w:p>
            <w:pPr>
              <w:spacing w:after="0"/>
              <w:rPr>
                <w:sz w:val="2"/>
                <w:szCs w:val="2"/>
                <w:color w:val="auto"/>
              </w:rPr>
            </w:pPr>
          </w:p>
        </w:tc>
        <w:tc>
          <w:tcPr>
            <w:tcW w:w="410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decrease in fair value assumes a 10% adverse change in underlying foreign exchange rates at September 30, 2025,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are recognized on the Consolidated Balance Sheet at September 30, 2025 as follows: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23430" cy="1714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 (liability):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4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59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5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5900" w:type="dxa"/>
            <w:vAlign w:val="bottom"/>
            <w:shd w:val="clear" w:color="auto" w:fill="CFF0FC"/>
          </w:tcPr>
          <w:p>
            <w:pPr>
              <w:spacing w:after="0"/>
              <w:rPr>
                <w:sz w:val="2"/>
                <w:szCs w:val="2"/>
                <w:color w:val="auto"/>
              </w:rPr>
            </w:pPr>
          </w:p>
        </w:tc>
        <w:tc>
          <w:tcPr>
            <w:tcW w:w="456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further information on foreign currency contracts, refer to Note to the Consolidated Financial Statements No. 9, Financing Arrangements and Derivative Financial Instruments. Refer to “Management’s Discussion and Analysis of Financial Condition and Results of Operations — Liquidity and Capital Resources” for a discussion of our management of counterparty risk.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to ensure that such information is accumulated and communicated to our management, including our principal executive and financial officers, as appropriate, to allow timely decisions regarding required disclosure.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September 30, 2025 (the end of the period covered by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report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reported in our Form 10-K for the year ended December 31, 2024, we were one of numerous defendants in legal proceedings in certain state and federal courts involving approximately 35,400 claimants relating to their alleged exposure to materials containing asbestos in products allegedly manufactured by us or asbestos materials present in our facilities. During the first nine months of 2025, approximately 600 claims were filed against us and approximately 3,600 were settled or dismissed. The amounts expended on asbestos defense and claim resolution by us and our insurers during the first nine months of 2025 was $11 million. At September 30, 2025, there were approximately 32,400 asbestos claims pending against us. The plaintiffs are seeking unspecified actual and punitive damages and other relief. Refer to Note to the Consolidated Financial Statements No. 13, Commitments and Contingent Liabilities, for additional information on asbestos litigation.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15, 2025, we received a Notice of Violation from the U.S. Environmental Protection Agency alleging violations of the Clean Air Act at our former chemical manufacturing facility in Beaumont, Texas. Potential monetary penalties associated with the alleged violations could exceed our $1 million reporting threshold described below. Goodyear intends to defend this matter, the ultimate outcome of which cannot be predicted at this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legal proceedings described above and in our 2024 Form 10-K and quarterly reports on Form 10-Q, various other legal actions, indirect tax assessments, claims and governmental investigations and proceedings covering a wide range of matters are pending against us, including claims and proceedings relating to several waste disposal sites that have been identified by the United States Environmental Protection Agency and similar agencies of various states or foreign jurisdictions for remedial investigation and cleanup, which sites were allegedly used by us in the past for the disposal of industrial waste materials. Based on available information, we do not consider any such action, assessment, claim, investigation or proceeding to be material, within the meaning of that term as used in Item 103 of Regulation S-K and the instructions thereto. As permitted by SEC regulations, we use a threshold of $1 million for purposes of determining whether disclosure is required with respect to any environmental proceedings in which a governmental authority is a party and we reasonably believe that such proceeding will result in monetary sanctions (exclusive of interest and costs).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additional information regarding our legal proceedings, refer to Note to the Consolidated Financial Statements No. 19, Commitments and Contingent Liabilities, and Part I, Item 3, Legal Proceedings, in our 2024 Form 10-K, Part II, Item 1, in our Quarterly Report on Form 10-Q for the quarterly period ended March 31, 2025, Part II, Item 1, in our Quarterly Report on Form 10-Q for the quarterly period ended June 30, 2025, and Note to the Consolidated Financial Statements No. 13, Commitments and Contingent Liabilities, in this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1A. Risk Factors” in our 2024 Form 10-K for a discussion of our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quarterly period ended September 30, 2025, none of our directors or officers informed us of the adoption, modification or termination of a "Rule 10b5-1 trading arrangement" or a "non-Rule 10b5-1 trading arrangement," as those terms are defined in Regulation S-K, Item 408.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Index of Exhibits, which is by specific reference incorporated into and made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68580</wp:posOffset>
            </wp:positionV>
            <wp:extent cx="183451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2025</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38"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2360" w:type="dxa"/>
            <w:vAlign w:val="bottom"/>
            <w:gridSpan w:val="3"/>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w w:val="99"/>
              </w:rPr>
              <w:t>Table</w:t>
            </w:r>
          </w:p>
        </w:tc>
        <w:tc>
          <w:tcPr>
            <w:tcW w:w="1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62"/>
        </w:trPr>
        <w:tc>
          <w:tcPr>
            <w:tcW w:w="2360" w:type="dxa"/>
            <w:vAlign w:val="bottom"/>
            <w:gridSpan w:val="3"/>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1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2240" w:type="dxa"/>
            <w:vAlign w:val="bottom"/>
            <w:gridSpan w:val="2"/>
          </w:tcPr>
          <w:p>
            <w:pPr>
              <w:jc w:val="center"/>
              <w:ind w:right="2040"/>
              <w:spacing w:after="0" w:line="160" w:lineRule="exact"/>
              <w:rPr>
                <w:sz w:val="20"/>
                <w:szCs w:val="20"/>
                <w:color w:val="auto"/>
              </w:rPr>
            </w:pPr>
            <w:r>
              <w:rPr>
                <w:rFonts w:ascii="Times New Roman" w:cs="Times New Roman" w:eastAsia="Times New Roman" w:hAnsi="Times New Roman"/>
                <w:sz w:val="14"/>
                <w:szCs w:val="14"/>
                <w:b w:val="1"/>
                <w:bCs w:val="1"/>
                <w:color w:val="auto"/>
                <w:w w:val="96"/>
              </w:rPr>
              <w:t>No.</w:t>
            </w:r>
          </w:p>
        </w:tc>
        <w:tc>
          <w:tcPr>
            <w:tcW w:w="7240" w:type="dxa"/>
            <w:vAlign w:val="bottom"/>
            <w:gridSpan w:val="3"/>
          </w:tcPr>
          <w:p>
            <w:pPr>
              <w:ind w:left="1900"/>
              <w:spacing w:after="0" w:line="160" w:lineRule="exact"/>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1140" w:hanging="70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148"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Defined Contribution Excess Benefit Plan of the Company, as amended and restated effective as of August 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72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2025.</w:t>
            </w:r>
          </w:p>
        </w:tc>
        <w:tc>
          <w:tcPr>
            <w:tcW w:w="776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r>
    </w:tbl>
    <w:p>
      <w:pPr>
        <w:spacing w:after="0" w:line="153" w:lineRule="exact"/>
        <w:rPr>
          <w:sz w:val="20"/>
          <w:szCs w:val="20"/>
          <w:color w:val="auto"/>
        </w:rPr>
      </w:pPr>
    </w:p>
    <w:p>
      <w:pPr>
        <w:ind w:left="1140" w:hanging="70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Subsidiary Guarantors of Guaranteed Securities</w:t>
      </w:r>
    </w:p>
    <w:p>
      <w:pPr>
        <w:spacing w:after="0" w:line="162" w:lineRule="exact"/>
        <w:rPr>
          <w:sz w:val="20"/>
          <w:szCs w:val="20"/>
          <w:color w:val="auto"/>
        </w:rPr>
      </w:pPr>
    </w:p>
    <w:p>
      <w:pPr>
        <w:ind w:left="420"/>
        <w:spacing w:after="0"/>
        <w:tabs>
          <w:tab w:leader="none" w:pos="1120" w:val="left"/>
          <w:tab w:leader="none" w:pos="99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List of Subsidiary Guarantors.</w:t>
      </w:r>
      <w:r>
        <w:rPr>
          <w:sz w:val="20"/>
          <w:szCs w:val="20"/>
          <w:color w:val="auto"/>
        </w:rPr>
        <w:tab/>
      </w:r>
      <w:r>
        <w:rPr>
          <w:rFonts w:ascii="Times New Roman" w:cs="Times New Roman" w:eastAsia="Times New Roman" w:hAnsi="Times New Roman"/>
          <w:sz w:val="18"/>
          <w:szCs w:val="18"/>
          <w:color w:val="auto"/>
        </w:rPr>
        <w:t>22.1</w:t>
      </w:r>
    </w:p>
    <w:p>
      <w:pPr>
        <w:spacing w:after="0" w:line="154" w:lineRule="exact"/>
        <w:rPr>
          <w:sz w:val="20"/>
          <w:szCs w:val="20"/>
          <w:color w:val="auto"/>
        </w:rPr>
      </w:pPr>
    </w:p>
    <w:p>
      <w:pPr>
        <w:ind w:left="1140" w:hanging="70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13a-14(a) Certifications</w:t>
      </w:r>
    </w:p>
    <w:p>
      <w:pPr>
        <w:spacing w:after="0" w:line="148"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Executive Officer pursuant to Rule 13a-14(a) under the Securities Exchange Act of 1934.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Certificate of Chief Financial Officer pursuant to Rule 13a-14(a) under the Securities Exchange Act of 1934.</w:t>
            </w:r>
          </w:p>
        </w:tc>
        <w:tc>
          <w:tcPr>
            <w:tcW w:w="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bl>
    <w:p>
      <w:pPr>
        <w:spacing w:after="0" w:line="153" w:lineRule="exact"/>
        <w:rPr>
          <w:sz w:val="20"/>
          <w:szCs w:val="20"/>
          <w:color w:val="auto"/>
        </w:rPr>
      </w:pPr>
    </w:p>
    <w:p>
      <w:pPr>
        <w:ind w:left="1140" w:hanging="709"/>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148"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(a)</w:t>
            </w: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Executive Officer and Chief Financial Officer pursuant to Rule 13a-14(b) under the</w:t>
            </w: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32.1</w:t>
            </w:r>
          </w:p>
        </w:tc>
      </w:tr>
      <w:tr>
        <w:trPr>
          <w:trHeight w:val="196"/>
        </w:trPr>
        <w:tc>
          <w:tcPr>
            <w:tcW w:w="760" w:type="dxa"/>
            <w:vAlign w:val="bottom"/>
          </w:tcPr>
          <w:p>
            <w:pPr>
              <w:spacing w:after="0"/>
              <w:rPr>
                <w:sz w:val="17"/>
                <w:szCs w:val="17"/>
                <w:color w:val="auto"/>
              </w:rPr>
            </w:pPr>
          </w:p>
        </w:tc>
        <w:tc>
          <w:tcPr>
            <w:tcW w:w="24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w:t>
            </w:r>
          </w:p>
        </w:tc>
        <w:tc>
          <w:tcPr>
            <w:tcW w:w="574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85"/>
        </w:trPr>
        <w:tc>
          <w:tcPr>
            <w:tcW w:w="7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6"/>
              </w:rPr>
              <w:t>101</w:t>
            </w: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Interactive Data Files</w:t>
            </w:r>
          </w:p>
        </w:tc>
        <w:tc>
          <w:tcPr>
            <w:tcW w:w="920" w:type="dxa"/>
            <w:vAlign w:val="bottom"/>
          </w:tcPr>
          <w:p>
            <w:pPr>
              <w:spacing w:after="0"/>
              <w:rPr>
                <w:sz w:val="24"/>
                <w:szCs w:val="24"/>
                <w:color w:val="auto"/>
              </w:rPr>
            </w:pPr>
          </w:p>
        </w:tc>
      </w:tr>
      <w:tr>
        <w:trPr>
          <w:trHeight w:val="346"/>
        </w:trPr>
        <w:tc>
          <w:tcPr>
            <w:tcW w:w="760" w:type="dxa"/>
            <w:vAlign w:val="bottom"/>
          </w:tcPr>
          <w:p>
            <w:pPr>
              <w:spacing w:after="0"/>
              <w:rPr>
                <w:sz w:val="24"/>
                <w:szCs w:val="24"/>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w:t>
            </w: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101.INS</w:t>
            </w:r>
          </w:p>
        </w:tc>
      </w:tr>
      <w:tr>
        <w:trPr>
          <w:trHeight w:val="234"/>
        </w:trPr>
        <w:tc>
          <w:tcPr>
            <w:tcW w:w="76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920" w:type="dxa"/>
            <w:vAlign w:val="bottom"/>
          </w:tcPr>
          <w:p>
            <w:pPr>
              <w:spacing w:after="0"/>
              <w:rPr>
                <w:sz w:val="20"/>
                <w:szCs w:val="20"/>
                <w:color w:val="auto"/>
              </w:rPr>
            </w:pPr>
          </w:p>
        </w:tc>
      </w:tr>
      <w:tr>
        <w:trPr>
          <w:trHeight w:val="364"/>
        </w:trPr>
        <w:tc>
          <w:tcPr>
            <w:tcW w:w="760" w:type="dxa"/>
            <w:vAlign w:val="bottom"/>
          </w:tcPr>
          <w:p>
            <w:pPr>
              <w:spacing w:after="0"/>
              <w:rPr>
                <w:sz w:val="24"/>
                <w:szCs w:val="24"/>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101.SCH</w:t>
            </w:r>
          </w:p>
        </w:tc>
      </w:tr>
    </w:tbl>
    <w:p>
      <w:pPr>
        <w:spacing w:after="0" w:line="126" w:lineRule="exact"/>
        <w:rPr>
          <w:sz w:val="20"/>
          <w:szCs w:val="20"/>
          <w:color w:val="auto"/>
        </w:rPr>
      </w:pPr>
    </w:p>
    <w:p>
      <w:pPr>
        <w:ind w:left="1140" w:hanging="754"/>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w:t>
      </w:r>
    </w:p>
    <w:p>
      <w:pPr>
        <w:spacing w:after="0" w:line="161" w:lineRule="exact"/>
        <w:rPr>
          <w:rFonts w:ascii="Times New Roman" w:cs="Times New Roman" w:eastAsia="Times New Roman" w:hAnsi="Times New Roman"/>
          <w:sz w:val="18"/>
          <w:szCs w:val="18"/>
          <w:color w:val="auto"/>
        </w:rPr>
      </w:pPr>
    </w:p>
    <w:p>
      <w:pPr>
        <w:ind w:left="1140" w:right="1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2025, formatted in Inline XBRL (included as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337" w:right="10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6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(Registrant)</w:t>
      </w:r>
    </w:p>
    <w:p>
      <w:pPr>
        <w:spacing w:after="0" w:line="320" w:lineRule="exact"/>
        <w:rPr>
          <w:sz w:val="20"/>
          <w:szCs w:val="20"/>
          <w:color w:val="auto"/>
        </w:rPr>
      </w:pPr>
    </w:p>
    <w:p>
      <w:pPr>
        <w:ind w:left="20"/>
        <w:spacing w:after="0"/>
        <w:tabs>
          <w:tab w:leader="none" w:pos="660" w:val="left"/>
          <w:tab w:leader="none" w:pos="4940" w:val="left"/>
          <w:tab w:leader="none" w:pos="7200" w:val="left"/>
        </w:tabs>
        <w:rPr>
          <w:sz w:val="20"/>
          <w:szCs w:val="20"/>
          <w:color w:val="auto"/>
        </w:rPr>
      </w:pPr>
      <w:r>
        <w:rPr>
          <w:rFonts w:ascii="Times New Roman" w:cs="Times New Roman" w:eastAsia="Times New Roman" w:hAnsi="Times New Roman"/>
          <w:sz w:val="18"/>
          <w:szCs w:val="18"/>
          <w:color w:val="auto"/>
        </w:rPr>
        <w:t>Date:</w:t>
        <w:tab/>
        <w:t>November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w:t>
      </w:r>
      <w:r>
        <w:rPr>
          <w:rFonts w:ascii="Times New Roman" w:cs="Times New Roman" w:eastAsia="Times New Roman" w:hAnsi="Times New Roman"/>
          <w:sz w:val="13"/>
          <w:szCs w:val="13"/>
          <w:color w:val="auto"/>
        </w:rPr>
        <w:t>ARGARET</w:t>
      </w:r>
      <w:r>
        <w:rPr>
          <w:rFonts w:ascii="Times New Roman" w:cs="Times New Roman" w:eastAsia="Times New Roman" w:hAnsi="Times New Roman"/>
          <w:sz w:val="17"/>
          <w:szCs w:val="17"/>
          <w:color w:val="auto"/>
        </w:rPr>
        <w:t xml:space="preserve"> V. S</w:t>
      </w:r>
      <w:r>
        <w:rPr>
          <w:rFonts w:ascii="Times New Roman" w:cs="Times New Roman" w:eastAsia="Times New Roman" w:hAnsi="Times New Roman"/>
          <w:sz w:val="13"/>
          <w:szCs w:val="13"/>
          <w:color w:val="auto"/>
        </w:rPr>
        <w:t>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34290</wp:posOffset>
            </wp:positionV>
            <wp:extent cx="34804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4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Margaret V. Snyder, Vice President and Controller (Signing on behalf of the</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Registrant as a duly authorized officer of the Registrant and signing as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Accounting Officer of the Registrant.)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33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THE GOODYEAR TIRE &amp; RUBBER COMPANY</w:t>
      </w:r>
    </w:p>
    <w:p>
      <w:pPr>
        <w:spacing w:after="0" w:line="2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b w:val="1"/>
          <w:bCs w:val="1"/>
          <w:u w:val="single" w:color="auto"/>
          <w:color w:val="auto"/>
        </w:rPr>
        <w:t>DEFINED CONTRIBUTION EXCESS BENEFIT PLAN</w:t>
      </w:r>
    </w:p>
    <w:p>
      <w:pPr>
        <w:spacing w:after="0" w:line="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b w:val="1"/>
          <w:bCs w:val="1"/>
          <w:color w:val="auto"/>
        </w:rPr>
        <w:t>(As amended and restated effective as of August 5, 2025)</w:t>
      </w:r>
    </w:p>
    <w:p>
      <w:pPr>
        <w:spacing w:after="0" w:line="200" w:lineRule="exact"/>
        <w:rPr>
          <w:sz w:val="20"/>
          <w:szCs w:val="20"/>
          <w:color w:val="auto"/>
        </w:rPr>
      </w:pPr>
    </w:p>
    <w:p>
      <w:pPr>
        <w:spacing w:after="0" w:line="395" w:lineRule="exact"/>
        <w:rPr>
          <w:sz w:val="20"/>
          <w:szCs w:val="20"/>
          <w:color w:val="auto"/>
        </w:rPr>
      </w:pPr>
    </w:p>
    <w:p>
      <w:pPr>
        <w:jc w:val="both"/>
        <w:ind w:firstLine="648"/>
        <w:spacing w:after="0" w:line="502" w:lineRule="auto"/>
        <w:rPr>
          <w:sz w:val="20"/>
          <w:szCs w:val="20"/>
          <w:color w:val="auto"/>
        </w:rPr>
      </w:pPr>
      <w:r>
        <w:rPr>
          <w:rFonts w:ascii="Times New Roman" w:cs="Times New Roman" w:eastAsia="Times New Roman" w:hAnsi="Times New Roman"/>
          <w:sz w:val="20"/>
          <w:szCs w:val="20"/>
          <w:color w:val="auto"/>
        </w:rPr>
        <w:t>WHEREAS, the Company previously established an excess benefit plan for the purpose of providing supplemental retirement benefits on an unfunded basis to a select group of management or highly compensated employees eligible to participate in accordance with the terms hereof, as contemplated by Section 201(2) of the Employee Retirement Income Security Act of 1974, as amended;</w:t>
      </w:r>
    </w:p>
    <w:p>
      <w:pPr>
        <w:spacing w:after="0" w:line="1" w:lineRule="exact"/>
        <w:rPr>
          <w:sz w:val="20"/>
          <w:szCs w:val="20"/>
          <w:color w:val="auto"/>
        </w:rPr>
      </w:pPr>
    </w:p>
    <w:p>
      <w:pPr>
        <w:jc w:val="both"/>
        <w:ind w:right="20" w:firstLine="648"/>
        <w:spacing w:after="0" w:line="455" w:lineRule="auto"/>
        <w:rPr>
          <w:sz w:val="20"/>
          <w:szCs w:val="20"/>
          <w:color w:val="auto"/>
        </w:rPr>
      </w:pPr>
      <w:r>
        <w:rPr>
          <w:rFonts w:ascii="Times New Roman" w:cs="Times New Roman" w:eastAsia="Times New Roman" w:hAnsi="Times New Roman"/>
          <w:sz w:val="21"/>
          <w:szCs w:val="21"/>
          <w:color w:val="auto"/>
        </w:rPr>
        <w:t>NOW, THEREFORE, said excess benefit plan, which was originally adopted October 7, 2008, and amended most recently effective as of January 1, 2025, is further amended and restated effective August 5, 2025 to provide as follows:</w:t>
      </w:r>
    </w:p>
    <w:p>
      <w:pPr>
        <w:ind w:left="5100"/>
        <w:spacing w:after="0"/>
        <w:rPr>
          <w:sz w:val="20"/>
          <w:szCs w:val="20"/>
          <w:color w:val="auto"/>
        </w:rPr>
      </w:pPr>
      <w:r>
        <w:rPr>
          <w:rFonts w:ascii="Times New Roman" w:cs="Times New Roman" w:eastAsia="Times New Roman" w:hAnsi="Times New Roman"/>
          <w:sz w:val="21"/>
          <w:szCs w:val="21"/>
          <w:b w:val="1"/>
          <w:bCs w:val="1"/>
          <w:u w:val="single" w:color="auto"/>
          <w:color w:val="auto"/>
        </w:rPr>
        <w:t>ARTICLE I</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b w:val="1"/>
          <w:bCs w:val="1"/>
          <w:u w:val="single" w:color="auto"/>
          <w:color w:val="auto"/>
        </w:rPr>
        <w:t>DEFINITIONS</w:t>
      </w:r>
    </w:p>
    <w:p>
      <w:pPr>
        <w:spacing w:after="0" w:line="3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For the purposes hereof, the following words and phrases shall have the meaningsindicated:</w:t>
      </w:r>
    </w:p>
    <w:p>
      <w:pPr>
        <w:spacing w:after="0" w:line="231" w:lineRule="exact"/>
        <w:rPr>
          <w:sz w:val="20"/>
          <w:szCs w:val="20"/>
          <w:color w:val="auto"/>
        </w:rPr>
      </w:pPr>
    </w:p>
    <w:p>
      <w:pPr>
        <w:ind w:left="1940" w:hanging="636"/>
        <w:spacing w:after="0"/>
        <w:tabs>
          <w:tab w:leader="none" w:pos="194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"Act" shall mean the Employee Retirement Income Security Act of1974, as amended.</w:t>
      </w:r>
    </w:p>
    <w:p>
      <w:pPr>
        <w:spacing w:after="0" w:line="244"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"Affiliated Employer" shall mean any employer required to be affiliated with the Company under Section</w:t>
      </w:r>
    </w:p>
    <w:p>
      <w:pPr>
        <w:spacing w:after="0" w:line="23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414(b), (c), or (m).</w:t>
      </w:r>
    </w:p>
    <w:p>
      <w:pPr>
        <w:spacing w:after="0" w:line="244"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"Code" shall mean the Internal Revenue Code of 1986, as amended.</w:t>
      </w:r>
    </w:p>
    <w:p>
      <w:pPr>
        <w:spacing w:after="0" w:line="244" w:lineRule="exact"/>
        <w:rPr>
          <w:rFonts w:ascii="Times New Roman" w:cs="Times New Roman" w:eastAsia="Times New Roman" w:hAnsi="Times New Roman"/>
          <w:sz w:val="21"/>
          <w:szCs w:val="21"/>
          <w:color w:val="auto"/>
        </w:rPr>
      </w:pPr>
    </w:p>
    <w:p>
      <w:pPr>
        <w:jc w:val="both"/>
        <w:ind w:firstLine="1304"/>
        <w:spacing w:after="0" w:line="474" w:lineRule="auto"/>
        <w:tabs>
          <w:tab w:leader="none" w:pos="1937"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mean The Goodyear Tire &amp; Rubber Company, an Ohio corporation, its corporate successors and the surviving corporation resulting from any merger of The Goodyear Tire &amp; Rubber Company with any other corporation or corporations.</w:t>
      </w:r>
    </w:p>
    <w:p>
      <w:pPr>
        <w:ind w:left="1940" w:hanging="636"/>
        <w:spacing w:after="0"/>
        <w:tabs>
          <w:tab w:leader="none" w:pos="19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"Employee" shall mean any person employed by an Employer on a salaried basis and eligible to participate</w:t>
      </w:r>
    </w:p>
    <w:p>
      <w:pPr>
        <w:spacing w:after="0" w:line="25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in the Savings Plan.</w:t>
      </w:r>
    </w:p>
    <w:p>
      <w:pPr>
        <w:sectPr>
          <w:pgSz w:w="11900" w:h="16838" w:orient="portrait"/>
          <w:cols w:equalWidth="0" w:num="1">
            <w:col w:w="11240"/>
          </w:cols>
          <w:pgMar w:left="320" w:top="117" w:right="339" w:bottom="1440" w:gutter="0" w:footer="0" w:header="0"/>
        </w:sectPr>
      </w:pPr>
    </w:p>
    <w:bookmarkStart w:id="63" w:name="page64"/>
    <w:bookmarkEnd w:id="63"/>
    <w:p>
      <w:pPr>
        <w:spacing w:after="0" w:line="98" w:lineRule="exact"/>
        <w:rPr>
          <w:sz w:val="20"/>
          <w:szCs w:val="20"/>
          <w:color w:val="auto"/>
        </w:rPr>
      </w:pPr>
    </w:p>
    <w:p>
      <w:pPr>
        <w:ind w:left="1940" w:hanging="636"/>
        <w:spacing w:after="0"/>
        <w:tabs>
          <w:tab w:leader="none" w:pos="19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"Employer" shall mean the Company and its Affiliated Employers.</w:t>
      </w:r>
    </w:p>
    <w:p>
      <w:pPr>
        <w:spacing w:after="0" w:line="244"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"Excess Benefit" is the benefit payable under this Plan pursuant to Article II.</w:t>
      </w:r>
    </w:p>
    <w:p>
      <w:pPr>
        <w:spacing w:after="0" w:line="231" w:lineRule="exact"/>
        <w:rPr>
          <w:rFonts w:ascii="Times New Roman" w:cs="Times New Roman" w:eastAsia="Times New Roman" w:hAnsi="Times New Roman"/>
          <w:sz w:val="21"/>
          <w:szCs w:val="21"/>
          <w:color w:val="auto"/>
        </w:rPr>
      </w:pPr>
    </w:p>
    <w:p>
      <w:pPr>
        <w:jc w:val="both"/>
        <w:ind w:firstLine="1304"/>
        <w:spacing w:after="0" w:line="478" w:lineRule="auto"/>
        <w:tabs>
          <w:tab w:leader="none" w:pos="1937"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"Excess Compensation" is the amount of compensation for any Participant in the Savings Plan to the extent the Participant had compensation limited by either Code Sections 401(a)(17) or 415(c) from being taken into account in computing the Employer's Retirement Contributions for the Participant in the Savings Plan.</w:t>
      </w:r>
    </w:p>
    <w:p>
      <w:pPr>
        <w:spacing w:after="0" w:line="2" w:lineRule="exact"/>
        <w:rPr>
          <w:sz w:val="20"/>
          <w:szCs w:val="20"/>
          <w:color w:val="auto"/>
        </w:rPr>
      </w:pPr>
    </w:p>
    <w:p>
      <w:pPr>
        <w:ind w:left="1940" w:hanging="479"/>
        <w:spacing w:after="0"/>
        <w:tabs>
          <w:tab w:leader="none" w:pos="194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"Excess Contribution" shall be the amount of contribution made pursuant to Article II, Section 3 of the Plan.</w:t>
      </w:r>
    </w:p>
    <w:p>
      <w:pPr>
        <w:spacing w:after="0" w:line="24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shall mean any Employee who is a Participant in theSavings Plan with Excess Compensation.</w:t>
      </w:r>
    </w:p>
    <w:p>
      <w:pPr>
        <w:spacing w:after="0" w:line="244" w:lineRule="exact"/>
        <w:rPr>
          <w:rFonts w:ascii="Times New Roman" w:cs="Times New Roman" w:eastAsia="Times New Roman" w:hAnsi="Times New Roman"/>
          <w:sz w:val="21"/>
          <w:szCs w:val="21"/>
          <w:color w:val="auto"/>
        </w:rPr>
      </w:pPr>
    </w:p>
    <w:p>
      <w:pPr>
        <w:ind w:firstLine="1304"/>
        <w:spacing w:after="0" w:line="476" w:lineRule="auto"/>
        <w:tabs>
          <w:tab w:leader="none" w:pos="1925"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"Plan" shall mean the plan as set forth herein, together with all amendments hereto, which shall be called "The Goodyear Tire &amp; Rubber Company Defined Contribution Excess Benefit Plan."</w:t>
      </w:r>
    </w:p>
    <w:p>
      <w:pPr>
        <w:jc w:val="both"/>
        <w:ind w:firstLine="1304"/>
        <w:spacing w:after="0" w:line="478" w:lineRule="auto"/>
        <w:tabs>
          <w:tab w:leader="none" w:pos="1933"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"Savings Plan" shall mean either The Goodyear Tire &amp; Rubber Company Employee Savings Plan for Salaried Employees or The Goodyear Tire &amp; Rubber Company Savings Plan for Retail Employees, as the same shall be in effect on the various dates of an Employee's participation.</w:t>
      </w:r>
    </w:p>
    <w:p>
      <w:pPr>
        <w:spacing w:after="0" w:line="1" w:lineRule="exact"/>
        <w:rPr>
          <w:rFonts w:ascii="Times New Roman" w:cs="Times New Roman" w:eastAsia="Times New Roman" w:hAnsi="Times New Roman"/>
          <w:sz w:val="21"/>
          <w:szCs w:val="21"/>
          <w:color w:val="auto"/>
        </w:rPr>
      </w:pPr>
    </w:p>
    <w:p>
      <w:pPr>
        <w:ind w:firstLine="648"/>
        <w:spacing w:after="0" w:line="4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words and phrases used herein shall have the meanings given them in the Savings Plans, unless a different meaning is clearly required by the context.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64" w:name="page65"/>
    <w:bookmarkEnd w:id="64"/>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ARTICLE 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EXCESS BENEFIT</w:t>
      </w:r>
    </w:p>
    <w:p>
      <w:pPr>
        <w:spacing w:after="0" w:line="342" w:lineRule="exact"/>
        <w:rPr>
          <w:sz w:val="20"/>
          <w:szCs w:val="20"/>
          <w:color w:val="auto"/>
        </w:rPr>
      </w:pPr>
    </w:p>
    <w:p>
      <w:pPr>
        <w:jc w:val="both"/>
        <w:ind w:firstLine="1304"/>
        <w:spacing w:after="0" w:line="476" w:lineRule="auto"/>
        <w:tabs>
          <w:tab w:leader="none" w:pos="1937"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Eligibility.</w:t>
      </w:r>
      <w:r>
        <w:rPr>
          <w:rFonts w:ascii="Times New Roman" w:cs="Times New Roman" w:eastAsia="Times New Roman" w:hAnsi="Times New Roman"/>
          <w:sz w:val="21"/>
          <w:szCs w:val="21"/>
          <w:color w:val="auto"/>
        </w:rPr>
        <w:t xml:space="preserve"> A Participant who dies or terminates employment with an Employer under conditions that make such Participant or beneficiary eligible for a benefit derived from Retirement Contributions under the Savings Plan, who had Excess Compensation and who does not receive a benefit from The Goodyear Tire &amp; Rubber Company Supplementary Pension Plan shall be eligible for an Excess Benefit.</w:t>
      </w:r>
    </w:p>
    <w:p>
      <w:pPr>
        <w:spacing w:after="0" w:line="1" w:lineRule="exact"/>
        <w:rPr>
          <w:rFonts w:ascii="Times New Roman" w:cs="Times New Roman" w:eastAsia="Times New Roman" w:hAnsi="Times New Roman"/>
          <w:sz w:val="21"/>
          <w:szCs w:val="21"/>
          <w:color w:val="auto"/>
        </w:rPr>
      </w:pPr>
    </w:p>
    <w:p>
      <w:pPr>
        <w:jc w:val="both"/>
        <w:ind w:firstLine="1304"/>
        <w:spacing w:after="0" w:line="477" w:lineRule="auto"/>
        <w:tabs>
          <w:tab w:leader="none" w:pos="1937"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Amount of Excess Benefit.</w:t>
      </w:r>
      <w:r>
        <w:rPr>
          <w:rFonts w:ascii="Times New Roman" w:cs="Times New Roman" w:eastAsia="Times New Roman" w:hAnsi="Times New Roman"/>
          <w:sz w:val="21"/>
          <w:szCs w:val="21"/>
          <w:color w:val="auto"/>
        </w:rPr>
        <w:t xml:space="preserve"> The amount of the Excess Benefit shall be the sum of all Excess Contributions notionally credited increased by (a) from January 1, 2005 until September 30, 2008, a seven (7) percent compounded annual return, and (b) commencing October 1, 2008, interest credited at 120% of the Applicable Federal Long­Term Rate as of the first day of each quarter (as prescribed under Section 1274(d) of the Code), compounded monthly, computed from the date of each notional contribution. The amount of the Excess Benefit for any participant who participated in The Goodyear Dunlop Tires North America, Ltd. Excess Savings Plan shall be the amount of the balance earned in such Plan through September 6, 2012 plus benefits earned by the participant in this Plan.</w:t>
      </w:r>
    </w:p>
    <w:p>
      <w:pPr>
        <w:spacing w:after="0" w:line="1" w:lineRule="exact"/>
        <w:rPr>
          <w:rFonts w:ascii="Times New Roman" w:cs="Times New Roman" w:eastAsia="Times New Roman" w:hAnsi="Times New Roman"/>
          <w:sz w:val="21"/>
          <w:szCs w:val="21"/>
          <w:color w:val="auto"/>
        </w:rPr>
      </w:pPr>
    </w:p>
    <w:p>
      <w:pPr>
        <w:jc w:val="both"/>
        <w:ind w:firstLine="1304"/>
        <w:spacing w:after="0" w:line="477" w:lineRule="auto"/>
        <w:tabs>
          <w:tab w:leader="none" w:pos="1937"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Excess Contributions</w:t>
      </w:r>
      <w:r>
        <w:rPr>
          <w:rFonts w:ascii="Times New Roman" w:cs="Times New Roman" w:eastAsia="Times New Roman" w:hAnsi="Times New Roman"/>
          <w:sz w:val="21"/>
          <w:szCs w:val="21"/>
          <w:color w:val="auto"/>
        </w:rPr>
        <w:t>. Excess Contributions will be notionally credited to a Participant on the last day of any calendar month in which the Participant had Excess Compensation. The Excess Contributions will be equal to the amount the Company would have contributed in the form of Retirement Contributions and Matching Employer Contributions to the Savings Plan made for such month with respect to the Participant's Excess Compensation were it not for the limitations of Code Section 401(a)(17) and 415(c).</w:t>
      </w:r>
    </w:p>
    <w:p>
      <w:pPr>
        <w:spacing w:after="0" w:line="3" w:lineRule="exact"/>
        <w:rPr>
          <w:rFonts w:ascii="Times New Roman" w:cs="Times New Roman" w:eastAsia="Times New Roman" w:hAnsi="Times New Roman"/>
          <w:sz w:val="21"/>
          <w:szCs w:val="21"/>
          <w:color w:val="auto"/>
        </w:rPr>
      </w:pPr>
    </w:p>
    <w:p>
      <w:pPr>
        <w:jc w:val="both"/>
        <w:ind w:firstLine="1304"/>
        <w:spacing w:after="0" w:line="490" w:lineRule="auto"/>
        <w:tabs>
          <w:tab w:leader="none" w:pos="1712"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Minimum Excess Contributions</w:t>
      </w:r>
      <w:r>
        <w:rPr>
          <w:rFonts w:ascii="Times New Roman" w:cs="Times New Roman" w:eastAsia="Times New Roman" w:hAnsi="Times New Roman"/>
          <w:sz w:val="21"/>
          <w:szCs w:val="21"/>
          <w:color w:val="auto"/>
        </w:rPr>
        <w:t>. If a Participant only received Retirement Contributions of four percent (4%) of Compensation under the Savings Plan for any given month then the Excess Contributions under Section 3 of Article II will be six percent (6%) of the Excess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65" w:name="page66"/>
    <w:bookmarkEnd w:id="65"/>
    <w:p>
      <w:pPr>
        <w:spacing w:after="0" w:line="98" w:lineRule="exact"/>
        <w:rPr>
          <w:sz w:val="20"/>
          <w:szCs w:val="20"/>
          <w:color w:val="auto"/>
        </w:rPr>
      </w:pPr>
    </w:p>
    <w:p>
      <w:pPr>
        <w:jc w:val="both"/>
        <w:spacing w:after="0" w:line="469" w:lineRule="auto"/>
        <w:rPr>
          <w:sz w:val="20"/>
          <w:szCs w:val="20"/>
          <w:color w:val="auto"/>
        </w:rPr>
      </w:pPr>
      <w:r>
        <w:rPr>
          <w:rFonts w:ascii="Times New Roman" w:cs="Times New Roman" w:eastAsia="Times New Roman" w:hAnsi="Times New Roman"/>
          <w:sz w:val="21"/>
          <w:szCs w:val="21"/>
          <w:color w:val="auto"/>
        </w:rPr>
        <w:t>Compensation of such Participant for such month. To reflect the effective date of January 1, 2023 of the increase in the minimum retirement contribution in The Goodyear Tire &amp; Rubber Company Employee Savings Plan for Salaried Employees (the “Salaried Savings Plan”) for associates hired on or after April 1, 2007, the Minimum Excess Contributions under the Plan are increased as set forth in the preceding sentence, provided, however, that Participants who participate in the Salaried Savings Plan will receive a one-time, one percent (1%) Excess Contribution to the Plan for all 2023 elective deferral contributions under the Salaried Savings Plan to align with the amendment of the Salaried Savings Plan effective January 1, 2023.</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TIME AND FORM OF PAYMENT</w:t>
      </w:r>
    </w:p>
    <w:p>
      <w:pPr>
        <w:spacing w:after="0" w:line="366" w:lineRule="exact"/>
        <w:rPr>
          <w:sz w:val="20"/>
          <w:szCs w:val="20"/>
          <w:color w:val="auto"/>
        </w:rPr>
      </w:pPr>
    </w:p>
    <w:p>
      <w:pPr>
        <w:jc w:val="both"/>
        <w:ind w:firstLine="1304"/>
        <w:spacing w:after="0" w:line="477" w:lineRule="auto"/>
        <w:tabs>
          <w:tab w:leader="none" w:pos="1937"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Benefits.</w:t>
      </w:r>
      <w:r>
        <w:rPr>
          <w:rFonts w:ascii="Times New Roman" w:cs="Times New Roman" w:eastAsia="Times New Roman" w:hAnsi="Times New Roman"/>
          <w:sz w:val="21"/>
          <w:szCs w:val="21"/>
          <w:color w:val="auto"/>
        </w:rPr>
        <w:t xml:space="preserve"> Each Excess Benefit provided for hereunder shall be paid as a lump sum to the Participant or to the Participant's beneficiary under the Savings Plan, if the Participant is deceased. Such lump sum payments will be made within 90 days after death to any beneficiary or within 90 days after any Separation from Service if Participant is vested in the Savings Plan and is not a Specified Employee. Any Participant who is a Specified Employee shall be paid such lump sum on the first business day that is more than six months after the date of Separation from Service.</w:t>
      </w:r>
    </w:p>
    <w:p>
      <w:pPr>
        <w:spacing w:after="0" w:line="3" w:lineRule="exact"/>
        <w:rPr>
          <w:rFonts w:ascii="Times New Roman" w:cs="Times New Roman" w:eastAsia="Times New Roman" w:hAnsi="Times New Roman"/>
          <w:sz w:val="21"/>
          <w:szCs w:val="21"/>
          <w:color w:val="auto"/>
        </w:rPr>
      </w:pPr>
    </w:p>
    <w:p>
      <w:pPr>
        <w:jc w:val="both"/>
        <w:ind w:firstLine="1304"/>
        <w:spacing w:after="0" w:line="478" w:lineRule="auto"/>
        <w:tabs>
          <w:tab w:leader="none" w:pos="1937"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Specified Employees.</w:t>
      </w:r>
      <w:r>
        <w:rPr>
          <w:rFonts w:ascii="Times New Roman" w:cs="Times New Roman" w:eastAsia="Times New Roman" w:hAnsi="Times New Roman"/>
          <w:sz w:val="21"/>
          <w:szCs w:val="21"/>
          <w:color w:val="auto"/>
        </w:rPr>
        <w:t xml:space="preserve"> A Specified Employee is an employee who is a specified employee in accordance with Section 409A of the Code. The specified employee identification date for the Plan is December 31 of each year. The specified employee effective date for the Plan is each following January 1.</w:t>
      </w:r>
    </w:p>
    <w:p>
      <w:pPr>
        <w:spacing w:after="0" w:line="1" w:lineRule="exact"/>
        <w:rPr>
          <w:rFonts w:ascii="Times New Roman" w:cs="Times New Roman" w:eastAsia="Times New Roman" w:hAnsi="Times New Roman"/>
          <w:sz w:val="21"/>
          <w:szCs w:val="21"/>
          <w:color w:val="auto"/>
        </w:rPr>
      </w:pPr>
    </w:p>
    <w:p>
      <w:pPr>
        <w:jc w:val="both"/>
        <w:ind w:firstLine="1304"/>
        <w:spacing w:after="0" w:line="490" w:lineRule="auto"/>
        <w:tabs>
          <w:tab w:leader="none" w:pos="1937"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For purposes of establishing whether an employee has a Separation from Service, the employee will be deemed to have a Separation from Service on the date of termination of employment, if the employee after the date of termination of employment is not reasonably anticipated to provide a level of bona fide services that exceeds 25% of the average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66" w:name="page67"/>
    <w:bookmarkEnd w:id="66"/>
    <w:p>
      <w:pPr>
        <w:spacing w:after="0" w:line="98" w:lineRule="exact"/>
        <w:rPr>
          <w:sz w:val="20"/>
          <w:szCs w:val="20"/>
          <w:color w:val="auto"/>
        </w:rPr>
      </w:pPr>
    </w:p>
    <w:p>
      <w:pPr>
        <w:jc w:val="both"/>
        <w:spacing w:after="0" w:line="455" w:lineRule="auto"/>
        <w:rPr>
          <w:sz w:val="20"/>
          <w:szCs w:val="20"/>
          <w:color w:val="auto"/>
        </w:rPr>
      </w:pPr>
      <w:r>
        <w:rPr>
          <w:rFonts w:ascii="Times New Roman" w:cs="Times New Roman" w:eastAsia="Times New Roman" w:hAnsi="Times New Roman"/>
          <w:sz w:val="21"/>
          <w:szCs w:val="21"/>
          <w:color w:val="auto"/>
        </w:rPr>
        <w:t>level of bona fide services provided by the employee in the immediately preceding 36 months (or the total period of employment, if less than 36 months), within the meaning of Section 409A of the Code.</w:t>
      </w: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ADMINISTRATION</w:t>
      </w:r>
    </w:p>
    <w:p>
      <w:pPr>
        <w:spacing w:after="0" w:line="352" w:lineRule="exact"/>
        <w:rPr>
          <w:sz w:val="20"/>
          <w:szCs w:val="20"/>
          <w:color w:val="auto"/>
        </w:rPr>
      </w:pPr>
    </w:p>
    <w:p>
      <w:pPr>
        <w:jc w:val="both"/>
        <w:ind w:firstLine="648"/>
        <w:spacing w:after="0" w:line="473" w:lineRule="auto"/>
        <w:rPr>
          <w:sz w:val="20"/>
          <w:szCs w:val="20"/>
          <w:color w:val="auto"/>
        </w:rPr>
      </w:pPr>
      <w:r>
        <w:rPr>
          <w:rFonts w:ascii="Times New Roman" w:cs="Times New Roman" w:eastAsia="Times New Roman" w:hAnsi="Times New Roman"/>
          <w:sz w:val="21"/>
          <w:szCs w:val="21"/>
          <w:color w:val="auto"/>
        </w:rPr>
        <w:t>The Plan is a plan maintained primarily for the purpose of providing deferred compensation for a select group of management or highly compensated employees. Accordingly, the Plan shall be construed and administered in the manner appropriate to maintain the Plan's status as such under the Act. To the extent that the Act applies to the Plan, the Company shall be the "named fiduciary" of and the "plan administrator" of the Plan. The Company shall be responsible for the general administration of the Plan and for carrying out the provisions hereof. The Employers shall be responsible for making any required benefit payments under the Plan. The Company shall have the sole and absolute authority and power to administer and carry out the provisions of the Plan, except that the Employers shall make any required benefit payments hereunder; to determine all questions relating to eligibility for and the amount of any benefit hereunder and all questions pertaining to claims for benefits and procedures for claim review; to resolve all other questions arising under the Plan, including any questions of construction; and to take such further action as the Company shall deem advisable in the administration of the Plan. All actions taken and decisions made by the Company hereunder be final and binding upon all interested parties.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AMENDMENT AND TERMINATION</w:t>
      </w:r>
    </w:p>
    <w:p>
      <w:pPr>
        <w:spacing w:after="0" w:line="352" w:lineRule="exact"/>
        <w:rPr>
          <w:sz w:val="20"/>
          <w:szCs w:val="20"/>
          <w:color w:val="auto"/>
        </w:rPr>
      </w:pPr>
    </w:p>
    <w:p>
      <w:pPr>
        <w:jc w:val="both"/>
        <w:ind w:firstLine="1304"/>
        <w:spacing w:after="0" w:line="490" w:lineRule="auto"/>
        <w:tabs>
          <w:tab w:leader="none" w:pos="1937"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Amend or Terminate.</w:t>
      </w:r>
      <w:r>
        <w:rPr>
          <w:rFonts w:ascii="Times New Roman" w:cs="Times New Roman" w:eastAsia="Times New Roman" w:hAnsi="Times New Roman"/>
          <w:sz w:val="21"/>
          <w:szCs w:val="21"/>
          <w:color w:val="auto"/>
        </w:rPr>
        <w:t xml:space="preserve"> The Company reserves the right in its sole and absolute discretion to amend or terminate the Plan at any time by action of its Board of Directors subject to the requirements of this Article; provided, however, that no such action shall adversely affect the right of any Employee or beneficiary to any Excess Benefit determined under the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67" w:name="page68"/>
    <w:bookmarkEnd w:id="67"/>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provisions of the Plan previously in effect for any period of time that the Employee was a Participant.</w:t>
      </w:r>
    </w:p>
    <w:p>
      <w:pPr>
        <w:spacing w:after="0" w:line="245" w:lineRule="exact"/>
        <w:rPr>
          <w:sz w:val="20"/>
          <w:szCs w:val="20"/>
          <w:color w:val="auto"/>
        </w:rPr>
      </w:pPr>
    </w:p>
    <w:p>
      <w:pPr>
        <w:ind w:firstLine="1304"/>
        <w:spacing w:after="0" w:line="476" w:lineRule="auto"/>
        <w:tabs>
          <w:tab w:leader="none" w:pos="1937"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no termination or amendment of this Plan may accelerate payment of Excess Benefits to any Participant except under the following conditions subject to the mandatory six-month delay for Specified Employees:</w:t>
      </w:r>
    </w:p>
    <w:p>
      <w:pPr>
        <w:jc w:val="both"/>
        <w:ind w:firstLine="1952"/>
        <w:spacing w:after="0" w:line="476" w:lineRule="auto"/>
        <w:tabs>
          <w:tab w:leader="none" w:pos="2590" w:val="left"/>
        </w:tabs>
        <w:numPr>
          <w:ilvl w:val="1"/>
          <w:numId w:val="30"/>
        </w:numPr>
        <w:rPr>
          <w:rFonts w:ascii="Times New Roman" w:cs="Times New Roman" w:eastAsia="Times New Roman" w:hAnsi="Times New Roman"/>
          <w:sz w:val="21"/>
          <w:szCs w:val="21"/>
          <w:color w:val="464646"/>
        </w:rPr>
      </w:pPr>
      <w:r>
        <w:rPr>
          <w:rFonts w:ascii="Times New Roman" w:cs="Times New Roman" w:eastAsia="Times New Roman" w:hAnsi="Times New Roman"/>
          <w:sz w:val="21"/>
          <w:szCs w:val="21"/>
          <w:color w:val="auto"/>
        </w:rPr>
        <w:t>The Company may terminate and liquidate the Plan within 12 months of a corporate dissolution taxed under section 331, or with the approval of a bankruptcy court pursuant to 11 U.S.C. §503(b)(l)(A), provided that the amounts deferred under the Plan are included in the Participants' gross incomes in the latest of the following years (or, if earlier the taxable year in which the amount is actually or constructively received):</w:t>
      </w:r>
    </w:p>
    <w:p>
      <w:pPr>
        <w:spacing w:after="0" w:line="1" w:lineRule="exact"/>
        <w:rPr>
          <w:rFonts w:ascii="Times New Roman" w:cs="Times New Roman" w:eastAsia="Times New Roman" w:hAnsi="Times New Roman"/>
          <w:sz w:val="21"/>
          <w:szCs w:val="21"/>
          <w:color w:val="464646"/>
        </w:rPr>
      </w:pPr>
    </w:p>
    <w:p>
      <w:pPr>
        <w:jc w:val="both"/>
        <w:ind w:firstLine="2600"/>
        <w:spacing w:after="0" w:line="478" w:lineRule="auto"/>
        <w:tabs>
          <w:tab w:leader="none" w:pos="3238"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calendar year in which the Plan termination and liquidation occurs; (b) the first calendar year in which the amount is no longer subject to a substantial risk of forfeiture; or (c) the first calendar year in which the payment is administratively practicable.</w:t>
      </w:r>
    </w:p>
    <w:p>
      <w:pPr>
        <w:spacing w:after="0" w:line="1" w:lineRule="exact"/>
        <w:rPr>
          <w:rFonts w:ascii="Times New Roman" w:cs="Times New Roman" w:eastAsia="Times New Roman" w:hAnsi="Times New Roman"/>
          <w:sz w:val="21"/>
          <w:szCs w:val="21"/>
          <w:color w:val="auto"/>
        </w:rPr>
      </w:pPr>
    </w:p>
    <w:p>
      <w:pPr>
        <w:jc w:val="both"/>
        <w:ind w:firstLine="1952"/>
        <w:spacing w:after="0" w:line="481" w:lineRule="auto"/>
        <w:tabs>
          <w:tab w:leader="none" w:pos="2590" w:val="left"/>
        </w:tabs>
        <w:numPr>
          <w:ilvl w:val="1"/>
          <w:numId w:val="30"/>
        </w:numPr>
        <w:rPr>
          <w:rFonts w:ascii="Times New Roman" w:cs="Times New Roman" w:eastAsia="Times New Roman" w:hAnsi="Times New Roman"/>
          <w:sz w:val="21"/>
          <w:szCs w:val="21"/>
          <w:color w:val="464646"/>
        </w:rPr>
      </w:pPr>
      <w:r>
        <w:rPr>
          <w:rFonts w:ascii="Times New Roman" w:cs="Times New Roman" w:eastAsia="Times New Roman" w:hAnsi="Times New Roman"/>
          <w:sz w:val="21"/>
          <w:szCs w:val="21"/>
          <w:color w:val="auto"/>
        </w:rPr>
        <w:t>The Company may terminate and liquidate the Plan pursuant to irrevocable action taken by the Board of Directors within the 30 days preceding or the 12 months following a change in control event (as defined in Treasury Regulation § l.409A- 3(i)(5)), provided that this paragraph will only apply to a payment under the plan if all agreements, methods, programs, and other arrangements sponsored by the Company immediately after the time of the change in control event with respect to which deferrals of compensation are treated as having been deferred under a single plan under Treasury Regulation §1.409A-1(c)(2) are terminated and liquidated with respect to each Participant that experienced the change in control event, so that under the terms of the termination and liquidation all such participants are required to receive all amounts of compensation deferred under the terminated agreements, methods, programs and other arrangements within 12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68" w:name="page69"/>
    <w:bookmarkEnd w:id="68"/>
    <w:p>
      <w:pPr>
        <w:spacing w:after="0" w:line="98" w:lineRule="exact"/>
        <w:rPr>
          <w:sz w:val="20"/>
          <w:szCs w:val="20"/>
          <w:color w:val="auto"/>
        </w:rPr>
      </w:pPr>
    </w:p>
    <w:p>
      <w:pPr>
        <w:ind w:right="20"/>
        <w:spacing w:after="0" w:line="476" w:lineRule="auto"/>
        <w:rPr>
          <w:sz w:val="20"/>
          <w:szCs w:val="20"/>
          <w:color w:val="auto"/>
        </w:rPr>
      </w:pPr>
      <w:r>
        <w:rPr>
          <w:rFonts w:ascii="Times New Roman" w:cs="Times New Roman" w:eastAsia="Times New Roman" w:hAnsi="Times New Roman"/>
          <w:sz w:val="21"/>
          <w:szCs w:val="21"/>
          <w:color w:val="auto"/>
        </w:rPr>
        <w:t>months of the date the Company irrevocably takes all necessary action to terminate and liquidate the agreements, methods, programs, and other arrangements.</w:t>
      </w:r>
    </w:p>
    <w:p>
      <w:pPr>
        <w:spacing w:after="0" w:line="1" w:lineRule="exact"/>
        <w:rPr>
          <w:sz w:val="20"/>
          <w:szCs w:val="20"/>
          <w:color w:val="auto"/>
        </w:rPr>
      </w:pPr>
    </w:p>
    <w:p>
      <w:pPr>
        <w:jc w:val="both"/>
        <w:ind w:firstLine="1952"/>
        <w:spacing w:after="0" w:line="501" w:lineRule="auto"/>
        <w:tabs>
          <w:tab w:leader="none" w:pos="2590" w:val="left"/>
        </w:tabs>
        <w:numPr>
          <w:ilvl w:val="1"/>
          <w:numId w:val="31"/>
        </w:numPr>
        <w:rPr>
          <w:rFonts w:ascii="Times New Roman" w:cs="Times New Roman" w:eastAsia="Times New Roman" w:hAnsi="Times New Roman"/>
          <w:sz w:val="20"/>
          <w:szCs w:val="20"/>
          <w:color w:val="464646"/>
        </w:rPr>
      </w:pPr>
      <w:r>
        <w:rPr>
          <w:rFonts w:ascii="Times New Roman" w:cs="Times New Roman" w:eastAsia="Times New Roman" w:hAnsi="Times New Roman"/>
          <w:sz w:val="20"/>
          <w:szCs w:val="20"/>
          <w:color w:val="auto"/>
        </w:rPr>
        <w:t>The Company may terminate and liquidate the Plan, provided that (a) the termination and liquidation does not occur proximate to a downturn in the financial health of the Company; (b) the Company terminates and liquidates all agreements, methods, programs, and other arrangements sponsored by the Company that would be aggregated with any terminated and liquidated agreements, methods, programs, and other arrangements under Treasury Regulation §1.409-1(c) if any Participant had deferrals of compensation under all of the agreements, methods, programs, and other arrangements that are terminated and liquidated;</w:t>
      </w:r>
    </w:p>
    <w:p>
      <w:pPr>
        <w:spacing w:after="0" w:line="2" w:lineRule="exact"/>
        <w:rPr>
          <w:rFonts w:ascii="Times New Roman" w:cs="Times New Roman" w:eastAsia="Times New Roman" w:hAnsi="Times New Roman"/>
          <w:sz w:val="20"/>
          <w:szCs w:val="20"/>
          <w:color w:val="464646"/>
        </w:rPr>
      </w:pPr>
    </w:p>
    <w:p>
      <w:pPr>
        <w:jc w:val="both"/>
        <w:ind w:firstLine="8"/>
        <w:spacing w:after="0" w:line="471" w:lineRule="auto"/>
        <w:tabs>
          <w:tab w:leader="none" w:pos="283"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payments in liquidation of the Plan are made within 12 months of the date the Company takes all necessary action to irrevocably terminate and liquidate the Plan other than payments that would be payable under the terms of the Plan if the action to terminate and liquidate the Plan had not occurred; (d) all payments are made within 24 months of the date the Company takes all necessary action to irrevocably terminate and liquidate the Plan; and (e) the Company does not adopt a new plan that would be aggregated with any terminated and liquidated plan under Treasury Regulation §1.409A-l(c) if the same service provider participated in both plans, at any time within three years following the date the service recipient takes all necessary action to irrevocably terminate and liquidate the Plan.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ARTICLE VI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MISCELLANEOUS</w:t>
      </w:r>
    </w:p>
    <w:p>
      <w:pPr>
        <w:spacing w:after="0" w:line="356" w:lineRule="exact"/>
        <w:rPr>
          <w:sz w:val="20"/>
          <w:szCs w:val="20"/>
          <w:color w:val="auto"/>
        </w:rPr>
      </w:pPr>
    </w:p>
    <w:p>
      <w:pPr>
        <w:jc w:val="both"/>
        <w:ind w:firstLine="1304"/>
        <w:spacing w:after="0" w:line="483" w:lineRule="auto"/>
        <w:tabs>
          <w:tab w:leader="none" w:pos="176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Non-Alienation of Retirement Rights or Benefits.</w:t>
      </w:r>
      <w:r>
        <w:rPr>
          <w:rFonts w:ascii="Times New Roman" w:cs="Times New Roman" w:eastAsia="Times New Roman" w:hAnsi="Times New Roman"/>
          <w:sz w:val="21"/>
          <w:szCs w:val="21"/>
          <w:color w:val="auto"/>
        </w:rPr>
        <w:t xml:space="preserve"> No Employee and no beneficiary of an Employee shall encumber or dispose of such person's right to receive any payments hereunder. Payments hereunder, or the right thereto, are expressly declared to be non-assignable and non-transferable. If an Employee or beneficiary attempts to assign, transfer, alienate, or encumber the right to receive any payment hereunder or permits the same to be subject to alienation, garnishment, attachment, execution, or levy of any kind, then thereafter during the life of</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69" w:name="page70"/>
    <w:bookmarkEnd w:id="69"/>
    <w:p>
      <w:pPr>
        <w:spacing w:after="0" w:line="98" w:lineRule="exact"/>
        <w:rPr>
          <w:sz w:val="20"/>
          <w:szCs w:val="20"/>
          <w:color w:val="auto"/>
        </w:rPr>
      </w:pPr>
    </w:p>
    <w:p>
      <w:pPr>
        <w:jc w:val="both"/>
        <w:spacing w:after="0" w:line="476" w:lineRule="auto"/>
        <w:rPr>
          <w:sz w:val="20"/>
          <w:szCs w:val="20"/>
          <w:color w:val="auto"/>
        </w:rPr>
      </w:pPr>
      <w:r>
        <w:rPr>
          <w:rFonts w:ascii="Times New Roman" w:cs="Times New Roman" w:eastAsia="Times New Roman" w:hAnsi="Times New Roman"/>
          <w:sz w:val="21"/>
          <w:szCs w:val="21"/>
          <w:color w:val="auto"/>
        </w:rPr>
        <w:t>such Employee or beneficiary, and also during any period in which any Employee or beneficiary is incapable in the judgment of an Employer of attending to personal financial affairs, any payments which an Employer is required to make hereunder may be made, in the sole and absolute discretion of the Employer, either directly to such Employee or beneficiary or to any other person for the future care, use or benefit of such Employee or beneficiary or that of such person's dependents, if any. Each such payment may be made without the intervention of a guardian, the receipt of the payee shall constitute complete satisfaction for the Employer with respect thereto, and the Employer shall have no responsibility for the proper application thereof.</w:t>
      </w:r>
    </w:p>
    <w:p>
      <w:pPr>
        <w:spacing w:after="0" w:line="2" w:lineRule="exact"/>
        <w:rPr>
          <w:sz w:val="20"/>
          <w:szCs w:val="20"/>
          <w:color w:val="auto"/>
        </w:rPr>
      </w:pPr>
    </w:p>
    <w:p>
      <w:pPr>
        <w:jc w:val="both"/>
        <w:ind w:firstLine="1304"/>
        <w:spacing w:after="0" w:line="477" w:lineRule="auto"/>
        <w:tabs>
          <w:tab w:leader="none" w:pos="1937"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 Non-Contractual</w:t>
      </w:r>
      <w:r>
        <w:rPr>
          <w:rFonts w:ascii="Times New Roman" w:cs="Times New Roman" w:eastAsia="Times New Roman" w:hAnsi="Times New Roman"/>
          <w:sz w:val="21"/>
          <w:szCs w:val="21"/>
          <w:color w:val="auto"/>
        </w:rPr>
        <w:t>. Nothing herein contained shall be construed as a commitment or agreement on the part of any person employed by an Employer to continue employment with the Employer, and nothing herein contained shall be construed as a commitment on the part of an Employer to continue the employment, the annual rate of compensation, or any term or condition of employment of such person for any period, and all Employees shall remain subject to discharge to the same extent as if the Plan had never been put into effect.</w:t>
      </w:r>
    </w:p>
    <w:p>
      <w:pPr>
        <w:spacing w:after="0" w:line="3" w:lineRule="exact"/>
        <w:rPr>
          <w:rFonts w:ascii="Times New Roman" w:cs="Times New Roman" w:eastAsia="Times New Roman" w:hAnsi="Times New Roman"/>
          <w:sz w:val="21"/>
          <w:szCs w:val="21"/>
          <w:color w:val="auto"/>
        </w:rPr>
      </w:pPr>
    </w:p>
    <w:p>
      <w:pPr>
        <w:jc w:val="both"/>
        <w:ind w:firstLine="1304"/>
        <w:spacing w:after="0" w:line="501" w:lineRule="auto"/>
        <w:tabs>
          <w:tab w:leader="none" w:pos="193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of Employee an Unfunded, Unsecured Promise.</w:t>
      </w:r>
      <w:r>
        <w:rPr>
          <w:rFonts w:ascii="Times New Roman" w:cs="Times New Roman" w:eastAsia="Times New Roman" w:hAnsi="Times New Roman"/>
          <w:sz w:val="20"/>
          <w:szCs w:val="20"/>
          <w:color w:val="auto"/>
        </w:rPr>
        <w:t xml:space="preserve"> The provision of this paragraph 3 shall apply notwithstanding any other provision of the Plan to the contrary. All benefits payable under the Plan are payable solely from an Employer's general assets. The obligation of an Employer under the Plan to provide an Employee or beneficiary a benefit is solely the unfunded, unsecured promise of the Employer to make payments as provided herein. No person shall have any interest in, or a lien or prior claim upon, any property of an Employer with respect to such benefits greater than that of a general creditor of the Employer.</w:t>
      </w:r>
    </w:p>
    <w:p>
      <w:pPr>
        <w:spacing w:after="0" w:line="2" w:lineRule="exact"/>
        <w:rPr>
          <w:rFonts w:ascii="Times New Roman" w:cs="Times New Roman" w:eastAsia="Times New Roman" w:hAnsi="Times New Roman"/>
          <w:sz w:val="20"/>
          <w:szCs w:val="20"/>
          <w:color w:val="auto"/>
        </w:rPr>
      </w:pPr>
    </w:p>
    <w:p>
      <w:pPr>
        <w:ind w:firstLine="1304"/>
        <w:spacing w:after="0" w:line="511" w:lineRule="auto"/>
        <w:tabs>
          <w:tab w:leader="none" w:pos="1937"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Claims of Other Persons.</w:t>
      </w:r>
      <w:r>
        <w:rPr>
          <w:rFonts w:ascii="Times New Roman" w:cs="Times New Roman" w:eastAsia="Times New Roman" w:hAnsi="Times New Roman"/>
          <w:sz w:val="21"/>
          <w:szCs w:val="21"/>
          <w:color w:val="auto"/>
        </w:rPr>
        <w:t xml:space="preserve"> The provisions of the Plan shall in no event be construed as giving any person, firm, or corporation any legal or equitable right as against 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70" w:name="page71"/>
    <w:bookmarkEnd w:id="70"/>
    <w:p>
      <w:pPr>
        <w:spacing w:after="0" w:line="98" w:lineRule="exact"/>
        <w:rPr>
          <w:sz w:val="20"/>
          <w:szCs w:val="20"/>
          <w:color w:val="auto"/>
        </w:rPr>
      </w:pPr>
    </w:p>
    <w:p>
      <w:pPr>
        <w:spacing w:after="0" w:line="476" w:lineRule="auto"/>
        <w:rPr>
          <w:sz w:val="20"/>
          <w:szCs w:val="20"/>
          <w:color w:val="auto"/>
        </w:rPr>
      </w:pPr>
      <w:r>
        <w:rPr>
          <w:rFonts w:ascii="Times New Roman" w:cs="Times New Roman" w:eastAsia="Times New Roman" w:hAnsi="Times New Roman"/>
          <w:sz w:val="21"/>
          <w:szCs w:val="21"/>
          <w:color w:val="auto"/>
        </w:rPr>
        <w:t>Employer, its officers, employees, or directors, except any such rights as are specifically provided for in the Plan or are hereafter created in accordance with the terms and provisions of the Plan.</w:t>
      </w:r>
    </w:p>
    <w:p>
      <w:pPr>
        <w:spacing w:after="0" w:line="1" w:lineRule="exact"/>
        <w:rPr>
          <w:sz w:val="20"/>
          <w:szCs w:val="20"/>
          <w:color w:val="auto"/>
        </w:rPr>
      </w:pPr>
    </w:p>
    <w:p>
      <w:pPr>
        <w:jc w:val="both"/>
        <w:ind w:firstLine="1304"/>
        <w:spacing w:after="0" w:line="478" w:lineRule="auto"/>
        <w:tabs>
          <w:tab w:leader="none" w:pos="1937"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Absence of Liability</w:t>
      </w:r>
      <w:r>
        <w:rPr>
          <w:rFonts w:ascii="Times New Roman" w:cs="Times New Roman" w:eastAsia="Times New Roman" w:hAnsi="Times New Roman"/>
          <w:sz w:val="21"/>
          <w:szCs w:val="21"/>
          <w:color w:val="auto"/>
        </w:rPr>
        <w:t>. No member of the Board of Directors of any Employer nor any officer of any Employer shall be liable for any act or action hereunder, whether of commission or omission, taken by any other member, or by an officer, agent, or employee, or, except in circumstances involving his bad faith, for anything done or omitted to be done by himself.</w:t>
      </w:r>
    </w:p>
    <w:p>
      <w:pPr>
        <w:spacing w:after="0" w:line="1" w:lineRule="exact"/>
        <w:rPr>
          <w:rFonts w:ascii="Times New Roman" w:cs="Times New Roman" w:eastAsia="Times New Roman" w:hAnsi="Times New Roman"/>
          <w:sz w:val="21"/>
          <w:szCs w:val="21"/>
          <w:color w:val="auto"/>
        </w:rPr>
      </w:pPr>
    </w:p>
    <w:p>
      <w:pPr>
        <w:jc w:val="both"/>
        <w:ind w:firstLine="1304"/>
        <w:spacing w:after="0" w:line="476" w:lineRule="auto"/>
        <w:tabs>
          <w:tab w:leader="none" w:pos="1937"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Competition.</w:t>
      </w:r>
      <w:r>
        <w:rPr>
          <w:rFonts w:ascii="Times New Roman" w:cs="Times New Roman" w:eastAsia="Times New Roman" w:hAnsi="Times New Roman"/>
          <w:sz w:val="21"/>
          <w:szCs w:val="21"/>
          <w:color w:val="auto"/>
        </w:rPr>
        <w:t xml:space="preserve"> The right of any Employee or beneficiary to an Excess Benefit will be terminated, or, if payment thereof has begun, all further payments will be discontinued and forfeited in the event such Employee (i) at any time subsequent to the effective date wrongfully discloses any secret process or trade secrets of the Company or any Affiliated Employer, or any of the Company's subsidiaries, or (ii) engages, either directly or indirectly, as an officer, trustee, employee, consultant, partner, or substantial shareholder, on his own account or in any other capacity, in a business venture that within the ten-year period following his retirement the Company's Board of Directors reasonably determines to be competitive with the Company or any of its Affiliated Employers, or any of the Company's subsidiaries, to a degree materially contrary to the best interests of the Company or any of its Affiliated Employers, or any of the Company's subsidiaries.</w:t>
      </w:r>
    </w:p>
    <w:p>
      <w:pPr>
        <w:spacing w:after="0" w:line="2" w:lineRule="exact"/>
        <w:rPr>
          <w:rFonts w:ascii="Times New Roman" w:cs="Times New Roman" w:eastAsia="Times New Roman" w:hAnsi="Times New Roman"/>
          <w:sz w:val="21"/>
          <w:szCs w:val="21"/>
          <w:color w:val="auto"/>
        </w:rPr>
      </w:pPr>
    </w:p>
    <w:p>
      <w:pPr>
        <w:ind w:firstLine="1304"/>
        <w:spacing w:after="0" w:line="500" w:lineRule="auto"/>
        <w:tabs>
          <w:tab w:leader="none" w:pos="1944"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particular provision of the Plan shall not affect any other provision hereof, and the Plan shall be construed in all respects as if such invalid or unenforceable provision were omitted herefrom.</w:t>
      </w:r>
    </w:p>
    <w:p>
      <w:pPr>
        <w:ind w:left="1940" w:hanging="636"/>
        <w:spacing w:after="0"/>
        <w:tabs>
          <w:tab w:leader="none" w:pos="19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The provisions of the Plan shall be governed by andconstrued in accordance with the laws</w:t>
      </w:r>
    </w:p>
    <w:p>
      <w:pPr>
        <w:spacing w:after="0" w:line="24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State of Ohio.</w:t>
      </w:r>
    </w:p>
    <w:p>
      <w:pPr>
        <w:spacing w:after="0" w:line="244" w:lineRule="exact"/>
        <w:rPr>
          <w:rFonts w:ascii="Times New Roman" w:cs="Times New Roman" w:eastAsia="Times New Roman" w:hAnsi="Times New Roman"/>
          <w:sz w:val="21"/>
          <w:szCs w:val="21"/>
          <w:color w:val="auto"/>
        </w:rPr>
      </w:pPr>
    </w:p>
    <w:p>
      <w:pPr>
        <w:ind w:right="20" w:firstLine="1304"/>
        <w:spacing w:after="0" w:line="498" w:lineRule="auto"/>
        <w:tabs>
          <w:tab w:leader="none" w:pos="1937"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Section 409A of the Code</w:t>
      </w:r>
      <w:r>
        <w:rPr>
          <w:rFonts w:ascii="Times New Roman" w:cs="Times New Roman" w:eastAsia="Times New Roman" w:hAnsi="Times New Roman"/>
          <w:sz w:val="21"/>
          <w:szCs w:val="21"/>
          <w:color w:val="auto"/>
        </w:rPr>
        <w:t>. (a) It is intended that the Plan comply with the provisions of Section 409A of the Code, so as to prevent the inclusion in gross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71" w:name="page72"/>
    <w:bookmarkEnd w:id="71"/>
    <w:p>
      <w:pPr>
        <w:spacing w:after="0" w:line="98" w:lineRule="exact"/>
        <w:rPr>
          <w:sz w:val="20"/>
          <w:szCs w:val="20"/>
          <w:color w:val="auto"/>
        </w:rPr>
      </w:pPr>
    </w:p>
    <w:p>
      <w:pPr>
        <w:jc w:val="both"/>
        <w:spacing w:after="0" w:line="502" w:lineRule="auto"/>
        <w:rPr>
          <w:sz w:val="20"/>
          <w:szCs w:val="20"/>
          <w:color w:val="auto"/>
        </w:rPr>
      </w:pPr>
      <w:r>
        <w:rPr>
          <w:rFonts w:ascii="Times New Roman" w:cs="Times New Roman" w:eastAsia="Times New Roman" w:hAnsi="Times New Roman"/>
          <w:sz w:val="20"/>
          <w:szCs w:val="20"/>
          <w:color w:val="auto"/>
        </w:rPr>
        <w:t>income of any amounts deferred hereunder in a taxable year that is prior to the taxable year or years in which such amounts would otherwise actually be paid or made available to Participants or Beneficiaries. This Plan shall be construed, administered, and governed in a manner that affects such intent, and the Committee shall not take any action that would be inconsistent with such intent.</w:t>
      </w:r>
    </w:p>
    <w:p>
      <w:pPr>
        <w:spacing w:after="0" w:line="1" w:lineRule="exact"/>
        <w:rPr>
          <w:sz w:val="20"/>
          <w:szCs w:val="20"/>
          <w:color w:val="auto"/>
        </w:rPr>
      </w:pPr>
    </w:p>
    <w:p>
      <w:pPr>
        <w:jc w:val="both"/>
        <w:ind w:firstLine="1952"/>
        <w:spacing w:after="0" w:line="476" w:lineRule="auto"/>
        <w:tabs>
          <w:tab w:leader="none" w:pos="258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Although the Committee shall use its best efforts to avoid the imposition of taxation, interest and penalties under Section 409A of the Code, the tax treatment of deferrals under this Plan is not warranted or guaranteed. Neither the Company, the other members of the Affiliated Group, the Board, nor the Committee (nor its designee) shall be held liable for any taxes, interest, penalties or other monetary amounts owed by any Participant, Beneficiary or other taxpayer as a result of the Plan.</w:t>
      </w:r>
    </w:p>
    <w:p>
      <w:pPr>
        <w:spacing w:after="0" w:line="1" w:lineRule="exact"/>
        <w:rPr>
          <w:sz w:val="20"/>
          <w:szCs w:val="20"/>
          <w:color w:val="auto"/>
        </w:rPr>
      </w:pPr>
    </w:p>
    <w:p>
      <w:pPr>
        <w:jc w:val="both"/>
        <w:ind w:firstLine="1944"/>
        <w:spacing w:after="0" w:line="483" w:lineRule="auto"/>
        <w:rPr>
          <w:sz w:val="20"/>
          <w:szCs w:val="20"/>
          <w:color w:val="auto"/>
        </w:rPr>
      </w:pPr>
      <w:r>
        <w:rPr>
          <w:rFonts w:ascii="Times New Roman" w:cs="Times New Roman" w:eastAsia="Times New Roman" w:hAnsi="Times New Roman"/>
          <w:sz w:val="21"/>
          <w:szCs w:val="21"/>
          <w:color w:val="auto"/>
        </w:rPr>
        <w:t>(c) Any reference in this Plan to Section 409A of the Code will also include any proposed, temporary or final regulations, or any other guidance promulgated with respect to such Section 409A by the U.S. Department of Treasury or the Internal Revenue Service. For purposes of the Plan, the phrase "permitted by Section 409A of the Code," or words or phrases of similar import, shall mean that the event or circumstance shall only be permitted to the extent it would not cause an amount deferred or payable under the Plan to be includible in the gross income of a Participant or Beneficiary under Section 409(A)(a)(l)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ARTICLE VII</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PERFORMANCE BASED BENEFIT</w:t>
      </w:r>
    </w:p>
    <w:p>
      <w:pPr>
        <w:spacing w:after="0" w:line="260" w:lineRule="exact"/>
        <w:rPr>
          <w:sz w:val="20"/>
          <w:szCs w:val="20"/>
          <w:color w:val="auto"/>
        </w:rPr>
      </w:pPr>
    </w:p>
    <w:p>
      <w:pPr>
        <w:jc w:val="both"/>
        <w:ind w:firstLine="1304"/>
        <w:spacing w:after="0" w:line="476" w:lineRule="auto"/>
        <w:tabs>
          <w:tab w:leader="none" w:pos="165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Eligibility</w:t>
      </w:r>
      <w:r>
        <w:rPr>
          <w:rFonts w:ascii="Times New Roman" w:cs="Times New Roman" w:eastAsia="Times New Roman" w:hAnsi="Times New Roman"/>
          <w:sz w:val="21"/>
          <w:szCs w:val="21"/>
          <w:color w:val="auto"/>
        </w:rPr>
        <w:t>. Individuals employed by any Employer as selected from time to time by the Committee shall be eligible for a Performance Based Benefit, provided such individuals are part of a select group of management or highly compensated employees and are not participating in The Goodyear Tire &amp; Rubber Company Supplementary Pension Plan. Individuals eligible for a Performance Based Benefit shall be referred to herein as “Performance Eligible Participants.” For the avoidance of doubt, an individual who is selected as a Performance Eligible Participant with respect to a Performance Based Benefit may also be a Participant with respect to an Excess Benefit under the terms of the Plan.</w:t>
      </w:r>
    </w:p>
    <w:p>
      <w:pPr>
        <w:spacing w:after="0" w:line="1" w:lineRule="exact"/>
        <w:rPr>
          <w:rFonts w:ascii="Times New Roman" w:cs="Times New Roman" w:eastAsia="Times New Roman" w:hAnsi="Times New Roman"/>
          <w:sz w:val="21"/>
          <w:szCs w:val="21"/>
          <w:color w:val="auto"/>
        </w:rPr>
      </w:pPr>
    </w:p>
    <w:p>
      <w:pPr>
        <w:jc w:val="both"/>
        <w:ind w:firstLine="1304"/>
        <w:spacing w:after="0" w:line="479" w:lineRule="auto"/>
        <w:tabs>
          <w:tab w:leader="none" w:pos="1752"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Amount of Performance Based Benefit</w:t>
      </w:r>
      <w:r>
        <w:rPr>
          <w:rFonts w:ascii="Times New Roman" w:cs="Times New Roman" w:eastAsia="Times New Roman" w:hAnsi="Times New Roman"/>
          <w:sz w:val="21"/>
          <w:szCs w:val="21"/>
          <w:color w:val="auto"/>
        </w:rPr>
        <w:t>. The amount of the Performance Based Benefit shall be the sum of all Performance Based Contributions notionally credited increased by interest credited at 120% of the Applicable Federal Long-Term Rate as of the first day of each quarter (as prescribed under Section 1274(d) of the Code), compounded monthly, computed from the date of each notional contribution.</w:t>
      </w:r>
    </w:p>
    <w:p>
      <w:pPr>
        <w:spacing w:after="0" w:line="2" w:lineRule="exact"/>
        <w:rPr>
          <w:rFonts w:ascii="Times New Roman" w:cs="Times New Roman" w:eastAsia="Times New Roman" w:hAnsi="Times New Roman"/>
          <w:sz w:val="21"/>
          <w:szCs w:val="21"/>
          <w:color w:val="auto"/>
        </w:rPr>
      </w:pPr>
    </w:p>
    <w:p>
      <w:pPr>
        <w:jc w:val="both"/>
        <w:ind w:firstLine="1304"/>
        <w:spacing w:after="0" w:line="481" w:lineRule="auto"/>
        <w:tabs>
          <w:tab w:leader="none" w:pos="169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Based Contributions</w:t>
      </w:r>
      <w:r>
        <w:rPr>
          <w:rFonts w:ascii="Times New Roman" w:cs="Times New Roman" w:eastAsia="Times New Roman" w:hAnsi="Times New Roman"/>
          <w:sz w:val="21"/>
          <w:szCs w:val="21"/>
          <w:color w:val="auto"/>
        </w:rPr>
        <w:t>. Performance Based Contributions will be notionally credited to a Performance Eligible Participant on the last day of the Performance Period for which the Committee determines that a Performance Based Contribution shall be credited for such Performance Eligible Participant as described herein. The amount of any Performance Based Contribution credited to a Performance Eligible Participant for any Performance Period shall be the Performance Eligible Participant’s annual base salary paid during the applicable Performance Period, limited to twelve (12) months, plus the award determined to be payable to the Performance Eligible Participant for the Performance Period under the Company’s Executive Annual Incentive Plan (the “EAIP”), if any, multiplied by the applicable percentage set forth below, depending upon the extent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4" w:right="339" w:bottom="1440" w:gutter="0" w:footer="0" w:header="0"/>
        </w:sectPr>
      </w:pPr>
    </w:p>
    <w:bookmarkStart w:id="73" w:name="page74"/>
    <w:bookmarkEnd w:id="73"/>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which the Company-wide Performance Objectives for that Performance Period have been achieved under the EAIP:</w:t>
      </w:r>
    </w:p>
    <w:p>
      <w:pPr>
        <w:spacing w:after="0" w:line="238" w:lineRule="exact"/>
        <w:rPr>
          <w:sz w:val="20"/>
          <w:szCs w:val="20"/>
          <w:color w:val="auto"/>
        </w:rPr>
      </w:pPr>
    </w:p>
    <w:tbl>
      <w:tblPr>
        <w:tblLayout w:type="fixed"/>
        <w:tblInd w:w="1960" w:type="dxa"/>
        <w:tblCellMar>
          <w:top w:w="0" w:type="dxa"/>
          <w:left w:w="0" w:type="dxa"/>
          <w:bottom w:w="0" w:type="dxa"/>
          <w:right w:w="0" w:type="dxa"/>
        </w:tblCellMar>
      </w:tblPr>
      <w:tr>
        <w:trPr>
          <w:trHeight w:val="241"/>
        </w:trPr>
        <w:tc>
          <w:tcPr>
            <w:tcW w:w="2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w w:val="97"/>
              </w:rPr>
              <w:t>Performance Under EAIP</w:t>
            </w:r>
          </w:p>
        </w:tc>
        <w:tc>
          <w:tcPr>
            <w:tcW w:w="620" w:type="dxa"/>
            <w:vAlign w:val="bottom"/>
          </w:tcPr>
          <w:p>
            <w:pPr>
              <w:spacing w:after="0"/>
              <w:rPr>
                <w:sz w:val="21"/>
                <w:szCs w:val="21"/>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w w:val="95"/>
              </w:rPr>
              <w:t>Percentage</w:t>
            </w:r>
          </w:p>
        </w:tc>
      </w:tr>
      <w:tr>
        <w:trPr>
          <w:trHeight w:val="528"/>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Minimum 0%</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21"/>
                <w:szCs w:val="21"/>
                <w:color w:val="auto"/>
              </w:rPr>
              <w:t>0%</w:t>
            </w:r>
          </w:p>
        </w:tc>
        <w:tc>
          <w:tcPr>
            <w:tcW w:w="900" w:type="dxa"/>
            <w:vAlign w:val="bottom"/>
          </w:tcPr>
          <w:p>
            <w:pPr>
              <w:spacing w:after="0"/>
              <w:rPr>
                <w:sz w:val="24"/>
                <w:szCs w:val="24"/>
                <w:color w:val="auto"/>
              </w:rPr>
            </w:pPr>
          </w:p>
        </w:tc>
      </w:tr>
      <w:tr>
        <w:trPr>
          <w:trHeight w:val="513"/>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Threshold 50%</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21"/>
                <w:szCs w:val="21"/>
                <w:color w:val="auto"/>
              </w:rPr>
              <w:t>7%</w:t>
            </w:r>
          </w:p>
        </w:tc>
        <w:tc>
          <w:tcPr>
            <w:tcW w:w="900" w:type="dxa"/>
            <w:vAlign w:val="bottom"/>
          </w:tcPr>
          <w:p>
            <w:pPr>
              <w:spacing w:after="0"/>
              <w:rPr>
                <w:sz w:val="24"/>
                <w:szCs w:val="24"/>
                <w:color w:val="auto"/>
              </w:rPr>
            </w:pPr>
          </w:p>
        </w:tc>
      </w:tr>
      <w:tr>
        <w:trPr>
          <w:trHeight w:val="500"/>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Target 100%</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21"/>
                <w:szCs w:val="21"/>
                <w:color w:val="auto"/>
              </w:rPr>
              <w:t>14%</w:t>
            </w:r>
          </w:p>
        </w:tc>
        <w:tc>
          <w:tcPr>
            <w:tcW w:w="900" w:type="dxa"/>
            <w:vAlign w:val="bottom"/>
          </w:tcPr>
          <w:p>
            <w:pPr>
              <w:spacing w:after="0"/>
              <w:rPr>
                <w:sz w:val="24"/>
                <w:szCs w:val="24"/>
                <w:color w:val="auto"/>
              </w:rPr>
            </w:pPr>
          </w:p>
        </w:tc>
      </w:tr>
      <w:tr>
        <w:trPr>
          <w:trHeight w:val="513"/>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Maximum 200%</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21"/>
                <w:szCs w:val="21"/>
                <w:color w:val="auto"/>
              </w:rPr>
              <w:t>28%</w:t>
            </w:r>
          </w:p>
        </w:tc>
        <w:tc>
          <w:tcPr>
            <w:tcW w:w="900" w:type="dxa"/>
            <w:vAlign w:val="bottom"/>
          </w:tcPr>
          <w:p>
            <w:pPr>
              <w:spacing w:after="0"/>
              <w:rPr>
                <w:sz w:val="24"/>
                <w:szCs w:val="24"/>
                <w:color w:val="auto"/>
              </w:rPr>
            </w:pPr>
          </w:p>
        </w:tc>
      </w:tr>
    </w:tbl>
    <w:p>
      <w:pPr>
        <w:spacing w:after="0" w:line="216" w:lineRule="exact"/>
        <w:rPr>
          <w:sz w:val="20"/>
          <w:szCs w:val="20"/>
          <w:color w:val="auto"/>
        </w:rPr>
      </w:pPr>
    </w:p>
    <w:p>
      <w:pPr>
        <w:jc w:val="both"/>
        <w:ind w:firstLine="7"/>
        <w:spacing w:after="0" w:line="477" w:lineRule="auto"/>
        <w:rPr>
          <w:sz w:val="20"/>
          <w:szCs w:val="20"/>
          <w:color w:val="auto"/>
        </w:rPr>
      </w:pPr>
      <w:r>
        <w:rPr>
          <w:rFonts w:ascii="Times New Roman" w:cs="Times New Roman" w:eastAsia="Times New Roman" w:hAnsi="Times New Roman"/>
          <w:sz w:val="21"/>
          <w:szCs w:val="21"/>
          <w:color w:val="auto"/>
        </w:rPr>
        <w:t>For achievement of Company-wide Performance Objectives established under the EAIP between the above stated percentages, the percentages below 7% and between the breakpoints up to 28% shall be interpolated, provided, however that the percentage cannot exceed 28%, regardless of the extent to which Company-wide Performance Objectives are achieved under the EAIP. For the avoidance of doubt, a Performance Eligible Participant may be eligible to have both Excess Contributions and Performance Based Contributions notionally credited to him under the terms of the Plan for any Performance Period.</w:t>
      </w:r>
    </w:p>
    <w:p>
      <w:pPr>
        <w:spacing w:after="0" w:line="3" w:lineRule="exact"/>
        <w:rPr>
          <w:sz w:val="20"/>
          <w:szCs w:val="20"/>
          <w:color w:val="auto"/>
        </w:rPr>
      </w:pPr>
    </w:p>
    <w:p>
      <w:pPr>
        <w:ind w:firstLine="1304"/>
        <w:spacing w:after="0" w:line="511" w:lineRule="auto"/>
        <w:tabs>
          <w:tab w:leader="none" w:pos="175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Performance Based Contributions</w:t>
      </w:r>
      <w:r>
        <w:rPr>
          <w:rFonts w:ascii="Times New Roman" w:cs="Times New Roman" w:eastAsia="Times New Roman" w:hAnsi="Times New Roman"/>
          <w:sz w:val="21"/>
          <w:szCs w:val="21"/>
          <w:color w:val="auto"/>
        </w:rPr>
        <w:t>. A Performance Eligible Participant shall vest in his Performance Based Contributions under the Plan in accordance with the following:</w:t>
      </w:r>
    </w:p>
    <w:p>
      <w:pPr>
        <w:spacing w:after="0" w:line="200" w:lineRule="exact"/>
        <w:rPr>
          <w:sz w:val="20"/>
          <w:szCs w:val="20"/>
          <w:color w:val="auto"/>
        </w:rPr>
      </w:pPr>
    </w:p>
    <w:p>
      <w:pPr>
        <w:spacing w:after="0" w:line="257" w:lineRule="exact"/>
        <w:rPr>
          <w:sz w:val="20"/>
          <w:szCs w:val="20"/>
          <w:color w:val="auto"/>
        </w:rPr>
      </w:pPr>
    </w:p>
    <w:tbl>
      <w:tblPr>
        <w:tblLayout w:type="fixed"/>
        <w:tblInd w:w="1960" w:type="dxa"/>
        <w:tblCellMar>
          <w:top w:w="0" w:type="dxa"/>
          <w:left w:w="0" w:type="dxa"/>
          <w:bottom w:w="0" w:type="dxa"/>
          <w:right w:w="0" w:type="dxa"/>
        </w:tblCellMar>
      </w:tblPr>
      <w:tr>
        <w:trPr>
          <w:trHeight w:val="270"/>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Less than 5 years</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0%</w:t>
            </w:r>
          </w:p>
        </w:tc>
      </w:tr>
      <w:tr>
        <w:trPr>
          <w:trHeight w:val="500"/>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5 years</w:t>
            </w:r>
          </w:p>
        </w:tc>
        <w:tc>
          <w:tcPr>
            <w:tcW w:w="1040" w:type="dxa"/>
            <w:vAlign w:val="bottom"/>
          </w:tcPr>
          <w:p>
            <w:pPr>
              <w:jc w:val="right"/>
              <w:ind w:right="337"/>
              <w:spacing w:after="0"/>
              <w:rPr>
                <w:sz w:val="20"/>
                <w:szCs w:val="20"/>
                <w:color w:val="auto"/>
              </w:rPr>
            </w:pPr>
            <w:r>
              <w:rPr>
                <w:rFonts w:ascii="Times New Roman" w:cs="Times New Roman" w:eastAsia="Times New Roman" w:hAnsi="Times New Roman"/>
                <w:sz w:val="21"/>
                <w:szCs w:val="21"/>
                <w:color w:val="auto"/>
              </w:rPr>
              <w:t>50%</w:t>
            </w:r>
          </w:p>
        </w:tc>
      </w:tr>
      <w:tr>
        <w:trPr>
          <w:trHeight w:val="513"/>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7 years</w:t>
            </w:r>
          </w:p>
        </w:tc>
        <w:tc>
          <w:tcPr>
            <w:tcW w:w="1040" w:type="dxa"/>
            <w:vAlign w:val="bottom"/>
          </w:tcPr>
          <w:p>
            <w:pPr>
              <w:jc w:val="right"/>
              <w:ind w:right="337"/>
              <w:spacing w:after="0"/>
              <w:rPr>
                <w:sz w:val="20"/>
                <w:szCs w:val="20"/>
                <w:color w:val="auto"/>
              </w:rPr>
            </w:pPr>
            <w:r>
              <w:rPr>
                <w:rFonts w:ascii="Times New Roman" w:cs="Times New Roman" w:eastAsia="Times New Roman" w:hAnsi="Times New Roman"/>
                <w:sz w:val="21"/>
                <w:szCs w:val="21"/>
                <w:color w:val="auto"/>
              </w:rPr>
              <w:t>75%</w:t>
            </w:r>
          </w:p>
        </w:tc>
      </w:tr>
      <w:tr>
        <w:trPr>
          <w:trHeight w:val="513"/>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10 years or more</w:t>
            </w: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r>
    </w:tbl>
    <w:p>
      <w:pPr>
        <w:spacing w:after="0" w:line="216" w:lineRule="exact"/>
        <w:rPr>
          <w:sz w:val="20"/>
          <w:szCs w:val="20"/>
          <w:color w:val="auto"/>
        </w:rPr>
      </w:pPr>
    </w:p>
    <w:p>
      <w:pPr>
        <w:ind w:right="20" w:firstLine="7"/>
        <w:spacing w:after="0" w:line="511" w:lineRule="auto"/>
        <w:rPr>
          <w:sz w:val="20"/>
          <w:szCs w:val="20"/>
          <w:color w:val="auto"/>
        </w:rPr>
      </w:pPr>
      <w:r>
        <w:rPr>
          <w:rFonts w:ascii="Times New Roman" w:cs="Times New Roman" w:eastAsia="Times New Roman" w:hAnsi="Times New Roman"/>
          <w:sz w:val="21"/>
          <w:szCs w:val="21"/>
          <w:color w:val="auto"/>
        </w:rPr>
        <w:t>Notwithstanding the above vesting schedule, a Performance Eligible Participant shall become 100% vested in his Performance Based Contributions upon attainment of age 62, regardless of his Years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74" w:name="page75"/>
    <w:bookmarkEnd w:id="74"/>
    <w:p>
      <w:pPr>
        <w:spacing w:after="0" w:line="98" w:lineRule="exact"/>
        <w:rPr>
          <w:sz w:val="20"/>
          <w:szCs w:val="20"/>
          <w:color w:val="auto"/>
        </w:rPr>
      </w:pPr>
    </w:p>
    <w:p>
      <w:pPr>
        <w:jc w:val="both"/>
        <w:spacing w:after="0" w:line="476" w:lineRule="auto"/>
        <w:rPr>
          <w:sz w:val="20"/>
          <w:szCs w:val="20"/>
          <w:color w:val="auto"/>
        </w:rPr>
      </w:pPr>
      <w:r>
        <w:rPr>
          <w:rFonts w:ascii="Times New Roman" w:cs="Times New Roman" w:eastAsia="Times New Roman" w:hAnsi="Times New Roman"/>
          <w:sz w:val="21"/>
          <w:szCs w:val="21"/>
          <w:color w:val="auto"/>
        </w:rPr>
        <w:t>Participation. A “Year of Participation” shall be the twelve (12) consecutive month period beginning with the date the individual becomes a Performance Eligible Participant and each succeeding twelve (12) month period, provided the individual remains a Performance Eligible Participant. For purposes of determining a Year of Participation, a Performance Eligible Participant shall be credited for each month in which he is a Performance Eligible Participant for one (1) day or more. Upon an individual’s ceasing to be a Performance Eligible Participant, all credit for Years of Participation in the Plan shall cease and any Performance Based Contributions that remain unvested shall be forfeited. A Performance Eligible Participant shall cease to be a Performance Eligible Participant upon his Separation from Service for any reason or as determined in the sole discretion of the Committee. A Performance Eligible Participant shall be credited with full Years of Participation in the Plan and no partial Years of Participation shall be credited. Notwithstanding anything herein to the contrary, a Performance Eligible Participant shall become 100% vested in his Performance Based Contributions in the event of his death or Separation from Service due to Disability while he is a Performance Eligible Participant.</w:t>
      </w:r>
    </w:p>
    <w:p>
      <w:pPr>
        <w:spacing w:after="0" w:line="10" w:lineRule="exact"/>
        <w:rPr>
          <w:sz w:val="20"/>
          <w:szCs w:val="20"/>
          <w:color w:val="auto"/>
        </w:rPr>
      </w:pPr>
    </w:p>
    <w:p>
      <w:pPr>
        <w:jc w:val="both"/>
        <w:ind w:firstLine="1304"/>
        <w:spacing w:after="0" w:line="481" w:lineRule="auto"/>
        <w:tabs>
          <w:tab w:leader="none" w:pos="1937"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Time and Form of Payment of Performance Based Contributions</w:t>
      </w:r>
      <w:r>
        <w:rPr>
          <w:rFonts w:ascii="Times New Roman" w:cs="Times New Roman" w:eastAsia="Times New Roman" w:hAnsi="Times New Roman"/>
          <w:sz w:val="21"/>
          <w:szCs w:val="21"/>
          <w:color w:val="auto"/>
        </w:rPr>
        <w:t>. Provided a Performance Eligible Participant has completed at least five (5) Years of Participation in the Plan or has attained age 62 at the time of his Separation from Service, the vested portion of his Performance Based Benefit provided for hereunder shall be paid as a lump sum to the Performance Eligible Participant or his Beneficiary if the Participant is deceased. Notwithstanding the foregoing, in the event of a Performance Eligible Participant’s death or Separation from Service due to Disability, in either case, prior to completion of at least five (5) Years of Participation or attainment of age 62, the vested Performance Based Benefit shall be paid as a lump sum to the Performance Eligible Participant or his Beneficiary if the Participant is deceased. Such lump sum payment will be made within 90 days after death to the Beneficiary, or within 90 days after any Separation from Service if</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75" w:name="page76"/>
    <w:bookmarkEnd w:id="75"/>
    <w:p>
      <w:pPr>
        <w:spacing w:after="0" w:line="98" w:lineRule="exact"/>
        <w:rPr>
          <w:sz w:val="20"/>
          <w:szCs w:val="20"/>
          <w:color w:val="auto"/>
        </w:rPr>
      </w:pPr>
    </w:p>
    <w:p>
      <w:pPr>
        <w:jc w:val="both"/>
        <w:spacing w:after="0" w:line="478" w:lineRule="auto"/>
        <w:rPr>
          <w:sz w:val="20"/>
          <w:szCs w:val="20"/>
          <w:color w:val="auto"/>
        </w:rPr>
      </w:pPr>
      <w:r>
        <w:rPr>
          <w:rFonts w:ascii="Times New Roman" w:cs="Times New Roman" w:eastAsia="Times New Roman" w:hAnsi="Times New Roman"/>
          <w:sz w:val="21"/>
          <w:szCs w:val="21"/>
          <w:color w:val="auto"/>
        </w:rPr>
        <w:t>the Performance Eligible Participant is vested in any portion of the Performance Based Contributions and is not a Specified Employee. Any Performance Eligible Participant who is a Specified Employee shall be paid such lump sum on the first business day that is more than six months after the date of Separation from Service.</w:t>
      </w:r>
    </w:p>
    <w:p>
      <w:pPr>
        <w:spacing w:after="0" w:line="2" w:lineRule="exact"/>
        <w:rPr>
          <w:sz w:val="20"/>
          <w:szCs w:val="20"/>
          <w:color w:val="auto"/>
        </w:rPr>
      </w:pPr>
    </w:p>
    <w:p>
      <w:pPr>
        <w:jc w:val="both"/>
        <w:ind w:firstLine="1304"/>
        <w:spacing w:after="0" w:line="476" w:lineRule="auto"/>
        <w:tabs>
          <w:tab w:leader="none" w:pos="1937"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Termination of Plan with Respect to Vested Performance Based Benefits</w:t>
      </w:r>
      <w:r>
        <w:rPr>
          <w:rFonts w:ascii="Times New Roman" w:cs="Times New Roman" w:eastAsia="Times New Roman" w:hAnsi="Times New Roman"/>
          <w:sz w:val="21"/>
          <w:szCs w:val="21"/>
          <w:color w:val="auto"/>
        </w:rPr>
        <w:t>. In addition to its reservations of rights with respect to Excess Benefits as described in Article V, Section 1, the Company reserves the right in its sole and absolute discretion to amend or terminate the Plan at any time by action of its Board of Directors, subject to Article V, provided, however, that no such action shall adversely affect the right of any Performance Eligible Participant or Beneficiary to any vested Performance Based Benefit determined under the provisions of the Plan previously in effect for any period of time that the individual was a Performance Eligible Participant. Further, the provisions of Article V, Section 2 that provide that no termination or amendment of this Plan may accelerate payment of Excess Benefits except under the conditions specified in said Section 2, shall apply to the vested Performance Based Benefits as well.</w:t>
      </w:r>
    </w:p>
    <w:p>
      <w:pPr>
        <w:spacing w:after="0" w:line="2" w:lineRule="exact"/>
        <w:rPr>
          <w:rFonts w:ascii="Times New Roman" w:cs="Times New Roman" w:eastAsia="Times New Roman" w:hAnsi="Times New Roman"/>
          <w:sz w:val="21"/>
          <w:szCs w:val="21"/>
          <w:color w:val="auto"/>
        </w:rPr>
      </w:pPr>
    </w:p>
    <w:p>
      <w:pPr>
        <w:ind w:left="1680" w:hanging="376"/>
        <w:spacing w:after="0"/>
        <w:tabs>
          <w:tab w:leader="none" w:pos="16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Article VI of the Plan</w:t>
      </w:r>
      <w:r>
        <w:rPr>
          <w:rFonts w:ascii="Times New Roman" w:cs="Times New Roman" w:eastAsia="Times New Roman" w:hAnsi="Times New Roman"/>
          <w:sz w:val="20"/>
          <w:szCs w:val="20"/>
          <w:color w:val="auto"/>
        </w:rPr>
        <w:t>. The terms and provisions of Article VI of the Plan shall apply to this Article</w:t>
      </w:r>
    </w:p>
    <w:p>
      <w:pPr>
        <w:spacing w:after="0" w:line="25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VII.</w:t>
      </w:r>
    </w:p>
    <w:p>
      <w:pPr>
        <w:spacing w:after="0" w:line="231"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For the purposes hereof, the following words and phrases shall have the meanings indicated below:</w:t>
      </w:r>
    </w:p>
    <w:p>
      <w:pPr>
        <w:spacing w:after="0" w:line="244" w:lineRule="exact"/>
        <w:rPr>
          <w:rFonts w:ascii="Times New Roman" w:cs="Times New Roman" w:eastAsia="Times New Roman" w:hAnsi="Times New Roman"/>
          <w:sz w:val="21"/>
          <w:szCs w:val="21"/>
          <w:color w:val="auto"/>
        </w:rPr>
      </w:pPr>
    </w:p>
    <w:p>
      <w:pPr>
        <w:jc w:val="both"/>
        <w:ind w:firstLine="1952"/>
        <w:spacing w:after="0" w:line="478" w:lineRule="auto"/>
        <w:tabs>
          <w:tab w:leader="none" w:pos="2585"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“Beneficiary” shall mean the Performance Eligible Participant’s beneficiary under the Savings Plan and if the Performance Eligible Participant is not eligible to participate in the Savings Plan, the beneficiary or beneficiaries designated by the Performance Eligible Participant in the form and manner prescribed by the Company.</w:t>
      </w:r>
    </w:p>
    <w:p>
      <w:pPr>
        <w:spacing w:after="0" w:line="1"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“Committee” shall mean the Human Capital and Compensation Committee of the Company’s Board of</w:t>
      </w:r>
    </w:p>
    <w:p>
      <w:pPr>
        <w:spacing w:after="0" w:line="24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76" w:name="page77"/>
    <w:bookmarkEnd w:id="76"/>
    <w:p>
      <w:pPr>
        <w:spacing w:after="0" w:line="98" w:lineRule="exact"/>
        <w:rPr>
          <w:sz w:val="20"/>
          <w:szCs w:val="20"/>
          <w:color w:val="auto"/>
        </w:rPr>
      </w:pPr>
    </w:p>
    <w:p>
      <w:pPr>
        <w:ind w:left="2600" w:hanging="648"/>
        <w:spacing w:after="0"/>
        <w:tabs>
          <w:tab w:leader="none" w:pos="260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“Disability” shall mean “disability” as defined in the Company’s long term disability plan.</w:t>
      </w:r>
    </w:p>
    <w:p>
      <w:pPr>
        <w:spacing w:after="0" w:line="244" w:lineRule="exact"/>
        <w:rPr>
          <w:rFonts w:ascii="Times New Roman" w:cs="Times New Roman" w:eastAsia="Times New Roman" w:hAnsi="Times New Roman"/>
          <w:sz w:val="21"/>
          <w:szCs w:val="21"/>
          <w:color w:val="auto"/>
        </w:rPr>
      </w:pPr>
    </w:p>
    <w:p>
      <w:pPr>
        <w:ind w:left="2580" w:hanging="628"/>
        <w:spacing w:after="0"/>
        <w:tabs>
          <w:tab w:leader="none" w:pos="258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Based Benefit” shall mean the benefit payable under this Plan pursuant to Article VII.</w:t>
      </w:r>
    </w:p>
    <w:p>
      <w:pPr>
        <w:spacing w:after="0" w:line="231"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Based Contribution” shall mean the amount of contribution notionally credited pursuant</w:t>
      </w:r>
    </w:p>
    <w:p>
      <w:pPr>
        <w:spacing w:after="0" w:line="24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Section 3 of Article VII.</w:t>
      </w:r>
    </w:p>
    <w:p>
      <w:pPr>
        <w:spacing w:after="0" w:line="231" w:lineRule="exact"/>
        <w:rPr>
          <w:rFonts w:ascii="Times New Roman" w:cs="Times New Roman" w:eastAsia="Times New Roman" w:hAnsi="Times New Roman"/>
          <w:sz w:val="21"/>
          <w:szCs w:val="21"/>
          <w:color w:val="auto"/>
        </w:rPr>
      </w:pPr>
    </w:p>
    <w:p>
      <w:pPr>
        <w:ind w:left="2580" w:hanging="628"/>
        <w:spacing w:after="0"/>
        <w:tabs>
          <w:tab w:leader="none" w:pos="258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Objective” shall have the same meaning as defined in the EAIP.</w:t>
      </w:r>
    </w:p>
    <w:p>
      <w:pPr>
        <w:spacing w:after="0" w:line="244"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Period” shall have the same meaning as defined in the EAIP.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subsidiaries of The Goodyear Tire &amp; Rubber Company (the "Parent Company") were, as of September 30, 2025, guarantors of the Company's 4.875% senior notes due 2027, 5% senior notes due 2029, 6.625% senior notes due 2030, 5.25% senior notes due April 2031, 5.25% senior notes due July 2031 and 5.625% senior notes due 2033:</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860" w:type="dxa"/>
            <w:vAlign w:val="bottom"/>
            <w:gridSpan w:val="3"/>
          </w:tcPr>
          <w:p>
            <w:pPr>
              <w:ind w:left="204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w:t>
            </w:r>
          </w:p>
        </w:tc>
      </w:tr>
      <w:tr>
        <w:trPr>
          <w:trHeight w:val="198"/>
        </w:trPr>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4860" w:type="dxa"/>
            <w:vAlign w:val="bottom"/>
            <w:gridSpan w:val="3"/>
          </w:tcPr>
          <w:p>
            <w:pPr>
              <w:ind w:left="2040"/>
              <w:spacing w:after="0" w:line="198" w:lineRule="exact"/>
              <w:rPr>
                <w:sz w:val="20"/>
                <w:szCs w:val="20"/>
                <w:color w:val="auto"/>
              </w:rPr>
            </w:pPr>
            <w:r>
              <w:rPr>
                <w:rFonts w:ascii="Times New Roman" w:cs="Times New Roman" w:eastAsia="Times New Roman" w:hAnsi="Times New Roman"/>
                <w:sz w:val="18"/>
                <w:szCs w:val="18"/>
                <w:b w:val="1"/>
                <w:bCs w:val="1"/>
                <w:color w:val="auto"/>
              </w:rPr>
              <w:t>ORGANIZATION</w:t>
            </w:r>
          </w:p>
        </w:tc>
      </w:tr>
      <w:tr>
        <w:trPr>
          <w:trHeight w:val="250"/>
        </w:trPr>
        <w:tc>
          <w:tcPr>
            <w:tcW w:w="60" w:type="dxa"/>
            <w:vAlign w:val="bottom"/>
          </w:tcPr>
          <w:p>
            <w:pPr>
              <w:spacing w:after="0"/>
              <w:rPr>
                <w:sz w:val="21"/>
                <w:szCs w:val="21"/>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04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38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72"/>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Celeron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International Holding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Tire &amp; Rubber Company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Tire &amp; Rubber Company Vietnam Holding,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Tire Holding Company</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Ohio</w:t>
            </w:r>
          </w:p>
        </w:tc>
      </w:tr>
      <w:tr>
        <w:trPr>
          <w:trHeight w:val="248"/>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48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Delaware</w:t>
            </w:r>
          </w:p>
        </w:tc>
      </w:tr>
      <w:tr>
        <w:trPr>
          <w:trHeight w:val="252"/>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Canada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Export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Farms,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Max-Trac Tire Co.,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Raben Tire Co.,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Indiana</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T&amp;WA,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Kentucky</w:t>
            </w:r>
          </w:p>
        </w:tc>
      </w:tr>
      <w:tr>
        <w:trPr>
          <w:trHeight w:val="234"/>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Wingfoot Brands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2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Stewart, certify that:</w:t>
      </w:r>
    </w:p>
    <w:p>
      <w:pPr>
        <w:spacing w:after="0" w:line="185" w:lineRule="exact"/>
        <w:rPr>
          <w:sz w:val="20"/>
          <w:szCs w:val="20"/>
          <w:color w:val="auto"/>
        </w:rPr>
      </w:pPr>
    </w:p>
    <w:p>
      <w:pPr>
        <w:ind w:left="1060" w:hanging="1052"/>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84" w:lineRule="exact"/>
        <w:rPr>
          <w:rFonts w:ascii="Times New Roman" w:cs="Times New Roman" w:eastAsia="Times New Roman" w:hAnsi="Times New Roman"/>
          <w:sz w:val="18"/>
          <w:szCs w:val="18"/>
          <w:color w:val="auto"/>
        </w:rPr>
      </w:pPr>
    </w:p>
    <w:p>
      <w:pPr>
        <w:jc w:val="both"/>
        <w:ind w:left="1060" w:hanging="1052"/>
        <w:spacing w:after="0" w:line="266"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060" w:right="20" w:hanging="1052"/>
        <w:spacing w:after="0" w:line="282"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1060" w:hanging="1052"/>
        <w:spacing w:after="0" w:line="261"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2040" w:right="20" w:hanging="979"/>
        <w:spacing w:after="0" w:line="266" w:lineRule="auto"/>
        <w:tabs>
          <w:tab w:leader="none" w:pos="202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2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1060" w:hanging="1052"/>
        <w:spacing w:after="0" w:line="266"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2040" w:right="20" w:hanging="979"/>
        <w:spacing w:after="0" w:line="282" w:lineRule="auto"/>
        <w:tabs>
          <w:tab w:leader="none" w:pos="202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2025</w:t>
      </w:r>
    </w:p>
    <w:p>
      <w:pPr>
        <w:spacing w:after="0" w:line="239"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34290</wp:posOffset>
            </wp:positionV>
            <wp:extent cx="41833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line="5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Mark W. Stewart</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Christina L. Zamarro, certify that:</w:t>
      </w:r>
    </w:p>
    <w:p>
      <w:pPr>
        <w:spacing w:after="0" w:line="185" w:lineRule="exact"/>
        <w:rPr>
          <w:sz w:val="20"/>
          <w:szCs w:val="20"/>
          <w:color w:val="auto"/>
        </w:rPr>
      </w:pPr>
    </w:p>
    <w:p>
      <w:pPr>
        <w:ind w:left="1060" w:hanging="1052"/>
        <w:spacing w:after="0"/>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84" w:lineRule="exact"/>
        <w:rPr>
          <w:rFonts w:ascii="Times New Roman" w:cs="Times New Roman" w:eastAsia="Times New Roman" w:hAnsi="Times New Roman"/>
          <w:sz w:val="18"/>
          <w:szCs w:val="18"/>
          <w:color w:val="auto"/>
        </w:rPr>
      </w:pPr>
    </w:p>
    <w:p>
      <w:pPr>
        <w:jc w:val="both"/>
        <w:ind w:left="1060" w:hanging="1052"/>
        <w:spacing w:after="0" w:line="266" w:lineRule="auto"/>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060" w:right="20" w:hanging="1052"/>
        <w:spacing w:after="0" w:line="282" w:lineRule="auto"/>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1060" w:hanging="1052"/>
        <w:spacing w:after="0" w:line="261" w:lineRule="auto"/>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3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2040" w:right="20" w:hanging="979"/>
        <w:spacing w:after="0" w:line="266" w:lineRule="auto"/>
        <w:tabs>
          <w:tab w:leader="none" w:pos="202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3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2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1060" w:hanging="1052"/>
        <w:spacing w:after="0" w:line="266" w:lineRule="auto"/>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3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2040" w:right="20" w:hanging="979"/>
        <w:spacing w:after="0" w:line="282" w:lineRule="auto"/>
        <w:tabs>
          <w:tab w:leader="none" w:pos="202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2025</w:t>
      </w:r>
    </w:p>
    <w:p>
      <w:pPr>
        <w:spacing w:after="0" w:line="19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34290</wp:posOffset>
            </wp:positionV>
            <wp:extent cx="41833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5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Christina L. Zamarro</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Section 1350, Chapter 63 of Title 18, United States Code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September 30, 2025, as filed with the Securities and Exchange Commission (the “10-Q Report”) that to their knowledge:</w:t>
      </w:r>
    </w:p>
    <w:p>
      <w:pPr>
        <w:spacing w:after="0" w:line="135" w:lineRule="exact"/>
        <w:rPr>
          <w:sz w:val="20"/>
          <w:szCs w:val="20"/>
          <w:color w:val="auto"/>
        </w:rPr>
      </w:pPr>
    </w:p>
    <w:p>
      <w:pPr>
        <w:ind w:left="2260" w:hanging="1280"/>
        <w:spacing w:after="0"/>
        <w:tabs>
          <w:tab w:leader="none" w:pos="2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10-Q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2280" w:hanging="1300"/>
        <w:spacing w:after="0" w:line="282" w:lineRule="auto"/>
        <w:tabs>
          <w:tab w:leader="none" w:pos="227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10-Q Report fairly presents, in all material respects, the financial condition and results of operations of the Company.</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800" w:val="left"/>
          <w:tab w:leader="none" w:pos="71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4, 2025</w:t>
      </w:r>
      <w:r>
        <w:rPr>
          <w:sz w:val="20"/>
          <w:szCs w:val="20"/>
          <w:color w:val="auto"/>
        </w:rPr>
        <w:tab/>
      </w:r>
      <w:r>
        <w:rPr>
          <w:rFonts w:ascii="Times New Roman" w:cs="Times New Roman" w:eastAsia="Times New Roman" w:hAnsi="Times New Roman"/>
          <w:sz w:val="17"/>
          <w:szCs w:val="17"/>
          <w:color w:val="auto"/>
        </w:rPr>
        <w:t>/s/ M</w:t>
      </w:r>
      <w:r>
        <w:rPr>
          <w:rFonts w:ascii="Times New Roman" w:cs="Times New Roman" w:eastAsia="Times New Roman" w:hAnsi="Times New Roman"/>
          <w:sz w:val="13"/>
          <w:szCs w:val="13"/>
          <w:color w:val="auto"/>
        </w:rPr>
        <w:t>ARK</w:t>
      </w:r>
      <w:r>
        <w:rPr>
          <w:rFonts w:ascii="Times New Roman" w:cs="Times New Roman" w:eastAsia="Times New Roman" w:hAnsi="Times New Roman"/>
          <w:sz w:val="17"/>
          <w:szCs w:val="17"/>
          <w:color w:val="auto"/>
        </w:rPr>
        <w:t xml:space="preserve"> W. S</w:t>
      </w:r>
      <w:r>
        <w:rPr>
          <w:rFonts w:ascii="Times New Roman" w:cs="Times New Roman" w:eastAsia="Times New Roman" w:hAnsi="Times New Roman"/>
          <w:sz w:val="13"/>
          <w:szCs w:val="13"/>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34290</wp:posOffset>
            </wp:positionV>
            <wp:extent cx="41230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5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Mark W. Stewart</w:t>
      </w:r>
    </w:p>
    <w:p>
      <w:pPr>
        <w:spacing w:after="0" w:line="6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6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333" w:lineRule="exact"/>
        <w:rPr>
          <w:sz w:val="20"/>
          <w:szCs w:val="20"/>
          <w:color w:val="auto"/>
        </w:rPr>
      </w:pPr>
    </w:p>
    <w:p>
      <w:pPr>
        <w:ind w:left="20"/>
        <w:spacing w:after="0"/>
        <w:tabs>
          <w:tab w:leader="none" w:pos="800" w:val="left"/>
          <w:tab w:leader="none" w:pos="69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4, 2025</w:t>
      </w:r>
      <w:r>
        <w:rPr>
          <w:sz w:val="20"/>
          <w:szCs w:val="20"/>
          <w:color w:val="auto"/>
        </w:rPr>
        <w:tab/>
      </w: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34290</wp:posOffset>
            </wp:positionV>
            <wp:extent cx="41230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5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Christina L. Zamarro</w:t>
      </w:r>
    </w:p>
    <w:p>
      <w:pPr>
        <w:spacing w:after="0" w:line="6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6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The Goodyear Tire &amp; Rubber Company</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2"/>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10"/>
    </w:lvl>
  </w:abstractNum>
  <w:abstractNum w:abstractNumId="18">
    <w:nsid w:val="737B8DDC"/>
    <w:multiLevelType w:val="hybridMultilevel"/>
    <w:lvl w:ilvl="0">
      <w:lvlJc w:val="left"/>
      <w:lvlText w:val="%1"/>
      <w:numFmt w:val="decimal"/>
      <w:start w:val="22"/>
    </w:lvl>
  </w:abstractNum>
  <w:abstractNum w:abstractNumId="19">
    <w:nsid w:val="6CEAF087"/>
    <w:multiLevelType w:val="hybridMultilevel"/>
    <w:lvl w:ilvl="0">
      <w:lvlJc w:val="left"/>
      <w:lvlText w:val="%1"/>
      <w:numFmt w:val="decimal"/>
      <w:start w:val="31"/>
    </w:lvl>
  </w:abstractNum>
  <w:abstractNum w:abstractNumId="20">
    <w:nsid w:val="22221A70"/>
    <w:multiLevelType w:val="hybridMultilevel"/>
    <w:lvl w:ilvl="0">
      <w:lvlJc w:val="left"/>
      <w:lvlText w:val="%1"/>
      <w:numFmt w:val="decimal"/>
      <w:start w:val="32"/>
    </w:lvl>
  </w:abstractNum>
  <w:abstractNum w:abstractNumId="21">
    <w:nsid w:val="4516DDE9"/>
    <w:multiLevelType w:val="hybridMultilevel"/>
    <w:lvl w:ilvl="0">
      <w:lvlJc w:val="left"/>
      <w:lvlText w:val="%1"/>
      <w:numFmt w:val="decimal"/>
      <w:start w:val="104"/>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6"/>
    </w:lvl>
  </w:abstractNum>
  <w:abstractNum w:abstractNumId="24">
    <w:nsid w:val="419AC241"/>
    <w:multiLevelType w:val="hybridMultilevel"/>
    <w:lvl w:ilvl="0">
      <w:lvlJc w:val="left"/>
      <w:lvlText w:val="%1"/>
      <w:numFmt w:val="decimal"/>
      <w:start w:val="1"/>
    </w:lvl>
    <w:lvl w:ilvl="1">
      <w:lvlJc w:val="left"/>
      <w:lvlText w:val="%2."/>
      <w:numFmt w:val="decimal"/>
      <w:start w:val="9"/>
    </w:lvl>
  </w:abstractNum>
  <w:abstractNum w:abstractNumId="25">
    <w:nsid w:val="5577F8E1"/>
    <w:multiLevelType w:val="hybridMultilevel"/>
    <w:lvl w:ilvl="0">
      <w:lvlJc w:val="left"/>
      <w:lvlText w:val="%1."/>
      <w:numFmt w:val="decimal"/>
      <w:start w:val="10"/>
    </w:lvl>
    <w:lvl w:ilvl="1">
      <w:lvlJc w:val="left"/>
      <w:lvlText w:val="%2"/>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30">
    <w:nsid w:val="7724C67E"/>
    <w:multiLevelType w:val="hybridMultilevel"/>
    <w:lvl w:ilvl="0">
      <w:lvlJc w:val="left"/>
      <w:lvlText w:val="%1"/>
      <w:numFmt w:val="lowerLetter"/>
      <w:start w:val="1"/>
    </w:lvl>
    <w:lvl w:ilvl="1">
      <w:lvlJc w:val="left"/>
      <w:lvlText w:val="(%2)"/>
      <w:numFmt w:val="decimal"/>
      <w:start w:val="3"/>
    </w:lvl>
  </w:abstractNum>
  <w:abstractNum w:abstractNumId="31">
    <w:nsid w:val="5C482A97"/>
    <w:multiLevelType w:val="hybridMultilevel"/>
    <w:lvl w:ilvl="0">
      <w:lvlJc w:val="left"/>
      <w:lvlText w:val="(%1)"/>
      <w:numFmt w:val="lowerLetter"/>
      <w:start w:val="3"/>
    </w:lvl>
    <w:lvl w:ilvl="1">
      <w:lvlJc w:val="left"/>
      <w:lvlText w:val="%2"/>
      <w:numFmt w:val="decimal"/>
      <w:start w:val="1"/>
    </w:lvl>
  </w:abstractNum>
  <w:abstractNum w:abstractNumId="32">
    <w:nsid w:val="2463B9EA"/>
    <w:multiLevelType w:val="hybridMultilevel"/>
    <w:lvl w:ilvl="0">
      <w:lvlJc w:val="left"/>
      <w:lvlText w:val="%1."/>
      <w:numFmt w:val="lowerLetter"/>
      <w:start w:val="12"/>
    </w:lvl>
  </w:abstractNum>
  <w:abstractNum w:abstractNumId="33">
    <w:nsid w:val="5E884ADC"/>
    <w:multiLevelType w:val="hybridMultilevel"/>
    <w:lvl w:ilvl="0">
      <w:lvlJc w:val="left"/>
      <w:lvlText w:val="%1."/>
      <w:numFmt w:val="decimal"/>
      <w:start w:val="2"/>
    </w:lvl>
  </w:abstractNum>
  <w:abstractNum w:abstractNumId="34">
    <w:nsid w:val="51EAD36B"/>
    <w:multiLevelType w:val="hybridMultilevel"/>
    <w:lvl w:ilvl="0">
      <w:lvlJc w:val="left"/>
      <w:lvlText w:val="%1."/>
      <w:numFmt w:val="decimal"/>
      <w:start w:val="5"/>
    </w:lvl>
  </w:abstractNum>
  <w:abstractNum w:abstractNumId="35">
    <w:nsid w:val="2D517796"/>
    <w:multiLevelType w:val="hybridMultilevel"/>
    <w:lvl w:ilvl="0">
      <w:lvlJc w:val="left"/>
      <w:lvlText w:val="(%1)"/>
      <w:numFmt w:val="lowerLetter"/>
      <w:start w:val="2"/>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4"/>
    </w:lvl>
  </w:abstractNum>
  <w:abstractNum w:abstractNumId="38">
    <w:nsid w:val="3855585C"/>
    <w:multiLevelType w:val="hybridMultilevel"/>
    <w:lvl w:ilvl="0">
      <w:lvlJc w:val="left"/>
      <w:lvlText w:val="%1."/>
      <w:numFmt w:val="decimal"/>
      <w:start w:val="5"/>
    </w:lvl>
  </w:abstractNum>
  <w:abstractNum w:abstractNumId="39">
    <w:nsid w:val="70A64E2A"/>
    <w:multiLevelType w:val="hybridMultilevel"/>
    <w:lvl w:ilvl="0">
      <w:lvlJc w:val="left"/>
      <w:lvlText w:val="%1."/>
      <w:numFmt w:val="decimal"/>
      <w:start w:val="6"/>
    </w:lvl>
    <w:lvl w:ilvl="1">
      <w:lvlJc w:val="left"/>
      <w:lvlText w:val="(%2)"/>
      <w:numFmt w:val="lowerRoman"/>
      <w:start w:val="1"/>
    </w:lvl>
  </w:abstractNum>
  <w:abstractNum w:abstractNumId="40">
    <w:nsid w:val="6A2342EC"/>
    <w:multiLevelType w:val="hybridMultilevel"/>
    <w:lvl w:ilvl="0">
      <w:lvlJc w:val="left"/>
      <w:lvlText w:val="(%1)"/>
      <w:numFmt w:val="lowerRoman"/>
      <w:start w:val="3"/>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2025-11-04T09:42:18Z</dcterms:created>
  <dcterms:modified xsi:type="dcterms:W3CDTF">2025-11-04T09:42:18Z</dcterms:modified>
</cp:coreProperties>
</file>