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c>
          <w:tcPr>
            <w:tcW w:w="0" w:type="dxa"/>
            <w:vAlign w:val="bottom"/>
          </w:tcPr>
          <w:p>
            <w:pPr>
              <w:spacing w:after="0"/>
              <w:rPr>
                <w:sz w:val="1"/>
                <w:szCs w:val="1"/>
                <w:color w:val="auto"/>
              </w:rPr>
            </w:pPr>
          </w:p>
        </w:tc>
      </w:tr>
      <w:tr>
        <w:trPr>
          <w:trHeight w:val="189"/>
        </w:trPr>
        <w:tc>
          <w:tcPr>
            <w:tcW w:w="474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540" w:type="dxa"/>
            <w:vAlign w:val="bottom"/>
          </w:tcPr>
          <w:p>
            <w:pPr>
              <w:jc w:val="center"/>
              <w:ind w:right="191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92"/>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c>
          <w:tcPr>
            <w:tcW w:w="0" w:type="dxa"/>
            <w:vAlign w:val="bottom"/>
          </w:tcPr>
          <w:p>
            <w:pPr>
              <w:spacing w:after="0"/>
              <w:rPr>
                <w:sz w:val="1"/>
                <w:szCs w:val="1"/>
                <w:color w:val="auto"/>
              </w:rPr>
            </w:pP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92"/>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2"/>
                <w:szCs w:val="22"/>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19"/>
                <w:szCs w:val="19"/>
                <w:color w:val="auto"/>
              </w:rPr>
            </w:pPr>
          </w:p>
        </w:tc>
        <w:tc>
          <w:tcPr>
            <w:tcW w:w="284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8"/>
                <w:szCs w:val="18"/>
                <w:color w:val="auto"/>
                <w:w w:val="99"/>
              </w:rPr>
              <w:t>GT</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8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April 30, 2022:</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282,465,382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-19050</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-19050</wp:posOffset>
            </wp:positionV>
            <wp:extent cx="389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-19050</wp:posOffset>
            </wp:positionV>
            <wp:extent cx="389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-19050</wp:posOffset>
            </wp:positionV>
            <wp:extent cx="389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EX-101.CAL CALCULATION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EX-101.DEF DEFINITION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EX-101.LAB LABELS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EX-101.PRE PRESENTATION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197"/>
        </w:trPr>
        <w:tc>
          <w:tcPr>
            <w:tcW w:w="6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Goodyear Net Income — Per Share of Common Stock</w:t>
            </w: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9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r>
      <w:tr>
        <w:trPr>
          <w:trHeight w:val="197"/>
        </w:trPr>
        <w:tc>
          <w:tcPr>
            <w:tcW w:w="648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5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r>
      <w:tr>
        <w:trPr>
          <w:trHeight w:val="25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9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r>
      <w:tr>
        <w:trPr>
          <w:trHeight w:val="215"/>
        </w:trPr>
        <w:tc>
          <w:tcPr>
            <w:tcW w:w="6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5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-774065</wp:posOffset>
            </wp:positionV>
            <wp:extent cx="93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-756920</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-473710</wp:posOffset>
            </wp:positionV>
            <wp:extent cx="93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-456565</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-173990</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-156845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r>
      <w:tr>
        <w:trPr>
          <w:trHeight w:val="176"/>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5"/>
                <w:szCs w:val="15"/>
                <w:color w:val="auto"/>
              </w:rPr>
            </w:pPr>
          </w:p>
        </w:tc>
      </w:tr>
      <w:tr>
        <w:trPr>
          <w:trHeight w:val="187"/>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$0 in 2022 (($1) in 2021)</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1"/>
        </w:trPr>
        <w:tc>
          <w:tcPr>
            <w:tcW w:w="810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 benefit cost, net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234"/>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tax of $8 in 2022 ($9 in 2021)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net actuarial losses, net of tax of $5 in 2022 ($3 in 2021)</w:t>
            </w:r>
          </w:p>
        </w:tc>
        <w:tc>
          <w:tcPr>
            <w:tcW w:w="3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in 2022 ($0 in 2021)</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2022 ($0 in 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8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144</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-454025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1,053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1,088</w:t>
            </w: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$113 ($123 in 2021)</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2,387</w:t>
            </w:r>
          </w:p>
        </w:tc>
      </w:tr>
      <w:tr>
        <w:trPr>
          <w:trHeight w:val="203"/>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958</w:t>
            </w:r>
          </w:p>
        </w:tc>
      </w:tr>
      <w:tr>
        <w:trPr>
          <w:trHeight w:val="203"/>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191</w:t>
            </w:r>
          </w:p>
        </w:tc>
      </w:tr>
      <w:tr>
        <w:trPr>
          <w:trHeight w:val="20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2,445</w:t>
            </w:r>
          </w:p>
        </w:tc>
      </w:tr>
      <w:tr>
        <w:trPr>
          <w:trHeight w:val="196"/>
        </w:trPr>
        <w:tc>
          <w:tcPr>
            <w:tcW w:w="8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4,026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3,594</w:t>
            </w: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262</w:t>
            </w:r>
          </w:p>
        </w:tc>
      </w:tr>
      <w:tr>
        <w:trPr>
          <w:trHeight w:val="19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8,563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7,331</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1,039</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1,596</w:t>
            </w: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1,106</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981</w:t>
            </w:r>
          </w:p>
        </w:tc>
      </w:tr>
      <w:tr>
        <w:trPr>
          <w:trHeight w:val="20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$11,233 ($11,130 in 2021)</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8,291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8,345</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22,622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21,402</w:t>
            </w:r>
          </w:p>
        </w:tc>
      </w:tr>
      <w:tr>
        <w:trPr>
          <w:trHeight w:val="20"/>
        </w:trPr>
        <w:tc>
          <w:tcPr>
            <w:tcW w:w="8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4,148</w:t>
            </w:r>
          </w:p>
        </w:tc>
      </w:tr>
      <w:tr>
        <w:trPr>
          <w:trHeight w:val="203"/>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689</w:t>
            </w:r>
          </w:p>
        </w:tc>
      </w:tr>
      <w:tr>
        <w:trPr>
          <w:trHeight w:val="202"/>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822</w:t>
            </w:r>
          </w:p>
        </w:tc>
      </w:tr>
      <w:tr>
        <w:trPr>
          <w:trHeight w:val="203"/>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9)</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204</w:t>
            </w:r>
          </w:p>
        </w:tc>
      </w:tr>
      <w:tr>
        <w:trPr>
          <w:trHeight w:val="203"/>
        </w:trPr>
        <w:tc>
          <w:tcPr>
            <w:tcW w:w="8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9)</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6,945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6,612</w:t>
            </w: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819</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9)</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7,450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6,648</w:t>
            </w: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1,445</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w:t>
            </w:r>
          </w:p>
        </w:tc>
      </w:tr>
      <w:tr>
        <w:trPr>
          <w:trHeight w:val="20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17,300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16,218</w:t>
            </w: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13)</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282 million in 2022 and 2021</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2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3,107</w:t>
            </w:r>
          </w:p>
        </w:tc>
      </w:tr>
      <w:tr>
        <w:trPr>
          <w:trHeight w:val="203"/>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5,669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5,573</w:t>
            </w: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(3,915 )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(3,963 )</w:t>
            </w:r>
          </w:p>
        </w:tc>
      </w:tr>
      <w:tr>
        <w:trPr>
          <w:trHeight w:val="19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5,145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4,999</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185</w:t>
            </w:r>
          </w:p>
        </w:tc>
      </w:tr>
      <w:tr>
        <w:trPr>
          <w:trHeight w:val="19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5,322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5,184</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22,622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21,402</w:t>
            </w:r>
          </w:p>
        </w:tc>
      </w:tr>
      <w:tr>
        <w:trPr>
          <w:trHeight w:val="20"/>
        </w:trPr>
        <w:tc>
          <w:tcPr>
            <w:tcW w:w="8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-3830955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-2510790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-1731010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6"/>
                <w:szCs w:val="16"/>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40" w:type="dxa"/>
            <w:vAlign w:val="bottom"/>
            <w:tcBorders>
              <w:top w:val="single" w:sz="8" w:color="auto"/>
              <w:right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281,793,223</w:t>
            </w:r>
          </w:p>
        </w:tc>
        <w:tc>
          <w:tcPr>
            <w:tcW w:w="3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282</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3,107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5,573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4,999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76"/>
        </w:trPr>
        <w:tc>
          <w:tcPr>
            <w:tcW w:w="3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9"/>
        </w:trPr>
        <w:tc>
          <w:tcPr>
            <w:tcW w:w="3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0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(8 )</w:t>
            </w: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3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104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635,149</w:t>
            </w:r>
          </w:p>
        </w:tc>
        <w:tc>
          <w:tcPr>
            <w:tcW w:w="3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69"/>
        </w:trPr>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0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(after deducting 41,859,535 common treasury shares)</w:t>
            </w:r>
          </w:p>
        </w:tc>
        <w:tc>
          <w:tcPr>
            <w:tcW w:w="1040" w:type="dxa"/>
            <w:vAlign w:val="bottom"/>
            <w:tcBorders>
              <w:bottom w:val="single" w:sz="8" w:color="auto"/>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282,428,372</w:t>
            </w:r>
          </w:p>
        </w:tc>
        <w:tc>
          <w:tcPr>
            <w:tcW w:w="300" w:type="dxa"/>
            <w:vAlign w:val="bottom"/>
            <w:tcBorders>
              <w:bottom w:val="single" w:sz="8" w:color="auto"/>
            </w:tcBorders>
            <w:shd w:val="clear" w:color="auto" w:fill="CFF0FC"/>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282</w:t>
            </w:r>
          </w:p>
        </w:tc>
        <w:tc>
          <w:tcPr>
            <w:tcW w:w="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3,109</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5,669</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(3,915 )</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5,145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5,322</w:t>
            </w:r>
          </w:p>
        </w:tc>
        <w:tc>
          <w:tcPr>
            <w:tcW w:w="0" w:type="dxa"/>
            <w:vAlign w:val="bottom"/>
          </w:tcPr>
          <w:p>
            <w:pPr>
              <w:spacing w:after="0"/>
              <w:rPr>
                <w:sz w:val="1"/>
                <w:szCs w:val="1"/>
                <w:color w:val="auto"/>
              </w:rPr>
            </w:pPr>
          </w:p>
        </w:tc>
      </w:tr>
      <w:tr>
        <w:trPr>
          <w:trHeight w:val="563"/>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6"/>
                <w:szCs w:val="16"/>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040" w:type="dxa"/>
            <w:vAlign w:val="bottom"/>
            <w:tcBorders>
              <w:top w:val="single" w:sz="8" w:color="auto"/>
              <w:right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(after deducting 45,243,329 common treasury shares)</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233,220,098</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233</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2,171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4,809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(4,135 )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175"/>
        </w:trPr>
        <w:tc>
          <w:tcPr>
            <w:tcW w:w="3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(7 )</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9"/>
        </w:trPr>
        <w:tc>
          <w:tcPr>
            <w:tcW w:w="3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0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75"/>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6"/>
        </w:trPr>
        <w:tc>
          <w:tcPr>
            <w:tcW w:w="3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104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1,759,931</w:t>
            </w:r>
          </w:p>
        </w:tc>
        <w:tc>
          <w:tcPr>
            <w:tcW w:w="3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0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(after deducting 43,483,398 common treasury shares)</w:t>
            </w:r>
          </w:p>
        </w:tc>
        <w:tc>
          <w:tcPr>
            <w:tcW w:w="104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234,980,029</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235</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2,182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4,821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(4,132 )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3,286</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-2030730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-2030730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-2030730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-2030730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-2030730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-2030730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-2030730</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-1799590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-1782445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-1799590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-1782445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-1799590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-1782445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-1799590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-1782445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-1799590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-1782445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-1799590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-1782445</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-1799590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-1782445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-256540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-256540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-256540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-256540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-256540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-256540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-256540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-25400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59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59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months ended March 31, 2022 and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6"/>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5"/>
                <w:szCs w:val="15"/>
                <w:color w:val="auto"/>
              </w:rPr>
            </w:pPr>
          </w:p>
        </w:tc>
      </w:tr>
      <w:tr>
        <w:trPr>
          <w:trHeight w:val="187"/>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Cash Flows from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5)</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(258 )</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3"/>
        </w:trPr>
        <w:tc>
          <w:tcPr>
            <w:tcW w:w="8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(711 )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(282 )</w:t>
            </w:r>
          </w:p>
        </w:tc>
      </w:tr>
      <w:tr>
        <w:trPr>
          <w:trHeight w:val="203"/>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3"/>
        </w:trPr>
        <w:tc>
          <w:tcPr>
            <w:tcW w:w="8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(180 )</w:t>
            </w:r>
          </w:p>
        </w:tc>
      </w:tr>
      <w:tr>
        <w:trPr>
          <w:trHeight w:val="203"/>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(285 )</w:t>
            </w: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2,914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694</w:t>
            </w:r>
          </w:p>
        </w:tc>
      </w:tr>
      <w:tr>
        <w:trPr>
          <w:trHeight w:val="203"/>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(514 )</w:t>
            </w: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8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982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144</w:t>
            </w:r>
          </w:p>
        </w:tc>
      </w:tr>
      <w:tr>
        <w:trPr>
          <w:trHeight w:val="203"/>
        </w:trPr>
        <w:tc>
          <w:tcPr>
            <w:tcW w:w="8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(352 )</w:t>
            </w:r>
          </w:p>
        </w:tc>
      </w:tr>
      <w:tr>
        <w:trPr>
          <w:trHeight w:val="203"/>
        </w:trPr>
        <w:tc>
          <w:tcPr>
            <w:tcW w:w="8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1,164</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1,624</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1,137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1,272</w:t>
            </w:r>
          </w:p>
        </w:tc>
      </w:tr>
      <w:tr>
        <w:trPr>
          <w:trHeight w:val="20"/>
        </w:trPr>
        <w:tc>
          <w:tcPr>
            <w:tcW w:w="8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-2767965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-1731010</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-693420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-427990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2021 (the “2021 Form 10-K”).</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results for the three months ended March 31, 2022 are not necessarily indicative of the results expected in subsequent quarters or for the year ending December 31,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2021, the Financial Accounting Standards Board issued an accounting standards update on the disclosure of certain types of government assistance. Specifically, on an annual basis, entities will be required to make certain disclosures for transactions with a government that are accounted for by analogizing to a grant model. The standards update is effective either prospectively or retrospectively for annual periods beginning after December 15, 2021, with early adoption permitted. We are currently assessing the impact of this standards update on our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tcPr>
          <w:p>
            <w:pPr>
              <w:spacing w:after="0"/>
              <w:rPr>
                <w:sz w:val="15"/>
                <w:szCs w:val="15"/>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5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4"/>
                <w:szCs w:val="24"/>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1,137</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remaining Cooper Tire &amp; Rubber Company ("Cooper Tire") restricted cash acquired of $23 million at March 31, 2022.</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in relation to (i) accounts receivable factoring programs and (ii) change-in-control provisions of certain Cooper Tire compensation plans. The restrictions lapse when cash from factored accounts receivable is remitted to the purchaser of those receivables or as the compensation payments are made, respectively. At March 31, 2022, $71 million and $13 million were recorded in Prepaid Expenses and Other Current Assets and Other Assets in the Consolidated Balance Sheets, respectively. At March 31, 2021, $49 million was recorded in Prepaid Expenses and Other Current Assets in the Consolidated Balance Sheets.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 Additionally, in the first quarter of 2021, we recorded out of period adjustments totaling $20 million of expense, primarily related to the valuation of inventory in Americas. The adjustments related to the years, and interim periods therein,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to 2020, with the majority attributable to 2019 and 2020. The adjustments did not have a material effect on any of the periods impacted.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COOPER TIRE ACQUISITION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7, 2021 (the "Closing Date"), we completed our acquisition of Cooper Tire for cash and stock consideration totaling approximately $3.1 billion (the "Merger Consideration").</w:t>
      </w:r>
    </w:p>
    <w:p>
      <w:pPr>
        <w:spacing w:after="0" w:line="6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 Certain of these fair value estimates, including those related to Property, Plant and Equipment, certain liabilities and Goodwill, are preliminary and dependent upon management completing further analyses and studies. Given the complex nature of the related valuations and analyses to be completed, the preliminary purchase price allocation is subject to change. The final valuation of assets acquired and liabilities assumed may be materially different from the estimated values shown below.</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Since the initial measurement of the identified assets acquired and liabilities assumed during the second quarter of 2021, progress continues to be made in completing certain of our additional valuations and analyses. Principle changes since the initial measurement include (i) decreasing the value attributed to customer relationships primarily to reflect updated assumptions related to customer attrition rates, (ii) updating the value attributed to trade names to reflect our long-term view of how each acquired brand fits into the overall product portfolio of the combined company and the appropriate royalty rate to value each acquired brand based on expected profitability, (iii) decreasing the value attributed to Property, Plant and Equipment primarily to reflect updated assumptions related to the estimated economic value of certain underlying assets, (iv) decreasing the value attributed to pension and other postretirement benefit liabilities primarily to reflect updated plan population data, (v) increasing the value attributed to a liability for environmental matters primarily to reflect updated estimated lifecycle remediation cost data, and (vi) a reclassification between Accounts Receivable and Accounts Payable to conform to Goodyear's classification of customer rebate and discount program liabilities. These adjustments were recorded net of adjustments to Deferred Tax Liabilities with the corresponding offset recorded to Goodwill, as applicable. No significant measurement period changes were recorded during the first quarter of 2022.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cumulative measurement period changes since the Closing Date, as well as the updated and initial preliminary allocation of the Merger Consideration to the estimated fair value of the identifiable tangible and intangible assets acquired and liabilities assumed of Cooper Tire, with the excess recorded to Goodwill as of the Closing Date: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0"/>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jc w:val="right"/>
              <w:ind w:right="752"/>
              <w:spacing w:after="0" w:line="160" w:lineRule="exact"/>
              <w:rPr>
                <w:sz w:val="20"/>
                <w:szCs w:val="20"/>
                <w:color w:val="auto"/>
              </w:rPr>
            </w:pPr>
            <w:r>
              <w:rPr>
                <w:rFonts w:ascii="Times New Roman" w:cs="Times New Roman" w:eastAsia="Times New Roman" w:hAnsi="Times New Roman"/>
                <w:sz w:val="14"/>
                <w:szCs w:val="14"/>
                <w:b w:val="1"/>
                <w:bCs w:val="1"/>
                <w:color w:val="auto"/>
              </w:rPr>
              <w:t>Updated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Pr>
          <w:p>
            <w:pPr>
              <w:jc w:val="right"/>
              <w:ind w:right="812"/>
              <w:spacing w:after="0" w:line="160" w:lineRule="exact"/>
              <w:rPr>
                <w:sz w:val="20"/>
                <w:szCs w:val="20"/>
                <w:color w:val="auto"/>
              </w:rPr>
            </w:pPr>
            <w:r>
              <w:rPr>
                <w:rFonts w:ascii="Times New Roman" w:cs="Times New Roman" w:eastAsia="Times New Roman" w:hAnsi="Times New Roman"/>
                <w:sz w:val="14"/>
                <w:szCs w:val="14"/>
                <w:b w:val="1"/>
                <w:bCs w:val="1"/>
                <w:color w:val="auto"/>
              </w:rPr>
              <w:t>Initial</w:t>
            </w:r>
          </w:p>
        </w:tc>
      </w:tr>
      <w:tr>
        <w:trPr>
          <w:trHeight w:val="189"/>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8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Period Changes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210"/>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5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Finance Leases and Notes Payable and Overdrafts</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Equity</w:t>
            </w:r>
          </w:p>
        </w:tc>
        <w:tc>
          <w:tcPr>
            <w:tcW w:w="1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3,097</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-1422400</wp:posOffset>
            </wp:positionV>
            <wp:extent cx="111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-1422400</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-316865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-316865</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estimated value of Inventory includes adjustments totaling $232 million, comprised of $122 million primarily to adjust inventory valued on a last-in, first-out ("LIFO") basis to a current cost basis and $110 million to step-up inventory to estimated fair value. The fair value step-up was fully amortized to Cost of Goods Sold ("CGS") in 2021 as the related inventory was sold. We have eliminated the LIFO reserve on Cooper Tire’s U.S. inventories as we predominately determine the value of our inventory using the first-in, first-out ("FIFO") method. To estimate the fair value of inventory, we considered the components of Cooper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Tire’s inventory, as well as estimates of selling prices and selling and distribution costs that were based on Cooper Tire’s historical experience.</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estimated value of Property, Plant and Equipment includes adjustments totaling $138 million to increase the net book value of $1,210 million to the preliminary fair value estimate of $1,348 million. This estimate is based on a combination of cost and market approaches, including appraisals, and preliminary expectations as to the duration of time we expect to realize benefits from those assets.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values of the identifiable intangible assets acquired, their weighted average estimated useful lives and the related valuation methodology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Updated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years)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FF0FC"/>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220" w:type="dxa"/>
            <w:vAlign w:val="bottom"/>
            <w:shd w:val="clear" w:color="auto" w:fill="CFF0FC"/>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Multi-period excess earnings</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and other</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-25400</wp:posOffset>
            </wp:positionV>
            <wp:extent cx="1460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146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Date, all of the calculated Goodwill of $625 million was allocated to our Americas segment. The goodwill consists of expected future economic benefits that will arise from expected future product sales, operating efficiencies and other synergies that may result from the acquisition, including income tax synergies, and is not deductible for tax purposes.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and CGS related to Cooper Tire’s operations that have been included in our Consolidated Statements of Operations for the three months ended March 31, 2022 are $869 million and $719 million, respectively. As a result of our ongoing integration efforts, particularly as it relates to administrative functions and financing activities, we did not present stand-alone Income before Income Taxes or Net Income for Cooper Tire for the three months ended March 31, 2022.</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we incurred transaction and other costs related to the acquisition of $8 million, which were included in Other (Income)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summarizes, on a pro forma basis, the combined results of operations of Goodyear and Cooper Tire for the three months ended March 31, 2021,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0"/>
        </w:trPr>
        <w:tc>
          <w:tcPr>
            <w:tcW w:w="8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3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the change from LIFO to FIFO; (v) fair value adjustments for certain Cooper Tire stock-based compensation; and (vi) transaction related costs of both Goodyear and Cooper Tire.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8"/>
        </w:trPr>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2,433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8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8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2,915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1,426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567</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4,908</w:t>
            </w:r>
          </w:p>
        </w:tc>
      </w:tr>
      <w:tr>
        <w:trPr>
          <w:trHeight w:val="20"/>
        </w:trPr>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8"/>
        </w:trPr>
        <w:tc>
          <w:tcPr>
            <w:tcW w:w="4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8"/>
        </w:trPr>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8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8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1,787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1,231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493</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3,511</w:t>
            </w:r>
          </w:p>
        </w:tc>
      </w:tr>
      <w:tr>
        <w:trPr>
          <w:trHeight w:val="20"/>
        </w:trPr>
        <w:tc>
          <w:tcPr>
            <w:tcW w:w="4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-1456690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-1456690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-170815</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$21 million and $23 million at March 31, 2022 and December 31, 2021, respectively. Deferred revenue included in Other Long Term Liabilities in the Consolidated Balance Sheets totaled $19 million and $21 million at March 31, 2022 and December 31, 2021, respectively. We recognize deferred revenue after we have transferred control of the goods or services to the customer and all revenue recognition criteria are met.</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three months ended March 31, 2022:</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6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COSTS ASSOCIATED WITH RATIONALIZATION PROGRAMS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Charges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162"/>
        </w:trPr>
        <w:tc>
          <w:tcPr>
            <w:tcW w:w="55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Incurred, net of foreign currency translation of $(2) million and $0 million,</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615"/>
        </w:trPr>
        <w:tc>
          <w:tcPr>
            <w:tcW w:w="55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8"/>
        </w:trPr>
        <w:tc>
          <w:tcPr>
            <w:tcW w:w="5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-496570</wp:posOffset>
            </wp:positionV>
            <wp:extent cx="1289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289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20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-479425</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accrual balance at March 31, 2022 is expected to be substantially utilized in the next 12 months and includes $24 million related to global plans to reduce Selling, Administrative and General Expense ("SAG") headcount, $10 million related to the permanent closure of our Gadsden, Alabama tire manufacturing facility ("Gadsden"), $8 million to modernize two of our tire manufacturing facilities in Germany, and $5 million related to the closed Amiens, France tire manufacturing facility. The remainder of the accrual balance is comprised of various other plans to reduce headcount and improve operating efficiency.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before Income Taxes: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5"/>
                <w:szCs w:val="15"/>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648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6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-1148080</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new charges for the three months ended March 31, 2022 and 2021 relate to future cash outflows. There were no net current year plan charges for the three months ended March 31, 2022. Net current year plan charges for the three months ended March 31, 2021 primarily related to a plan to reduce SAG headcount in Europe, Middle East and Africa (“EMEA”).</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prior year plan charges for the three months ended March 31, 2022 included $7 million related to the permanent closure of Gadsden, $5 million related to the modernization of two of our tire manufacturing facilities in Germany and reversals of $1 million for actions no longer needed for their originally intended purpose. Net prior year plan charges for the three months ended March 31, 2021 included $14 million related to the modernization of two of our tire manufacturing facilities in Germany, $8 million related to the permanent closure of Gadsden and $8 million related to various other plans to reduce headcount and improve operating efficiency.</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rationalization plans had approximately $830 million in charges incurred prior to 2022 and approximately $30 million is expected to be incurred in future periods.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three months of 2022, approximately 50 associates were released under plans initiated in prior years. Approximately 150 associates remain to be released under all ongoing rationalization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OTHER (INCOME)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540" w:type="dxa"/>
            <w:vAlign w:val="bottom"/>
          </w:tcPr>
          <w:p>
            <w:pPr>
              <w:spacing w:after="0"/>
              <w:rPr>
                <w:sz w:val="18"/>
                <w:szCs w:val="18"/>
                <w:color w:val="auto"/>
              </w:rPr>
            </w:pP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54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540" w:type="dxa"/>
            <w:vAlign w:val="bottom"/>
          </w:tcPr>
          <w:p>
            <w:pPr>
              <w:spacing w:after="0"/>
              <w:rPr>
                <w:sz w:val="18"/>
                <w:szCs w:val="18"/>
                <w:color w:val="auto"/>
              </w:rPr>
            </w:pP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5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540" w:type="dxa"/>
            <w:vAlign w:val="bottom"/>
          </w:tcPr>
          <w:p>
            <w:pPr>
              <w:spacing w:after="0"/>
              <w:rPr>
                <w:sz w:val="18"/>
                <w:szCs w:val="18"/>
                <w:color w:val="auto"/>
              </w:rPr>
            </w:pP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5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w:t>
            </w:r>
          </w:p>
        </w:tc>
        <w:tc>
          <w:tcPr>
            <w:tcW w:w="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0"/>
        </w:trPr>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93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11, Pension, Savings and Other Postretirement Benefit Plans.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Royalty income of $11 million in the first quarter of 2022 increased $6 million compared to the first quarter of 2021 primarily due to an increase in chemical royalties in Americas.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on asset sales of $4 million in the first quarter of 2022 primarily relate to the sale of an equity investment in Americas.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include legal, consulting and other expenses incurred by us in connection with the Cooper Tire acquisition in 2021.</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and interest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quarter of 2022, we recorded income tax expense of $38 million on income before income taxes of $134 million. Income tax expense for the three months ended March 31, 2022 includes net discrete tax expense of $4 million. Discrete tax expense includes a charge of $11 million to establish a full valuation allowance on our net deferred tax assets in Russia, partially offset by a net benefit of $7 million for various other items.</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first quarter of 2021, we recorded income tax expense of $15 million on income before income taxes of $33 million. Income tax expense for the three months ended March 31, 2021 includes net discrete tax expense of $3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March 31, 2022 and March 31, 2021 primarily relates to losses in foreign jurisdictions in which no tax benefits are recorded and the discrete items noted above.</w:t>
      </w:r>
    </w:p>
    <w:p>
      <w:pPr>
        <w:spacing w:after="0" w:line="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both March 31, 2022 and December 31, 2021, we had approximately $1.2 billion of U.S. federal, state and local net deferred tax assets, net of valuation allowances totaling $26 million primarily for state tax loss carryforwards with limited lives. In the U.S., we have a cumulative loss for the three-year period ending March 31, 2022.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continued favorable recovery trends in the tire industry and our tire volume as well as expected continued improvement. In addition, the Cooper Tire acquisition has generated significant incremental domestic earnings since the Closing Date and provides opportunities for cost and other operating synergies to further improve our U.S. profitability.</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both March 31, 2022 and December 31, 2021, our U.S. net deferred tax assets include $339 million of foreign tax credits with limited lives, net of valuation allowances of $3 million. Our earnings and forecasts of future profitability, taking into consideration recent trends, along with three significant sources of foreign income, provide us sufficient positive evidence that we will be able to utilize these net foreign tax credits which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March 31, 2022, our U.S. net deferred tax assets, including our foreign tax credits, net of valuation allowances, will be fully utilized.</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both March 31, 2022 and December 31, 2021, we also had approximately $1.3 billion of foreign net deferred tax assets, and related valuation allowances of $1.0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$860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changes to our unrecognized tax benefits did not, and for the full year of 2022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for 2021 and in Germany from 2018 onward. Generally, for our remaining tax jurisdictions, years from 2017 onward are still open to examination.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48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54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r>
      <w:tr>
        <w:trPr>
          <w:trHeight w:val="197"/>
        </w:trPr>
        <w:tc>
          <w:tcPr>
            <w:tcW w:w="64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54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0.34</w:t>
            </w:r>
          </w:p>
        </w:tc>
        <w:tc>
          <w:tcPr>
            <w:tcW w:w="900" w:type="dxa"/>
            <w:vAlign w:val="bottom"/>
            <w:gridSpan w:val="2"/>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648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5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5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0.33</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-1233805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-1216660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-633730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-616585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-333375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shares outstanding — diluted for both the three months ended March 31, 2022 and March 31, 2021 excludes approximately 2 million equivalent shares related to options with exercise prices greater than the average market price of our common shares (i.e., "underwater"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BUSINESS SEGMENTS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5"/>
                <w:szCs w:val="15"/>
                <w:color w:val="auto"/>
              </w:rPr>
            </w:pPr>
          </w:p>
        </w:tc>
      </w:tr>
      <w:tr>
        <w:trPr>
          <w:trHeight w:val="176"/>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spacing w:after="0"/>
              <w:rPr>
                <w:sz w:val="15"/>
                <w:szCs w:val="15"/>
                <w:color w:val="auto"/>
              </w:rPr>
            </w:pPr>
          </w:p>
        </w:tc>
      </w:tr>
      <w:tr>
        <w:trPr>
          <w:trHeight w:val="187"/>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50"/>
        </w:trPr>
        <w:tc>
          <w:tcPr>
            <w:tcW w:w="6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4,908</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3,511</w:t>
            </w:r>
          </w:p>
        </w:tc>
      </w:tr>
      <w:tr>
        <w:trPr>
          <w:trHeight w:val="197"/>
        </w:trPr>
        <w:tc>
          <w:tcPr>
            <w:tcW w:w="6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r>
      <w:tr>
        <w:trPr>
          <w:trHeight w:val="20"/>
        </w:trPr>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4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5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4)</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6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5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0"/>
        </w:trPr>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-1876425</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-1859280</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-1302385</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102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for the three months ended March 31, 2022 was driven by the acquisition of Cooper Tire in 2021.</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4, Costs Associated with Rationalization Programs, and net (gains) losses on asset sales, as described in Note to the Consolidated Financial Statements No. 5, Other (Income) Expense, were not charged to the strategic business units ("SBUs") for performance evaluation purposes but were attributable to the SBUs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5"/>
                <w:szCs w:val="15"/>
                <w:color w:val="auto"/>
              </w:rPr>
            </w:pPr>
          </w:p>
        </w:tc>
      </w:tr>
      <w:tr>
        <w:trPr>
          <w:trHeight w:val="175"/>
        </w:trPr>
        <w:tc>
          <w:tcPr>
            <w:tcW w:w="6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197"/>
        </w:trPr>
        <w:tc>
          <w:tcPr>
            <w:tcW w:w="64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50"/>
        </w:trPr>
        <w:tc>
          <w:tcPr>
            <w:tcW w:w="64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156"/>
        </w:trPr>
        <w:tc>
          <w:tcPr>
            <w:tcW w:w="6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9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8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-890905</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-873760</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-582295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-565150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FINANCING ARRANGEMENTS AND DERIVATIVE FINANCIAL INSTRUMENTS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had total credit arrangements of $11,611 million, of which $3,374 million were unused. At that date, approximately 25% of our debt was at variable interest rates averaging 3.38%.</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had short term committed and uncommitted credit arrangements totaling $991 million, of which $407 million were unused. These arrangements are available primarily to certain of our foreign subsidiaries through various banks at quoted market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6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369</w:t>
            </w:r>
          </w:p>
        </w:tc>
      </w:tr>
      <w:tr>
        <w:trPr>
          <w:trHeight w:val="249"/>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360" w:type="dxa"/>
            <w:vAlign w:val="bottom"/>
            <w:tcBorders>
              <w:bottom w:val="single" w:sz="8" w:color="auto"/>
            </w:tcBorders>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570</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406</w:t>
            </w:r>
          </w:p>
        </w:tc>
      </w:tr>
      <w:tr>
        <w:trPr>
          <w:trHeight w:val="197"/>
        </w:trPr>
        <w:tc>
          <w:tcPr>
            <w:tcW w:w="6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3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3.25 %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2.78 %</w:t>
            </w:r>
          </w:p>
        </w:tc>
      </w:tr>
      <w:tr>
        <w:trPr>
          <w:trHeight w:val="216"/>
        </w:trPr>
        <w:tc>
          <w:tcPr>
            <w:tcW w:w="6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3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350</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343</w:t>
            </w:r>
          </w:p>
        </w:tc>
      </w:tr>
      <w:tr>
        <w:trPr>
          <w:trHeight w:val="20"/>
        </w:trPr>
        <w:tc>
          <w:tcPr>
            <w:tcW w:w="6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98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3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5.20 %</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5.25 %</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920</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749</w:t>
            </w:r>
          </w:p>
        </w:tc>
      </w:tr>
      <w:tr>
        <w:trPr>
          <w:trHeight w:val="20"/>
        </w:trPr>
        <w:tc>
          <w:tcPr>
            <w:tcW w:w="6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-1053465</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-1036320</wp:posOffset>
            </wp:positionV>
            <wp:extent cx="111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-479425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long term credit arrangements totaling $10,620 million, of which $2,967 million were unused.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95"/>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ind w:right="539"/>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7"/>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5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2024</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Chinese credit facilities</w:t>
            </w:r>
          </w:p>
        </w:tc>
        <w:tc>
          <w:tcPr>
            <w:tcW w:w="280" w:type="dxa"/>
            <w:vAlign w:val="bottom"/>
          </w:tcPr>
          <w:p>
            <w:pPr>
              <w:spacing w:after="0"/>
              <w:rPr>
                <w:sz w:val="14"/>
                <w:szCs w:val="14"/>
                <w:color w:val="auto"/>
              </w:rPr>
            </w:pPr>
          </w:p>
        </w:tc>
        <w:tc>
          <w:tcPr>
            <w:tcW w:w="1260" w:type="dxa"/>
            <w:vAlign w:val="bottom"/>
          </w:tcPr>
          <w:p>
            <w:pPr>
              <w:jc w:val="right"/>
              <w:ind w:right="31"/>
              <w:spacing w:after="0" w:line="162" w:lineRule="exact"/>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4.27 %</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11"/>
              <w:spacing w:after="0" w:line="162" w:lineRule="exact"/>
              <w:rPr>
                <w:sz w:val="20"/>
                <w:szCs w:val="20"/>
                <w:color w:val="auto"/>
              </w:rPr>
            </w:pPr>
            <w:r>
              <w:rPr>
                <w:rFonts w:ascii="Times New Roman" w:cs="Times New Roman" w:eastAsia="Times New Roman" w:hAnsi="Times New Roman"/>
                <w:sz w:val="18"/>
                <w:szCs w:val="18"/>
                <w:color w:val="auto"/>
              </w:rPr>
              <w:t>333</w:t>
            </w:r>
          </w:p>
        </w:tc>
        <w:tc>
          <w:tcPr>
            <w:tcW w:w="16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7,609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6,791</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6,736</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7,800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6,991</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7,450</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6,648</w:t>
            </w:r>
          </w:p>
        </w:tc>
        <w:tc>
          <w:tcPr>
            <w:tcW w:w="1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49"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$3 million and $14 million during the three month period ended March 31, 2022 and the twelve months ended December 31,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$5,580 million of outstanding notes, compared to $5,591 million at December 31,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LIBOR plus 125 basis points.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2022, our borrowing base, and therefore our availability, under this facility was $321 million below the facility's stated amount of $2.75 billion.</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had $615 million of borrowings and $3 million of letters of credit issued under the revolving credit facility. At December 31, 2021, we had no borrowings and $19 million of letters of credit issued under the revolving credit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2024</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there were no borrowings outstanding under the German tranche, $102 million (€92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is €300 million.</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the amounts available and utilized under this program totaled $213 million (€192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2021 Form 10-K.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2022, the gross amount of receivables sold was $537 million, compared to $605 million at December 31, 2021.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March 31, 2022, the amounts available and utilized under this facility were $200 million. At December 31, 2021, the amounts available and utilized under this facility were $200 million and $158 million, respectively. The facility has covenants relating to the Mexican and U.S. subsidiary, and has customary representations and warranties and defaults relating to the Mexican and U.S. subsidiary’s ability to perform its respective obligations under the facility. The facility matures in 2022; however, our subsidiaries have received a commitment to renew and extend the facility under substantially the same customary representations, warranties and default provisions with a maturity in 2024.</w:t>
      </w:r>
    </w:p>
    <w:p>
      <w:pPr>
        <w:spacing w:after="0" w:line="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Chinese subsidiary has several financing arrangements in China. At March 31, 2022 and December 31, 2021, the amounts available under these facilities were $916 million and $958 million, respectively. At March 31, 2022, the amount utilized under these facilities was $407 million, of which $38 million represented notes payable and $369 million represented long term debt. At March 31, 2022, $185 million of the long term debt was due within a year. At December 31, 2021, the amount utilized under these facilities was $365 million, of which $32 million represented notes payable and $333 million represented long term debt. At December 31, 2021, $124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one of our manufacturing facilities in China and, at March 31, 2022 and December 31, 2021, the unused amounts available under these facilities were $80 million and $81 million, respectively. Following the Cooper Tire acquisition, three of Cooper Tire's Chinese credit facilities remain outstanding. At March 31, 2022, the amounts available and utilized under these facilities were $59 million and $9 million, respectively. At December 31, 2021, the amounts available and utilized under these facilities were $75 million and $5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4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tcPr>
          <w:p>
            <w:pPr>
              <w:jc w:val="right"/>
              <w:ind w:right="13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2022 and December 31, 2021, these outstanding foreign currency derivatives had notional amounts of $1,055 million and $993 million, respectively, and were primarily related to intercompany loans. Other (Income) Expense included net transaction gains on derivatives of $10 million and $55 million for the three months ended March 31, 2022 and 2021, respectively. These amounts were substantially offset in Other (Income) Expense by the effect of changing exchange rates on the underlying currency exposures.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5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jc w:val="right"/>
              <w:ind w:right="13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2022 and December 31, 2021, these outstanding foreign currency derivatives had notional amounts of $68 million and $63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4"/>
        </w:trPr>
        <w:tc>
          <w:tcPr>
            <w:tcW w:w="64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5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23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gridSpan w:val="3"/>
            <w:shd w:val="clear" w:color="auto" w:fill="CFF0FC"/>
          </w:tcPr>
          <w:p>
            <w:pPr>
              <w:jc w:val="center"/>
              <w:ind w:left="801"/>
              <w:spacing w:after="0"/>
              <w:rPr>
                <w:sz w:val="20"/>
                <w:szCs w:val="20"/>
                <w:color w:val="auto"/>
              </w:rPr>
            </w:pPr>
            <w:r>
              <w:rPr>
                <w:rFonts w:ascii="Times New Roman" w:cs="Times New Roman" w:eastAsia="Times New Roman" w:hAnsi="Times New Roman"/>
                <w:sz w:val="18"/>
                <w:szCs w:val="18"/>
                <w:color w:val="auto"/>
              </w:rPr>
              <w:t>(2 )  $</w:t>
            </w:r>
          </w:p>
        </w:tc>
        <w:tc>
          <w:tcPr>
            <w:tcW w:w="15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net amount of deferred losses at March 31, 2022 that are expected to be reclassified to earnings within the next twelve months is $1 million.</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 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-753745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-753745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-753745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-753745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-753745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-753745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-753745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-170815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March 31, 2022 and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40" w:type="dxa"/>
            <w:vAlign w:val="bottom"/>
          </w:tcPr>
          <w:p>
            <w:pPr>
              <w:spacing w:after="0"/>
              <w:rPr>
                <w:sz w:val="15"/>
                <w:szCs w:val="15"/>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5,559</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6,149</w:t>
            </w:r>
          </w:p>
        </w:tc>
      </w:tr>
      <w:tr>
        <w:trPr>
          <w:trHeight w:val="216"/>
        </w:trPr>
        <w:tc>
          <w:tcPr>
            <w:tcW w:w="7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0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1,763</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bl>
    <w:p>
      <w:pPr>
        <w:spacing w:after="0" w:line="36" w:lineRule="exact"/>
        <w:rPr>
          <w:sz w:val="20"/>
          <w:szCs w:val="20"/>
          <w:color w:val="auto"/>
        </w:rPr>
      </w:pPr>
    </w:p>
    <w:p>
      <w:pPr>
        <w:jc w:val="both"/>
        <w:ind w:left="760" w:hanging="752"/>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$570 million and $406 million at March 31, 2022 and December 31, 2021, respectively, of which $254 million and $227 million, respectively, are at fixed rates and $316 million and $179 million, respectively, are at variable rates. The carrying value of Notes Payable and Overdrafts approximates fair value due to the short term nature of the facilities.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$5,308 million and $5,905 million at March 31, 2022 and December 31, 2021, respectively, were estimated using quoted Level 1 market prices. The carrying value of the remaining debt was based upon internal estimates of fair value derived from market prices for similar debt.</w:t>
      </w:r>
    </w:p>
    <w:p>
      <w:pPr>
        <w:spacing w:after="0" w:line="144" w:lineRule="exact"/>
        <w:rPr>
          <w:sz w:val="20"/>
          <w:szCs w:val="20"/>
          <w:color w:val="auto"/>
        </w:rPr>
      </w:pPr>
    </w:p>
    <w:p>
      <w:pPr>
        <w:ind w:right="4400"/>
        <w:spacing w:after="0" w:line="37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11.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58"/>
        </w:trPr>
        <w:tc>
          <w:tcPr>
            <w:tcW w:w="3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80" w:type="dxa"/>
            <w:vAlign w:val="bottom"/>
            <w:gridSpan w:val="3"/>
          </w:tcPr>
          <w:p>
            <w:pPr>
              <w:jc w:val="center"/>
              <w:ind w:left="83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5"/>
        </w:trPr>
        <w:tc>
          <w:tcPr>
            <w:tcW w:w="38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5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5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25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25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615"/>
        </w:trPr>
        <w:tc>
          <w:tcPr>
            <w:tcW w:w="3880" w:type="dxa"/>
            <w:vAlign w:val="bottom"/>
          </w:tcPr>
          <w:p>
            <w:pPr>
              <w:spacing w:after="0"/>
              <w:rPr>
                <w:sz w:val="24"/>
                <w:szCs w:val="24"/>
                <w:color w:val="auto"/>
              </w:rPr>
            </w:pPr>
          </w:p>
        </w:tc>
        <w:tc>
          <w:tcPr>
            <w:tcW w:w="25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8"/>
        </w:trPr>
        <w:tc>
          <w:tcPr>
            <w:tcW w:w="388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-496570</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-479425</wp:posOffset>
            </wp:positionV>
            <wp:extent cx="93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1560" w:type="dxa"/>
            <w:vAlign w:val="bottom"/>
            <w:tcBorders>
              <w:bottom w:val="single" w:sz="8" w:color="auto"/>
            </w:tcBorders>
          </w:tcPr>
          <w:p>
            <w:pPr>
              <w:spacing w:after="0"/>
              <w:rPr>
                <w:sz w:val="16"/>
                <w:szCs w:val="16"/>
                <w:color w:val="auto"/>
              </w:rPr>
            </w:pPr>
          </w:p>
        </w:tc>
      </w:tr>
      <w:tr>
        <w:trPr>
          <w:trHeight w:val="158"/>
        </w:trPr>
        <w:tc>
          <w:tcPr>
            <w:tcW w:w="6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60" w:type="dxa"/>
            <w:vAlign w:val="bottom"/>
            <w:gridSpan w:val="3"/>
          </w:tcPr>
          <w:p>
            <w:pPr>
              <w:jc w:val="center"/>
              <w:ind w:left="83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tcPr>
          <w:p>
            <w:pPr>
              <w:spacing w:after="0"/>
              <w:rPr>
                <w:sz w:val="18"/>
                <w:szCs w:val="18"/>
                <w:color w:val="auto"/>
              </w:rPr>
            </w:pP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quarter of 2022, we communicated the termination of a Cooper Tire U.S. salaried defined benefit pension plan, which was frozen in 2009, to applicable participants. The termination of the plan, which had $506 million in assets and $458 million in obligations as of December 31, 2021, is expected to be completed in the first half of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postretirement benefits expense for the three months ended March 31, 2022 and 2021 was $4 million and $2 million, respectively.</w:t>
      </w:r>
    </w:p>
    <w:p>
      <w:pPr>
        <w:spacing w:after="0" w:line="124"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2022. For the three months ended March 31, 2022, we contributed $9 million to our non-U.S. plans.</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March 31, 2022 and 2021 was $35 million and $28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 COMPENSATION PLANS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Board of Directors granted 0.6 million restricted stock units and 0.4 million performance share units during the three months ended March 31, 2022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$15.75 for restricted stock units and $15.60 for performance share units granted during the three months ended March 31, 2022.</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$5 million and $4 million during the three months ended March 31, 2022 and 2021, respectively. At March 31, 2022, unearned compensation cost related to the unvested portion of all stock-based awards was approximately $45 million and is expected to be recognized over the remaining vesting period of the respective grants, through the first quarter of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recorded liabilities totaling $80 million at both March 31, 2022 and December 31, 2021 for anticipated costs related to various environmental matters, primarily the remediation of numerous waste disposal sites and certain properties sold by us. Of these amounts, $20 million and $21 million were included in Other Current Liabilities at March 31, 2022 and December 31, 2021,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$195 million and $194 million for anticipated costs related to workers’ compensation at March 31, 2022 and December 31, 2021, respectively. Of these amounts, $39 million and $38 million were included in Current Liabilities as part of Compensation</w:t>
      </w:r>
    </w:p>
    <w:p>
      <w:pPr>
        <w:jc w:val="both"/>
        <w:spacing w:after="0" w:line="244" w:lineRule="auto"/>
        <w:rPr>
          <w:sz w:val="20"/>
          <w:szCs w:val="20"/>
          <w:color w:val="auto"/>
        </w:rPr>
      </w:pPr>
      <w:r>
        <w:rPr>
          <w:rFonts w:ascii="Times New Roman" w:cs="Times New Roman" w:eastAsia="Times New Roman" w:hAnsi="Times New Roman"/>
          <w:sz w:val="18"/>
          <w:szCs w:val="18"/>
          <w:color w:val="auto"/>
        </w:rPr>
        <w:t>and Benefits at March 31, 2022 and December 31, 2021,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2022 and December 31, 2021, the liability was discounted using a risk-free rate of return. At March 31, 2022, we estimate that it is reasonably possible that the liability could exceed our recorded amounts by approximately $25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recorded liabilities totaling $399 million and $390 million, including related legal fees expected to be incurred, for potential product liability and other tort claims, including asbestos claims, at March 31, 2022 and December 31, 2021, respectively. Of these amounts, $45 million and $41 million were included in Other Current Liabilities at March 31, 2022 and December 31, 2021, respectively. The amounts recorded were estimated based on an assessment of potential liability using an analysis of available information with respect to pending claims, historical experience and, where available, recent and current trends. Based upon that assessment, at March 31, 2022,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$20 million for Sumitomo Rubber Industries, Ltd.'s ("SRI") obligation to indemnify us for certain product liability claims related to products manufactured by a formerly consolidated joint venture entity, subject to certain caps and restrictions.</w:t>
      </w:r>
    </w:p>
    <w:p>
      <w:pPr>
        <w:spacing w:after="0" w:line="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155,900 claims by defending, obtaining the dismissal thereof, or entering into a settlement. The sum of our accrued asbestos-related liability and gross payments to date, including legal costs, by us and our insurers totaled approximately $565 million through March 31, 2022 and $560 million through December 31, 2021.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38,700</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0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0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tcBorders>
              <w:bottom w:val="single" w:sz="8" w:color="CFF0FC"/>
            </w:tcBorders>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Payments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-334010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$131 million at both March 31, 2022 and December 31, 2021.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$77 million at both March 31, 2022 and December 31, 2021. We expect that approximately 60% of asbestos claim related losses would be recoverable through insurance during the ten-year period covered by the estimated liability. Of these amounts, $12 million was included in Current Assets as part of Accounts Receivable at both March 31, 2022 and December 31, 2021.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at December 31, 2021, we had approximately $540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$34 million at both March 31, 2022 and December 31, 2021. We issue guarantees to financial institutions or other entities on behalf of certain of our affiliates, lessors or customers. We generally do not require collateral in connection with the issuance of these guarantees.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March 31, 2022, this guarantee amount has been reduced to $20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lessors’, customers’ or SRI's assets would be adequate to recover any payments made by us under the related guarantees.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March 31, 2022, $35 million was drawn on this commitment. At December 31, 2021, no funds were drawn on this commitment.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CAPITAL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quarter of 2022,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three months ended March 31, 2022 and 2021, after tax and minority interest.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42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4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54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(1,391 )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(2,525 )</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(3,915 )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42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(1,284 )</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(2,856 )</w:t>
            </w: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gridSpan w:val="2"/>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(4,135 )</w:t>
            </w:r>
          </w:p>
        </w:tc>
        <w:tc>
          <w:tcPr>
            <w:tcW w:w="0" w:type="dxa"/>
            <w:vAlign w:val="bottom"/>
          </w:tcPr>
          <w:p>
            <w:pPr>
              <w:spacing w:after="0"/>
              <w:rPr>
                <w:sz w:val="1"/>
                <w:szCs w:val="1"/>
                <w:color w:val="auto"/>
              </w:rPr>
            </w:pPr>
          </w:p>
        </w:tc>
      </w:tr>
      <w:tr>
        <w:trPr>
          <w:trHeight w:val="171"/>
        </w:trPr>
        <w:tc>
          <w:tcPr>
            <w:tcW w:w="4480" w:type="dxa"/>
            <w:vAlign w:val="bottom"/>
            <w:gridSpan w:val="2"/>
          </w:tcPr>
          <w:p>
            <w:pPr>
              <w:ind w:left="1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(32 )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71"/>
        </w:trPr>
        <w:tc>
          <w:tcPr>
            <w:tcW w:w="4480" w:type="dxa"/>
            <w:vAlign w:val="bottom"/>
            <w:gridSpan w:val="2"/>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5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3"/>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gridSpan w:val="2"/>
            <w:vMerge w:val="continue"/>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54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(1,316 )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(2,820 )</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(4,132 )</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6"/>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4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7"/>
              </w:rPr>
              <w:t>Reclassified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5"/>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164"/>
        </w:trPr>
        <w:tc>
          <w:tcPr>
            <w:tcW w:w="4320" w:type="dxa"/>
            <w:vAlign w:val="bottom"/>
            <w:tcBorders>
              <w:top w:val="single" w:sz="8" w:color="auto"/>
            </w:tcBorders>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13"/>
          </w:tcPr>
          <w:p>
            <w:pPr>
              <w:jc w:val="right"/>
              <w:ind w:right="754"/>
              <w:spacing w:after="0"/>
              <w:rPr>
                <w:sz w:val="20"/>
                <w:szCs w:val="20"/>
                <w:color w:val="auto"/>
              </w:rPr>
            </w:pPr>
            <w:r>
              <w:rPr>
                <w:rFonts w:ascii="Times New Roman" w:cs="Times New Roman" w:eastAsia="Times New Roman" w:hAnsi="Times New Roman"/>
                <w:sz w:val="18"/>
                <w:szCs w:val="18"/>
                <w:color w:val="auto"/>
              </w:rPr>
              <w:t>(9 )  United States and Foreign Taxes</w:t>
            </w: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360" w:type="dxa"/>
            <w:vAlign w:val="bottom"/>
            <w:gridSpan w:val="10"/>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Goodyear Net Income (Loss)</w:t>
            </w: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11"/>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980" w:type="dxa"/>
            <w:vAlign w:val="bottom"/>
            <w:gridSpan w:val="11"/>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(2 )  Cost of Goods Sold</w:t>
            </w: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13"/>
          </w:tcPr>
          <w:p>
            <w:pPr>
              <w:jc w:val="right"/>
              <w:ind w:right="754"/>
              <w:spacing w:after="0"/>
              <w:rPr>
                <w:sz w:val="20"/>
                <w:szCs w:val="20"/>
                <w:color w:val="auto"/>
              </w:rPr>
            </w:pPr>
            <w:r>
              <w:rPr>
                <w:rFonts w:ascii="Times New Roman" w:cs="Times New Roman" w:eastAsia="Times New Roman" w:hAnsi="Times New Roman"/>
                <w:sz w:val="18"/>
                <w:szCs w:val="18"/>
                <w:color w:val="auto"/>
              </w:rPr>
              <w:t>—   United States and Foreign Taxes</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360" w:type="dxa"/>
            <w:vAlign w:val="bottom"/>
            <w:tcBorders>
              <w:bottom w:val="single" w:sz="8" w:color="CFF0FC"/>
            </w:tcBorders>
            <w:gridSpan w:val="10"/>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Goodyear Net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-3710940</wp:posOffset>
            </wp:positionV>
            <wp:extent cx="93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-3710940</wp:posOffset>
            </wp:positionV>
            <wp:extent cx="93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-3710940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-2288540</wp:posOffset>
            </wp:positionV>
            <wp:extent cx="946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-2288540</wp:posOffset>
            </wp:positionV>
            <wp:extent cx="93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-2288540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5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50"/>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0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615"/>
        </w:trPr>
        <w:tc>
          <w:tcPr>
            <w:tcW w:w="544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1"/>
        </w:trPr>
        <w:tc>
          <w:tcPr>
            <w:tcW w:w="54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-808990</wp:posOffset>
            </wp:positionV>
            <wp:extent cx="11938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9380" cy="1797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-487680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(“EMEA”); and Asia Pacific.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first quarter of 2022, our operating results significantly improved compared to 2021, driven by the acquisition of Cooper Tire &amp; Rubber Company ("Cooper Tire") on June 7, 2021 (the "Closing Date"). While we experienced continued recovery from the impacts of the COVID-19 pandemic, particularly as it relates to the global replacement market, our results for the first quarter of 2022 were still influenced by the direct and indirect macroeconomic effects of the ongoing pandemic. Our global businesses are experiencing varying stages of recovery, as national and local efforts in many countries to contain the spread of COVID-19 and its related variants, including renewed stay-at-home orders, continue to impact economic conditions. Increased demand for consumer products and supply chain disruptions as a result of the pandemic and other global events, including port congestion and container shortages, has led to inflationary cost pressures, including higher costs for certain raw materials, higher transportation costs and higher energy costs. Also, shortages of certain automobile parts, such as semiconductors, have affected OE manufacturers’ ability to produce consumer and commercial vehicles consistently.</w:t>
      </w:r>
    </w:p>
    <w:p>
      <w:pPr>
        <w:spacing w:after="0" w:line="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Most of our global tire manufacturing facilities operated at or near full capacity during the first quarter of 2022 to meet current demand, as well as to increase the level of our finished goods inventory as we continue to restock in order to fulfill anticipated near-term demand. However, more recently, some of our facilities, including our facilities in Pulandian and Kunshan, China, have had to temporarily shut down or limit production as a result of renewed stay-at-home orders or other events. Additionally, we continue to experience increased labor-related costs and manufacturing inefficiencies associated with the ongoing tight labor supply, particularly in the U.S. Our decisions to change production levels in the future will be based on an evaluation of market demand signals and inventory and supply levels, as well as the availability of sufficient qualified labor and our ability to continue to safeguard the health of our associates.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monitor the pandemic on a local basis, taking actions to protect the health and wellbeing of our associates, customers and communities, which remain our top priority. We also continue to follow guidance from the Centers for Disease Control and Prevention, which include preventative measures at our facilities, as appropriate, including limiting visitor access and business travel, remote and hybrid working, masking and social distancing practices, and frequent disinfection.</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remain largely unable to operate our business in Ukraine and suspended all shipments of tires to Russia during the first quarter of 2022. Goodyear’s sales in Ukraine and Russia represented 0.3% and 1.2%, respectively, of our total 2021 net sales of $17.5 billion. We do not have manufacturing operations in either Ukraine or Russia, and we are taking numerous actions to ensure continuity of supply for raw materials used in manufacturing, some of which are sourced from the impacted area. These actions include increasing our safety stocks when possible, identifying substitutes where appropriate and building alternate supplier relationships where necessary. Nonetheless, the ongoing conflict has aggravated the already challenging macroeconomic trends discussed above, including global supply chain disruptions, higher costs for certain raw materials and higher transportation and energy costs. The situation continues to be very dynamic, and we are continually assessing all potential impacts on our associates and business.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for the first quarter of 2022 include a 28.7% increase in tire unit shipments compared to 2021, reflecting the addition of the operating results of Cooper Tire and continued strength in the global replacement market. In the first quarter of 2022, we incurred $151 million of additional costs related to inflation and other cost pressures, primarily higher transportation and energy costs.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first quarter of 2022 were $4,908 million, compared to $3,511 million in the first quarter of 2021. Net sales increased in 2022 primarily due to the addition of Cooper Tire's net sales of $869 million, global improvements in price and product mix, higher tire volume, primarily in EMEA and Asia Pacific, and higher sales in other tire-related businesses, driven by increased third-party chemical sales in Americas and higher global aviation sales. These increases were partially offset by unfavorable foreign currency translation, primarily in EMEA, driven by the weakening of the Turkish lira and euro.</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2022, Goodyear net income was $96 million, or $0.33 per share, compared to $12 million, or $0.05 per share, in the first quarter of 2021. The increase in Goodyear net income was primarily due to higher segment operating income and lower rationalization expense, partially offset by higher interest expense. Additionally, our results in 2021 included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of a severe winter storm in the U.S. estimated to negatively impact earnings for the first quarter of 2021 by $23 million ($17 million after-tax and minority).</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2022 was $303 million, compared to $226 million in the first quarter of 2021. The increase was primarily due to global improvements in price and product mix of $511 million, which more than offset higher raw material costs of $378 million, higher tire volume of $28 million, primarily in EMEA, and the net impact of out of period adjustments in 2021 totaling $13 million ($12 million after-tax and minority) of expense in Americas. These increases were partially offset by increased conversion costs of $68 million, higher transportation costs of $52 million, and higher Selling, Administrative and General Expense ("SAG") of $46 million, all driven by the inflationary cost trends discussed above. The remainder of the change was driven by the addition of Cooper Tire's operating results. Refer to "Results of Operations — Segment Information"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2022, we had $1,053 million of cash and cash equivalents as well as $3,374 million of unused availability under our various credit agreements, compared to $1,088 million and $4,345 million, respectively, at December 31, 2021. The decrease in cash and cash equivalents of $35 million was primarily due to cash used by operating activities of $711 million and capital expenditures of $276 million, partially offset by net borrowings of $972 million. Cash used by operating activities reflects cash used for working capital of $1,002 million and rationalization payments of $36 million, partially offset by net income for the period of $96 million, which includes non-cash charges for depreciation and amortization of $244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our first quarter operating results for our legacy Goodyear business were significantly better than pre-pandemic 2019 levels, we continue to face macroeconomic uncertainty. In China, recent governmental measures to slow the resurgence of COVID-19 have reduced economic activity and mobility. Our facilities in China are operating, although not yet at normalized levels of production. We estimate the negative impact of COVID-related plant closures in China to be approximately $10 million in the second quarter of 2022, although this estimate could trend higher and is dependent on our ability to continue to increase production and a recovery in commercial activity. Similarly, OE manufacturers continue to be affected by shortages of components and materials, which are limiting vehicle production. In addition, the conflict in Ukraine has exacerbated continuing supply chain challenges and increases in the cost of certain raw materials, as well as in energy and transportation costs. Our ability to ship products, including to locations where we do not have manufacturing as well as from certain Cooper Tire consumer and commercial manufacturing facilities, could be impacted by ongoing disruptions in global logistics.</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second quarter, we expect continued volume recovery in EMEA. We expect our raw material costs to increase approximately $400 million in the second quarter of 2022 compared to 2021, excluding the raw material cost increases related to Cooper Tire through June 7, 2022. We anticipate price and product mix to more than offset raw material costs in the second quarter of 2022 based on selling price increases we have already implemented. At today’s spot rates, the increase in raw material costs during the second half of 2022 would be similar to the increase we expect to experience in the first half. Natural and synthetic rubber prices and other commodity prices historically have been volatile, and this estimate could change significantly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impact of raw material costs, we expect the impact of other inflationary cost pressures as compared to 2021 to continue to persist, particularly with respect to transportation, labor and energy costs. We continue to focus on actions to offset costs other than raw materials through cost savings initiatives, further price actions and improvements in product mix.</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2022, we expect to reinvest approximately $300 million in working capital as we continue to build our inventory levels to meet customer demand and support service levels. We expect our capital expenditures to be between $1.3 billion and $1.4 billion, focusing on long term sustainable growth in our business including our recently announced plans to modernize our consumer tire manufacturing facility in Amiens, France. Our capital expenditures in 2022 will be focused on projects to modernize certain of our manufacturing facilities and expand others to address supply constraints and growing demand, in addition to capital expenditures sustaining our facilities.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in 2022 will also be impacted by approximately $40 million of amortization of intangible assets related to the Cooper Tire acquisition.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 to “Item 1A. Risk Factors” in this Quarterly Report on Form 10-Q and in the 2021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 the first quarter of 2022 were $4,908 million, increasing $1,397 million, or 39.8%, from $3,511 million in the first quarter of 2021. Goodyear net income was $96 million, or $0.33 per share, in the first quarter of 2022, compared to $12 million, or $0.05 per share, in the first quarter of 2021.</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increased in the first quarter of 2022, primarily due to the addition of Cooper Tire's net sales of $869 million, global improvements in price and product mix of $509 million, higher tire volume of $103 million, primarily in EMEA and Asia Pacific, and higher sales in other tire-related businesses of $102 million, driven by increased third-party chemical sales in Americas and higher global aviation sales. These increases were partially offset by unfavorable foreign currency translation of $186 million, primarily in EMEA, driven by the weakening of the Turkish lira and euro.</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Worldwide tire unit sales in the first quarter of 2022 were 45.0 million units, increasing 10.0 million units, or 28.7%, from 35.0 million units in the first quarter of 2021. Replacement tire volume increased globally by 9.2 million units, or 35.4%. OE tire volume increased by 0.8 million units, or 9.1%, reflecting increases in Asia Pacific and Americas, partially offset by a decrease in EMEA. The increase in both replacement and OE tire volume was driven by the addition of Cooper Tire's units and continued strength in the global replacement market.</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Goods Sold ("CGS") in the first quarter of 2022 was $3,966 million, increasing $1,215 million, or 44.2%, from $2,751 million in the first quarter of 2021. CGS increased primarily due to the addition of Cooper Tire's CGS of $719 million, higher raw material costs of $378 million, higher costs in other tire-related businesses of $93 million, driven by higher third-party chemical sales in Americas, higher tire volume of $75 million, primarily in EMEA and Asia Pacific, and higher conversion costs of $68 million, driven by inflation and higher energy costs. These increases were partially offset by foreign currency translation of $146 million, primarily in EMEA, driven by the weakening of the Turkish lira and euro. CGS in the first quarter of 2021 was impacted by net out of period adjustments totaling $13 million of expense in Americas.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in the first quarter of 2022 and 2021 included pension expense of $5 million and $4 million, respectively. CGS in the first quarter of 2022 included $1 million of incremental savings from rationalization plans compared to $33 million in 2021. CGS was 80.8% of sales in the first quarter of 2022, compared to 78.4% in the first quarter of 2021.</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SAG in the first quarter of 2022 was $688 million, increasing $124 million, or 22.0%, from $564 million in the first quarter of 2021. SAG included increases related to higher wages and benefits of $30 million, including the impact of higher incentive compensation, and $37 million of other net cost increases reflecting the inflationary cost pressures discussed above, partially offset by foreign currency translation of $28 million, primarily in EMEA. The remainder of the change was driven by the addition of Cooper Tire's operating results.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quarter of 2022 and 2021 included pension expense of $4 million for each period. SAG in the first quarter of 2022 included $1 million of incremental savings from rationalization plans compared to $2 million in 2021. SAG was 14.0% of sales in the first quarter of 2022, compared to 16.1% in the first quarter of 2021.</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recorded net rationalization charges of $11 million ($9 million after-tax and minority) in the first quarter of 2022 and $50 million ($45 million after-tax and minority) in the first quarter of 2021. Net rationalization charges in the first quarter of 2022 primarily related to the permanent closure of our Gadsden, Alabama tire manufacturing facility ("Gadsden") and the modernization of two of our tire manufacturing facilities in Germany. Net rationalization charges in the first quarter of 2021 primarily related to a plan to reduce SAG headcount in EMEA, the modernization of two of our tire manufacturing facilities in Germany and the permanent closure of Gadsden. For further information, refer to Note to the Consolidated Financial Statements No. 4, Costs Associated with Rationalization Programs.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in the first quarter of 2022 was $104 million, increasing $25 million, or 31.6%, from $79 million in the first quarter of 2021. The average interest rate was 5.28% in the first quarter of 2022 compared to 5.23% in the first quarter of 2021. The average debt balance was $7,884 million in the first quarter of 2022 compared to $6,046 million in the first quarter of 2021. The increase in average debt is primarily due to the additional borrowings that were used to partially fund the Cooper Tire acquisition in the second quarter of 2021.</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Other (Income) Expense in the first quarter of 2022 was $5 million of expense, compared to $34 million of expense in the first quarter of 2021. Other (Income) Expense for the three months ended March 31, 2022 includes net gains on asset sales of $4 million ($4 million after-tax and minority), primarily related to the sale of an equity investment in Americas. Other (Income) Expense for the three months ended March 31, 2021 includes $8 million ($6 million after-tax and minority) of transaction costs related to the Cooper Tire acquisition and an out of period adjustment of $7 million ($7 million after-tax and minority) of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foreign currency exchange in Americas. The remainder of the change was driven by a $6 million increase in royalty income, primarily due to an increase in chemical royalties in Americas.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quarter of 2022, we recorded income tax expense of $38 million on income before income taxes of $134 million. Income tax expense for the three months ended March 31, 2022 includes net discrete tax expense of $4 million ($4 million after minority interest). Discrete tax expense includes a charge of $11 million to establish a full valuation allowance on our net deferred tax assets in Russia, partially offset by a net benefit of $7 million for various other items.</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2021, we recorded income tax expense of $15 million on income before income taxes of $33 million. Income tax expense for the three months ended March 31, 2021 includes net discrete tax expense of $3 million ($3 million after minority interest).</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March 31, 2022 and March 31, 2021 primarily relates to losses in foreign jurisdictions in which no tax benefits are recorded and the discrete items noted above.</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both March 31, 2022 and December 31, 2021, we had approximately $1.2 billion of U.S. federal, state and local net deferred tax assets, net of valuation allowances totaling $26 million primarily for state tax loss carryforwards with limited lives. In the U.S., we have a cumulative loss for the three-year period ending March 31, 2022.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continued favorable recovery trends in the tire industry and our tire volume as well as expected continued improvement. In addition, the Cooper Tire acquisition has generated significant incremental domestic earnings since the Closing Date and provides opportunities for cost and other operating synergies to further improve our U.S. profitability.</w:t>
      </w:r>
    </w:p>
    <w:p>
      <w:pPr>
        <w:spacing w:after="0" w:line="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At both March 31, 2022 and December 31, 2021, our U.S. net deferred tax assets include $339 million of foreign tax credits with limited lives, net of valuation allowances of $3 million. Our earnings and forecasts of future profitability, taking into consideration recent trends, along with three significant sources of foreign income, provide us sufficient positive evidence that we will be able to utilize these net foreign tax credits which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March 31, 2022, our U.S. net deferred tax assets, including our foreign tax credits, net of valuation allowances, will be fully utilized.</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both March 31, 2022 and December 31, 2021, we also had approximately $1.3 billion of foreign net deferred tax assets, and related valuation allowances of $1.0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$860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in the first quarter of 2022 was breakeven compared to $6 million in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 Since the Closing Date, Cooper Tire's operating results have been incorporated into each of our SBUs. We expect to discuss the impact of Cooper Tire's net sales and operating income within each SBU until the periods presented are fully comparable.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2022 was $303 million, an increase of $77 million, or 34.1%, from $226 million in the first quarter of 2021. Total segment operating margin in the first quarter of 2022 was 6.2% compared to 6.4% in the first quarter of 2021.</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before Income Taxes.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1500" w:type="dxa"/>
            <w:vAlign w:val="bottom"/>
          </w:tcPr>
          <w:p>
            <w:pPr>
              <w:jc w:val="right"/>
              <w:ind w:right="562"/>
              <w:spacing w:after="0" w:line="14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2,915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89.5 %</w:t>
            </w: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Americas unit sales in the first quarter of 2022 increased 6.7 million units, or 43.8%, to 22.2 million units. Replacement tire volume increased 6.6 million units, or 54.8%, due to the addition of Cooper Tire's units. OE tire volume increased 0.1 million units, or 4.5%, despite the ongoing negative impacts to vehicle production as a result of global supply chain disruptions, including shortages of key manufacturing components, such as semiconductors, and was driven by the addition of Cooper Tire's units.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first quarter of 2022 were $2,915 million, increasing $1,128 million, or 63.1%, from $1,787 million in the first quarter of 2021. The increase in net sales was primarily due to the addition of Cooper Tire’s net sales of $756 million, favorable price and product mix of $331 million, driven by price increases, and higher sales in other tire-related businesses of $72 million, primarily due to an increase in third-party sales of chemical products and higher aviation sales.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Operating income in the first quarter of 2022 was $216 million, increasing $102 million, or 89.5%, from $114 million in the first quarter of 2021. The increase in operating income was due to improvements in price and product mix of $322 million, which more than offset higher raw material costs of $204 million, and the net impact of out of period adjustments in 2021 totaling $13 million of expense. These increases were partially offset by increased transportation costs of $40 million, higher SAG of $23 million, primarily due to higher wages and benefits and inflation, and higher conversion costs of $14 million, driven by inflation. The remainder of the change was driven by the addition of Cooper Tire's operating results. We estimate that the severe winter storm in the U.S. negatively impacted Americas operating income in 2021 by approximately $17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2022 excluded net rationalization charges of $7 million and net gains on asset sales of $4 million. Operating income in the first quarter of 2021 excluded net rationalization charges of $10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31"/>
        </w:trPr>
        <w:tc>
          <w:tcPr>
            <w:tcW w:w="4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622"/>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14.4 %</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1,426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1,231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w:t>
            </w:r>
          </w:p>
        </w:tc>
        <w:tc>
          <w:tcPr>
            <w:tcW w:w="17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7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(20.3 )%</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EMEA unit sales in the first quarter of 2022 increased 1.8 million units, or 14.4%, to 14.5 million units. Replacement tire volume increased 2.1 million units, or 22.4%, primarily in our consumer business, reflecting increased industry demand due to continued recovery from the COVID-19 pandemic, our ongoing initiative to align distribution in Europe and the addition of Cooper Tire’s units. OE tire volume decreased 0.3 million units, or 9.4%, reflecting the negative impact on vehicle production of global supply chain disruptions, including shortages of key manufacturing components, such as semiconductors. This was partially offset by share gains driven by new consumer fitments.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sales in the first quarter of 2022 were $1,426 million, increasing $195 million, or 15.8%, from $1,231 million in the first quarter of 2021. Net sales increased primarily due to improvements in price and product mix of $164 million, driven by price increases, higher tire volume of $103 million, the addition of Cooper Tire's net sales of $62 million and higher sales in other tire-related businesses of $31 million, primarily due to growth in our Fleet Solutions business and an increase in motorcycle, retread and aviation sales. These increases were partially offset by unfavorable foreign currency translation of $166 million, driven by a weaker Turkish lira and euro.</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Operating income in the first quarter of 2022 was $59 million, decreasing $15 million, or 20.3%, from $74 million in the first quarter of 2021. The decrease in operating income was primarily due to higher conversion costs of $49 million, reflecting higher energy costs and other inflationary cost pressures, higher SAG of $26 million, primarily related to higher wages and benefits and inflation, and unfavorable foreign currency translation of $10 million, driven by a weaker Turkish lira, Russian ruble and euro. These decreases were partially offset by improvements in price and product mix of $166 million, which more than offset higher raw material costs of $127 million, and higher tire volume of $28 million. Conversion costs and SAG each include incremental savings from rationalization plans of $1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2022 excluded net rationalization charges of $5 million. Operating income in the first quarter of 2021 excluded net rationalization charges of $36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31"/>
        </w:trPr>
        <w:tc>
          <w:tcPr>
            <w:tcW w:w="4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622"/>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567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493</w:t>
            </w:r>
          </w:p>
        </w:tc>
        <w:tc>
          <w:tcPr>
            <w:tcW w:w="12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7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15.0 %</w:t>
            </w: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7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(26.3 )%</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Asia Pacific unit sales in the first quarter of 2022 increased 1.5 million units, or 21.5%, to 8.3 million units. OE tire volume increased 1.0 million units, or 42.2%. Replacement tire volume increased 0.5 million units, or 11.1%. These increases were primarily due to the addition of Cooper Tire’s units and were partially offset by the unfavorable impact of renewed stay-at-home orders in China, as well as the negative impact on vehicle production of global supply chain disruptions, including shortages of key manufacturing components, such as semiconductors.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first quarter of 2022 were $567 million, increasing $74 million, or 15.0%, from $493 million in the first quarter of 2021. Net sales increased due to the addition of Cooper Tire’s net sales of $51 million, higher tire volume of $26 million and favorable price and product mix of $14 million, driven by price increases. These increases were partially offset by unfavorable foreign currency translation of $16 million, primarily related to the weakening of the Japanese yen and Australian dollar.</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income in the first quarter of 2022 was $28 million, decreasing $10 million, or 26.3%, from $38 million in the first quarter of 2021. The decrease in operating income was primarily due to higher raw material costs of $47 million and higher conversion costs of $5 million, driven by higher energy costs. These decreases were partially offset by favorable price and product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mix of $23 million, higher tire volume of $7 million, and lower SAG of $3 million, primarily related to lower bad debt expense. The remainder of the change was driven by the addition of Cooper Tire's operating results.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2022 excluded net rationalization reversals of $1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March 31, 2022, we had $1,053 million in cash and cash equivalents, compared to $1,088 million at December 31, 2021. For the three months ended March 31, 2022, net cash used by operating activities was $711 million, reflecting cash used for working capital of $1,002 million and rationalization payments of $36 million, partially offset by net income for the period of $96 million, which includes non-cash charges for depreciation and amortization of $244 million. Net cash used by investing activities was $300 million, primarily representing capital expenditures of $276 million. Cash provided by financing activities was $982 million, primarily due to net borrowings of $972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$3,374 million of unused availability under our various credit agreements, compared to $4,345 million at December 31,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2,314</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4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14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credit arrangements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560</w:t>
            </w:r>
          </w:p>
        </w:tc>
      </w:tr>
      <w:tr>
        <w:trPr>
          <w:trHeight w:val="250"/>
        </w:trPr>
        <w:tc>
          <w:tcPr>
            <w:tcW w:w="76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3,374</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2022 cash flow needs to include capital expenditures of $1.3 billion to $1.4 billion. We also expect interest expense to be $450 million to $475 million; rationalization payments to be approximately $100 million; income tax payments to be $150 million to $200 million, excluding one-time items; and contributions to our funded pension plans to be $25 million to $50 million. We expect working capital to be a use of cash for the full year of 2022 of approximately $300 million.</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Chinese, South African, Serbian and Argentinian subsidiaries, which are subject to such requirements or limitations to be integral to our liquidity or our ability to service our debt and operational requirements. At March 31, 2022, approximately $960 million of net assets, including approximately $194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used by operating activities was $711 million in the first quarter of 2022, compared to net cash used by operating activities of $282 million in the first quarter of 2021. The increase in net cash used by operating activities was primarily due to a net increase in cash used for working capital of $439 million and an unfavorable year-over-year change in Compensation and Benefits on the Balance Sheet of $101 million, primarily due to higher incentive compensation payments and a decrease in pension liabilities, which were partially offset by higher earnings in our SBUs of $77 million and lower cash payments for rationalizations of $47 million.</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net increase in cash used for working capital reflects increases in cash used for Accounts Receivable of $316 million and Inventory of $178 million, partially offset by an increase in cash provided by Accounts Payable - Trade of $55 million. These changes were driven by the acquisition of Cooper Tire, higher sales volume and an increase in finished goods inventory as we continue to restock in order to meet anticipated near-term demand, as well as the impact of current year inflationary cost pressures on our manufacturing operations and our pricing.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by investing activities was $300 million in the first quarter of 2022, compared to $180 million in the first quarter of 2021. Capital expenditures were $276 million in the first quarter of 2022, including $66 million related to Cooper Tire, compared to $185 million in the first quarter of 2021. Beyond expenditures required to sustain our facilities, capital expenditures in 2022 and 2021 primarily related to the modernization and expansion of tire manufacturing facilities around the world.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$982 million in the first quarter of 2022, compared to net cash provided by financing activities of $144 million in the first quarter of 2021. Financing activities in the first quarter of 2022 included net borrowings of $972 million and net cash provided by other financing transactions of $15 million, primarily due to an increase in our liability to remit cash from factored accounts receivables to the purchaser of those receivables. Financing activities in 2021 included net borrowings of $175 million, partially offset by $40 million of net cash used by other financing transactions, primarily due to a decrease in our liability to remit cash from factored account receivables to the purchaser of those receivables.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aggregate, we had total credit arrangements of $11,611 million available at March 31, 2022, of which $3,374 million were unused, compared to $11,628 million available at December 31, 2021, of which $4,345 million were unused. At March 31, 2022, we had long term credit arrangements totaling $10,620 million, of which $2,967 million were unused, compared to $10,624 million and $3,785 million, respectively, at December 31, 2021. At March 31, 2022, we had short term committed and uncommitted credit arrangements totaling $991 million, of which $407 million were unused, compared to $1,004 million and $560 million, respectively, at December 31, 2021. The continued availability of the short term uncommitted arrangements is at the discretion of the relevant lender and may be terminated at any time.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$5,580 million of outstanding notes compared to $5,591 million at December 31, 2021.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LIBOR plus 125 basis points, and undrawn amounts under the facility will be subject to an annual commitment fee of 25 basis points.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$2.75 billion. As of March 31, 2022, our borrowing base, and therefore our availability, under this facility was $321 million below the facility's stated amount of $2.75 billion.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had $615 million of borrowings and $3 million of letters of credit issued under the revolving credit facility. At December 31, 2021, we had no borrowings and $19 million of letters of credit issued under the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2024</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 Subject to the consent of the lenders whose commitments are to be increased, we may request that the facility be increased by up to €200 million.</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there were no borrowings outstanding under the German tranche, $102 million (€92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2018 under the European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is €300 million.</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the amounts available and utilized under this program totaled $213 million (€192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2022, the gross amount of receivables sold was $537 million, compared to $605 million at December 31, 2021.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$228 million in letters of credit issued under bilateral letter of credit agreements and other foreign credit facilities.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Times New Roman" w:cs="Times New Roman" w:eastAsia="Times New Roman" w:hAnsi="Times New Roman"/>
          <w:sz w:val="18"/>
          <w:szCs w:val="18"/>
          <w:color w:val="252525"/>
        </w:rPr>
        <w:t>Our obligations to our suppliers, including the amounts due and scheduled payment dates, are not impacted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by our suppliers'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52525"/>
        </w:rPr>
        <w:t xml:space="preserve">decisions to sell their receivables under the programs. Agreements for such financing programs totaled up to </w:t>
      </w:r>
      <w:r>
        <w:rPr>
          <w:rFonts w:ascii="Times New Roman" w:cs="Times New Roman" w:eastAsia="Times New Roman" w:hAnsi="Times New Roman"/>
          <w:sz w:val="18"/>
          <w:szCs w:val="18"/>
          <w:color w:val="000000"/>
        </w:rPr>
        <w:t>$750</w:t>
      </w:r>
      <w:r>
        <w:rPr>
          <w:rFonts w:ascii="Times New Roman" w:cs="Times New Roman" w:eastAsia="Times New Roman" w:hAnsi="Times New Roman"/>
          <w:sz w:val="18"/>
          <w:szCs w:val="18"/>
          <w:color w:val="252525"/>
        </w:rPr>
        <w:t xml:space="preserve"> million and $630 million at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2022 and </w:t>
      </w:r>
      <w:r>
        <w:rPr>
          <w:rFonts w:ascii="Times New Roman" w:cs="Times New Roman" w:eastAsia="Times New Roman" w:hAnsi="Times New Roman"/>
          <w:sz w:val="18"/>
          <w:szCs w:val="18"/>
          <w:color w:val="252525"/>
        </w:rPr>
        <w:t>December 31, 2021,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5, 2021, the ICE Benchmark Administration, the administrator of LIBOR (“IBA”), confirmed its previously announced plans to cease publication of USD LIBOR on December 31, 2021 for the one week and two month USD LIBOR tenors, and on June 30, 2023 for all other USD LIBOR tenors. In addition, the IBA ceased publication of all tenors of euro and Swiss franc LIBOR and most tenors of Japanese yen and British pound LIBOR on December 31, 2021.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published amendments to its definition book to incorporate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first lien revolving credit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first lien revolving credit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77"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9, Financing Arrangements and Derivative Financial Instruments, in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March 31, 2022, our unused availability under this facility of $1,811 million, plus our Available Cash of $317 million, totaled $2,128 million, which is in excess of $275 million.</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2022, we were in compliance with this financial covenant.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were in compliance with the currently applicable material covenants imposed by our principal credit facilities and indentures.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quarter of 2022,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8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03"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6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4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8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380" w:type="dxa"/>
            <w:vAlign w:val="bottom"/>
            <w:tcBorders>
              <w:top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3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880" w:type="dxa"/>
            <w:vAlign w:val="bottom"/>
            <w:gridSpan w:val="2"/>
          </w:tcPr>
          <w:p>
            <w:pPr>
              <w:jc w:val="right"/>
              <w:ind w:right="13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shd w:val="clear" w:color="auto" w:fill="CFF0FC"/>
          </w:tcPr>
          <w:p>
            <w:pPr>
              <w:spacing w:after="0"/>
              <w:rPr>
                <w:sz w:val="18"/>
                <w:szCs w:val="18"/>
                <w:color w:val="auto"/>
              </w:rPr>
            </w:pPr>
          </w:p>
        </w:tc>
      </w:tr>
    </w:tbl>
    <w:p>
      <w:pPr>
        <w:spacing w:after="0" w:line="36" w:lineRule="exact"/>
        <w:rPr>
          <w:sz w:val="20"/>
          <w:szCs w:val="20"/>
          <w:color w:val="auto"/>
        </w:rPr>
      </w:pPr>
    </w:p>
    <w:p>
      <w:pPr>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$1,396 million and $1,618 million as of March 31, 2022 and December 31, 2021,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410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00" w:type="dxa"/>
            <w:vAlign w:val="bottom"/>
          </w:tcPr>
          <w:p>
            <w:pPr>
              <w:spacing w:after="0"/>
              <w:rPr>
                <w:sz w:val="11"/>
                <w:szCs w:val="11"/>
                <w:color w:val="auto"/>
              </w:rPr>
            </w:pPr>
          </w:p>
        </w:tc>
        <w:tc>
          <w:tcPr>
            <w:tcW w:w="17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jc w:val="right"/>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40" w:type="dxa"/>
            <w:vAlign w:val="bottom"/>
            <w:shd w:val="clear" w:color="auto" w:fill="CFF0FC"/>
          </w:tcPr>
          <w:p>
            <w:pPr>
              <w:jc w:val="right"/>
              <w:ind w:right="153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2,726</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2,249</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16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r>
      <w:tr>
        <w:trPr>
          <w:trHeight w:val="250"/>
        </w:trPr>
        <w:tc>
          <w:tcPr>
            <w:tcW w:w="660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4"/>
                <w:szCs w:val="24"/>
                <w:color w:val="auto"/>
                <w:vertAlign w:val="superscript"/>
              </w:rPr>
              <w:t>(2)</w:t>
            </w:r>
          </w:p>
        </w:tc>
        <w:tc>
          <w:tcPr>
            <w:tcW w:w="1740" w:type="dxa"/>
            <w:vAlign w:val="bottom"/>
            <w:tcBorders>
              <w:top w:val="single" w:sz="8" w:color="auto"/>
              <w:bottom w:val="single" w:sz="8" w:color="auto"/>
            </w:tcBorders>
            <w:shd w:val="clear" w:color="auto" w:fill="CFF0FC"/>
          </w:tcPr>
          <w:p>
            <w:pPr>
              <w:jc w:val="right"/>
              <w:ind w:right="153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shd w:val="clear" w:color="auto" w:fill="CFF0FC"/>
          </w:tcPr>
          <w:p>
            <w:pPr>
              <w:jc w:val="right"/>
              <w:ind w:right="153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18"/>
                <w:szCs w:val="18"/>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1740" w:type="dxa"/>
            <w:vAlign w:val="bottom"/>
          </w:tcPr>
          <w:p>
            <w:pPr>
              <w:jc w:val="right"/>
              <w:ind w:right="153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1660" w:type="dxa"/>
            <w:vAlign w:val="bottom"/>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-448310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-431165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-448310</wp:posOffset>
            </wp:positionV>
            <wp:extent cx="59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-431165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jc w:val="both"/>
        <w:ind w:left="760" w:hanging="752"/>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$119 million for the three months ended March 31, 2022, primarily from royalties, intercompany product sales, dividends and interest, and $588 million for the year ended December 31, 2021, primarily from royalties, dividends, interest and intercompany product sales.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0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uncertainties regarding our acquisition of Cooper Tire and our ability to achieve the expected benefits of such acquisition;</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may be adversely impacted by the COVID-19 pandemic, and that impact may be material;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0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40"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4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92"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40"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0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9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March 31, 2022, approximately 25% of our debt was at variable interest rates averaging 3.38%.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March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5,559</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5,811</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March 31, 2022, and reflects the estimated fair value of fixed rate debt outstanding at that date under that assumption. The sensitivity of our fixed rate debt to changes in interest rates was determined using current market pricing models.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8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0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4/22-3/23</w:t>
            </w:r>
          </w:p>
        </w:tc>
      </w:tr>
    </w:tbl>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March 31, 2022,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March 31, 2022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3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2022 (the end of the period covered by this Quarterly Report on Form 10-Q).</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 On June 7, 2021, we completed the acquisition of Cooper Tire, which operated under its own set of systems and internal controls. Subsequent to the acquisition, we began the process of integrating certain of Cooper Tire's processes to our internal control over financial reporting environment.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2021, we were one of numerous defendants in legal proceedings in certain state and federal courts involving approximately 38,200 claimants relating to their alleged exposure to materials containing asbestos in products allegedly manufactured by us or asbestos materials present in our facilities. During the first three months of 2022, approximately 200 claims were filed against us and approximately 200 were settled or dismissed. The amounts expended on asbestos defense and claim resolution by us and our insurers during the first three months of 2022 was $5 million. At March 31, 2022, there were approximately 38,200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3 of Part I of our 2021 Form 10-K for additional discussion of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Russia’s recent invasion of Ukraine and the resulting government sanctions could result in significant macroeconomic consequences, including increased inflationary pressures, market volatility, economic restrictions and business disruptions, which could negatively impact our business, financial condition and results of operations.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suspended all shipments of tires to Russia and remain largely unable to operate our business in Ukraine. These actions have not had and are not expected to have a direct material impact on our financial results. Nonetheless, the ongoing conflict has aggravated already challenging macroeconomic trends, including global supply chain disruptions, higher costs for certain raw materials and higher energy and transportation costs. The conflict has also increased geopolitical tension that could result in further sanctions and embargoes, regional instability and potential retaliatory action by the Russian government, including cyber-attacks. While we continue to take actions to ensure the safety of our associates and the continuity of our business operations, the extent of the conflict’s impact on the global economy cannot be predicted.</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it may also have the effect of heightening many of the other risks disclosed in our Annual Report on Form 10-K for the year ended December 31, 2021, any of which could materially and adversely affect our business, financial condition and results of operations. Such risks include, but are not limited to, adverse effects from the deterioration of macroeconomic conditions, including higher raw material, energy and transportation costs; disruptions in our supply chain; financial difficulties impacting major customers, dealers or suppliers; reduced access to capital markets; disruptions in our information technology systems, including potential cyber-attacks or ransomware; and exposure to foreign currency fluctuations.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2021 Form 10-K for a discussion of our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154305</wp:posOffset>
            </wp:positionV>
            <wp:extent cx="19030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80" w:type="dxa"/>
            <w:vAlign w:val="bottom"/>
            <w:gridSpan w:val="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4580" w:type="dxa"/>
            <w:vAlign w:val="bottom"/>
            <w:gridSpan w:val="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35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680" w:type="dxa"/>
            <w:vAlign w:val="bottom"/>
            <w:gridSpan w:val="2"/>
          </w:tcPr>
          <w:p>
            <w:pPr>
              <w:jc w:val="center"/>
              <w:ind w:left="210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960" w:hanging="69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94" w:lineRule="exact"/>
        <w:rPr>
          <w:sz w:val="20"/>
          <w:szCs w:val="20"/>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3836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66" w:lineRule="exact"/>
        <w:rPr>
          <w:sz w:val="20"/>
          <w:szCs w:val="20"/>
          <w:color w:val="auto"/>
        </w:rPr>
      </w:pPr>
    </w:p>
    <w:p>
      <w:pPr>
        <w:ind w:left="960" w:hanging="69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8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9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32.1</w:t>
            </w:r>
          </w:p>
        </w:tc>
      </w:tr>
      <w:tr>
        <w:trPr>
          <w:trHeight w:val="169"/>
        </w:trPr>
        <w:tc>
          <w:tcPr>
            <w:tcW w:w="740" w:type="dxa"/>
            <w:vAlign w:val="bottom"/>
          </w:tcPr>
          <w:p>
            <w:pPr>
              <w:spacing w:after="0"/>
              <w:rPr>
                <w:sz w:val="14"/>
                <w:szCs w:val="14"/>
                <w:color w:val="auto"/>
              </w:rPr>
            </w:pPr>
          </w:p>
        </w:tc>
        <w:tc>
          <w:tcPr>
            <w:tcW w:w="16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72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18"/>
        </w:trPr>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101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252"/>
        </w:trPr>
        <w:tc>
          <w:tcPr>
            <w:tcW w:w="740" w:type="dxa"/>
            <w:vAlign w:val="bottom"/>
          </w:tcPr>
          <w:p>
            <w:pPr>
              <w:spacing w:after="0"/>
              <w:rPr>
                <w:sz w:val="21"/>
                <w:szCs w:val="21"/>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20" w:type="dxa"/>
            <w:vAlign w:val="bottom"/>
          </w:tcPr>
          <w:p>
            <w:pPr>
              <w:spacing w:after="0"/>
              <w:rPr>
                <w:sz w:val="20"/>
                <w:szCs w:val="20"/>
                <w:color w:val="auto"/>
              </w:rPr>
            </w:pPr>
          </w:p>
        </w:tc>
      </w:tr>
      <w:tr>
        <w:trPr>
          <w:trHeight w:val="29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101.SCH</w:t>
            </w:r>
          </w:p>
        </w:tc>
      </w:tr>
      <w:tr>
        <w:trPr>
          <w:trHeight w:val="29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101.CAL</w:t>
            </w:r>
          </w:p>
        </w:tc>
      </w:tr>
      <w:tr>
        <w:trPr>
          <w:trHeight w:val="29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101.DEF</w:t>
            </w:r>
          </w:p>
        </w:tc>
      </w:tr>
      <w:tr>
        <w:trPr>
          <w:trHeight w:val="29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101.LAB</w:t>
            </w:r>
          </w:p>
        </w:tc>
      </w:tr>
      <w:tr>
        <w:trPr>
          <w:trHeight w:val="29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101.PRE</w:t>
            </w:r>
          </w:p>
        </w:tc>
      </w:tr>
    </w:tbl>
    <w:p>
      <w:pPr>
        <w:spacing w:after="0" w:line="59" w:lineRule="exact"/>
        <w:rPr>
          <w:sz w:val="20"/>
          <w:szCs w:val="20"/>
          <w:color w:val="auto"/>
        </w:rPr>
      </w:pPr>
    </w:p>
    <w:p>
      <w:pPr>
        <w:ind w:left="960" w:hanging="73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94" w:lineRule="exact"/>
        <w:rPr>
          <w:rFonts w:ascii="Times New Roman" w:cs="Times New Roman" w:eastAsia="Times New Roman" w:hAnsi="Times New Roman"/>
          <w:sz w:val="18"/>
          <w:szCs w:val="18"/>
          <w:color w:val="auto"/>
        </w:rPr>
      </w:pPr>
    </w:p>
    <w:p>
      <w:pPr>
        <w:ind w:left="960" w:right="1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2022, formatted in Inline XBRL (included as Exhibit 101).</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5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20"/>
        <w:spacing w:after="0"/>
        <w:tabs>
          <w:tab w:leader="none" w:pos="700" w:val="left"/>
          <w:tab w:leader="none" w:pos="618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VAN</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Evan M. Scocos, Vice President and Controller (Signing on behalf of</w:t>
      </w:r>
    </w:p>
    <w:p>
      <w:pPr>
        <w:ind w:left="6200"/>
        <w:spacing w:after="0" w:line="219" w:lineRule="auto"/>
        <w:rPr>
          <w:sz w:val="20"/>
          <w:szCs w:val="20"/>
          <w:color w:val="auto"/>
        </w:rPr>
      </w:pPr>
      <w:r>
        <w:rPr>
          <w:rFonts w:ascii="Times New Roman" w:cs="Times New Roman" w:eastAsia="Times New Roman" w:hAnsi="Times New Roman"/>
          <w:sz w:val="18"/>
          <w:szCs w:val="18"/>
          <w:color w:val="auto"/>
        </w:rPr>
        <w:t>the Registrant as a duly authorized officer of the Registrant and</w:t>
      </w: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March 31, 2022, guarantors of the Company's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senior notes due 2025, 5% senior notes due 2026, 4.875% senior notes due 2027, 5% senior notes due 2029, 5.25% senior notes due April 2031,</w:t>
      </w:r>
    </w:p>
    <w:p>
      <w:pPr>
        <w:spacing w:after="0"/>
        <w:rPr>
          <w:sz w:val="20"/>
          <w:szCs w:val="20"/>
          <w:color w:val="auto"/>
        </w:rPr>
      </w:pPr>
      <w:r>
        <w:rPr>
          <w:rFonts w:ascii="Times New Roman" w:cs="Times New Roman" w:eastAsia="Times New Roman" w:hAnsi="Times New Roman"/>
          <w:sz w:val="18"/>
          <w:szCs w:val="18"/>
          <w:color w:val="auto"/>
        </w:rPr>
        <w:t>5.25% senior notes due July 2031 and 5.625% senior notes due 2033: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4260" w:type="dxa"/>
            <w:vAlign w:val="bottom"/>
            <w:vMerge w:val="restart"/>
          </w:tcPr>
          <w:p>
            <w:pPr>
              <w:spacing w:after="0"/>
              <w:rPr>
                <w:sz w:val="16"/>
                <w:szCs w:val="16"/>
                <w:color w:val="auto"/>
              </w:rPr>
            </w:pPr>
          </w:p>
        </w:tc>
        <w:tc>
          <w:tcPr>
            <w:tcW w:w="4960" w:type="dxa"/>
            <w:vAlign w:val="bottom"/>
            <w:gridSpan w:val="3"/>
          </w:tcPr>
          <w:p>
            <w:pPr>
              <w:ind w:left="2160"/>
              <w:spacing w:after="0" w:line="189" w:lineRule="exact"/>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Receivables LLC</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Tire &amp; Rubber Company</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Mickey Thompson Performance Racing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line="202" w:lineRule="exact"/>
              <w:rPr>
                <w:sz w:val="20"/>
                <w:szCs w:val="20"/>
                <w:color w:val="auto"/>
              </w:rPr>
            </w:pPr>
            <w:r>
              <w:rPr>
                <w:rFonts w:ascii="Times New Roman" w:cs="Times New Roman" w:eastAsia="Times New Roman" w:hAnsi="Times New Roman"/>
                <w:sz w:val="18"/>
                <w:szCs w:val="18"/>
                <w:color w:val="auto"/>
              </w:rPr>
              <w:t>Kentucky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20"/>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198" w:lineRule="exact"/>
        <w:rPr>
          <w:sz w:val="20"/>
          <w:szCs w:val="20"/>
          <w:color w:val="auto"/>
        </w:rPr>
      </w:pPr>
    </w:p>
    <w:p>
      <w:pPr>
        <w:ind w:left="460" w:hanging="439"/>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17"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2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color w:val="auto"/>
        </w:rPr>
        <w:t>Richard J. Kramer</w:t>
      </w:r>
    </w:p>
    <w:p>
      <w:pPr>
        <w:ind w:left="4540"/>
        <w:spacing w:after="0" w:line="219" w:lineRule="auto"/>
        <w:rPr>
          <w:sz w:val="20"/>
          <w:szCs w:val="20"/>
          <w:color w:val="auto"/>
        </w:rPr>
      </w:pPr>
      <w:r>
        <w:rPr>
          <w:rFonts w:ascii="Times New Roman" w:cs="Times New Roman" w:eastAsia="Times New Roman" w:hAnsi="Times New Roman"/>
          <w:sz w:val="18"/>
          <w:szCs w:val="18"/>
          <w:color w:val="auto"/>
        </w:rPr>
        <w:t>Chairman, Chief Executive Officer and President</w:t>
      </w:r>
    </w:p>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R. Wells, certify that:</w:t>
      </w:r>
    </w:p>
    <w:p>
      <w:pPr>
        <w:spacing w:after="0" w:line="198" w:lineRule="exact"/>
        <w:rPr>
          <w:sz w:val="20"/>
          <w:szCs w:val="20"/>
          <w:color w:val="auto"/>
        </w:rPr>
      </w:pPr>
    </w:p>
    <w:p>
      <w:pPr>
        <w:ind w:left="460" w:hanging="439"/>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17"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jc w:val="both"/>
        <w:ind w:left="860" w:right="20" w:hanging="393"/>
        <w:spacing w:after="0" w:line="23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860" w:right="20" w:hanging="393"/>
        <w:spacing w:after="0" w:line="250"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21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Darren R. Wells</w:t>
      </w:r>
    </w:p>
    <w:p>
      <w:pPr>
        <w:ind w:left="454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2022, as filed with the Securities and Exchange Commission (the “10-Q Report”) that to his knowledge:</w:t>
      </w:r>
    </w:p>
    <w:p>
      <w:pPr>
        <w:spacing w:after="0" w:line="156" w:lineRule="exact"/>
        <w:rPr>
          <w:sz w:val="20"/>
          <w:szCs w:val="20"/>
          <w:color w:val="auto"/>
        </w:rPr>
      </w:pPr>
    </w:p>
    <w:p>
      <w:pPr>
        <w:ind w:left="940" w:hanging="51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40" w:right="20" w:hanging="514"/>
        <w:spacing w:after="0" w:line="237"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2022</w:t>
            </w:r>
          </w:p>
        </w:tc>
        <w:tc>
          <w:tcPr>
            <w:tcW w:w="69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r>
      <w:tr>
        <w:trPr>
          <w:trHeight w:val="191"/>
        </w:trPr>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J. Kramer</w:t>
            </w:r>
          </w:p>
        </w:tc>
      </w:tr>
      <w:tr>
        <w:trPr>
          <w:trHeight w:val="216"/>
        </w:trPr>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32"/>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2022</w:t>
            </w:r>
          </w:p>
        </w:tc>
        <w:tc>
          <w:tcPr>
            <w:tcW w:w="69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tc>
      </w:tr>
      <w:tr>
        <w:trPr>
          <w:trHeight w:val="191"/>
        </w:trPr>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Darren R. Wells</w:t>
            </w:r>
          </w:p>
        </w:tc>
      </w:tr>
      <w:tr>
        <w:trPr>
          <w:trHeight w:val="216"/>
        </w:trPr>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547"/>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22"/>
    </w:lvl>
  </w:abstractNum>
  <w:abstractNum w:abstractNumId="11">
    <w:nsid w:val="7FDCC233"/>
    <w:multiLevelType w:val="hybridMultilevel"/>
    <w:lvl w:ilvl="0">
      <w:lvlJc w:val="left"/>
      <w:lvlText w:val="%1"/>
      <w:numFmt w:val="decimal"/>
      <w:start w:val="3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2022-05-06T09:47:13Z</dcterms:created>
  <dcterms:modified xsi:type="dcterms:W3CDTF">2022-05-06T09:47:13Z</dcterms:modified>
</cp:coreProperties>
</file>