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43180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PURSUANT TO SECTION 13 OR 15(d)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-125095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2020</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1-1927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59690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THE GOODYEAR TIRE &amp; RUBBER COMPANY</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30480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660" w:type="dxa"/>
            <w:vAlign w:val="bottom"/>
            <w:gridSpan w:val="3"/>
          </w:tcPr>
          <w:p>
            <w:pPr>
              <w:jc w:val="center"/>
              <w:ind w:left="850"/>
              <w:spacing w:after="0"/>
              <w:rPr>
                <w:sz w:val="20"/>
                <w:szCs w:val="20"/>
                <w:color w:val="auto"/>
              </w:rPr>
            </w:pPr>
            <w:r>
              <w:rPr>
                <w:rFonts w:ascii="Times New Roman" w:cs="Times New Roman" w:eastAsia="Times New Roman" w:hAnsi="Times New Roman"/>
                <w:sz w:val="14"/>
                <w:szCs w:val="14"/>
                <w:b w:val="1"/>
                <w:bCs w:val="1"/>
                <w:color w:val="auto"/>
              </w:rPr>
              <w:t>Ohio</w:t>
            </w:r>
          </w:p>
        </w:tc>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520" w:type="dxa"/>
            <w:vAlign w:val="bottom"/>
          </w:tcPr>
          <w:p>
            <w:pPr>
              <w:jc w:val="center"/>
              <w:ind w:right="1991"/>
              <w:spacing w:after="0"/>
              <w:rPr>
                <w:sz w:val="20"/>
                <w:szCs w:val="20"/>
                <w:color w:val="auto"/>
              </w:rPr>
            </w:pPr>
            <w:r>
              <w:rPr>
                <w:rFonts w:ascii="Times New Roman" w:cs="Times New Roman" w:eastAsia="Times New Roman" w:hAnsi="Times New Roman"/>
                <w:sz w:val="14"/>
                <w:szCs w:val="14"/>
                <w:b w:val="1"/>
                <w:bCs w:val="1"/>
                <w:color w:val="auto"/>
              </w:rPr>
              <w:t>34-0253240</w:t>
            </w:r>
          </w:p>
        </w:tc>
        <w:tc>
          <w:tcPr>
            <w:tcW w:w="0" w:type="dxa"/>
            <w:vAlign w:val="bottom"/>
          </w:tcPr>
          <w:p>
            <w:pPr>
              <w:spacing w:after="0"/>
              <w:rPr>
                <w:sz w:val="1"/>
                <w:szCs w:val="1"/>
                <w:color w:val="auto"/>
              </w:rPr>
            </w:pPr>
          </w:p>
        </w:tc>
      </w:tr>
      <w:tr>
        <w:trPr>
          <w:trHeight w:val="161"/>
        </w:trPr>
        <w:tc>
          <w:tcPr>
            <w:tcW w:w="4660" w:type="dxa"/>
            <w:vAlign w:val="bottom"/>
            <w:gridSpan w:val="3"/>
          </w:tcPr>
          <w:p>
            <w:pPr>
              <w:jc w:val="center"/>
              <w:ind w:left="85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520" w:type="dxa"/>
            <w:vAlign w:val="bottom"/>
          </w:tcPr>
          <w:p>
            <w:pPr>
              <w:jc w:val="center"/>
              <w:ind w:right="201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660" w:type="dxa"/>
            <w:vAlign w:val="bottom"/>
            <w:gridSpan w:val="3"/>
          </w:tcPr>
          <w:p>
            <w:pPr>
              <w:jc w:val="center"/>
              <w:ind w:left="85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520" w:type="dxa"/>
            <w:vAlign w:val="bottom"/>
          </w:tcPr>
          <w:p>
            <w:pPr>
              <w:jc w:val="center"/>
              <w:ind w:right="201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03"/>
        </w:trPr>
        <w:tc>
          <w:tcPr>
            <w:tcW w:w="4660" w:type="dxa"/>
            <w:vAlign w:val="bottom"/>
            <w:gridSpan w:val="3"/>
          </w:tcPr>
          <w:p>
            <w:pPr>
              <w:jc w:val="center"/>
              <w:ind w:left="850"/>
              <w:spacing w:after="0"/>
              <w:rPr>
                <w:sz w:val="20"/>
                <w:szCs w:val="20"/>
                <w:color w:val="auto"/>
              </w:rPr>
            </w:pPr>
            <w:r>
              <w:rPr>
                <w:rFonts w:ascii="Times New Roman" w:cs="Times New Roman" w:eastAsia="Times New Roman" w:hAnsi="Times New Roman"/>
                <w:sz w:val="14"/>
                <w:szCs w:val="14"/>
                <w:b w:val="1"/>
                <w:bCs w:val="1"/>
                <w:color w:val="auto"/>
              </w:rPr>
              <w:t>200 Innovation Way, Akron, Ohio</w:t>
            </w: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520" w:type="dxa"/>
            <w:vAlign w:val="bottom"/>
          </w:tcPr>
          <w:p>
            <w:pPr>
              <w:jc w:val="center"/>
              <w:ind w:right="1991"/>
              <w:spacing w:after="0"/>
              <w:rPr>
                <w:sz w:val="20"/>
                <w:szCs w:val="20"/>
                <w:color w:val="auto"/>
              </w:rPr>
            </w:pPr>
            <w:r>
              <w:rPr>
                <w:rFonts w:ascii="Times New Roman" w:cs="Times New Roman" w:eastAsia="Times New Roman" w:hAnsi="Times New Roman"/>
                <w:sz w:val="14"/>
                <w:szCs w:val="14"/>
                <w:b w:val="1"/>
                <w:bCs w:val="1"/>
                <w:color w:val="auto"/>
              </w:rPr>
              <w:t>44316-0001</w:t>
            </w:r>
          </w:p>
        </w:tc>
        <w:tc>
          <w:tcPr>
            <w:tcW w:w="0" w:type="dxa"/>
            <w:vAlign w:val="bottom"/>
          </w:tcPr>
          <w:p>
            <w:pPr>
              <w:spacing w:after="0"/>
              <w:rPr>
                <w:sz w:val="1"/>
                <w:szCs w:val="1"/>
                <w:color w:val="auto"/>
              </w:rPr>
            </w:pPr>
          </w:p>
        </w:tc>
      </w:tr>
      <w:tr>
        <w:trPr>
          <w:trHeight w:val="203"/>
        </w:trPr>
        <w:tc>
          <w:tcPr>
            <w:tcW w:w="4660" w:type="dxa"/>
            <w:vAlign w:val="bottom"/>
            <w:gridSpan w:val="3"/>
          </w:tcPr>
          <w:p>
            <w:pPr>
              <w:jc w:val="center"/>
              <w:ind w:left="85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520" w:type="dxa"/>
            <w:vAlign w:val="bottom"/>
          </w:tcPr>
          <w:p>
            <w:pPr>
              <w:jc w:val="center"/>
              <w:ind w:right="199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6"/>
        </w:trPr>
        <w:tc>
          <w:tcPr>
            <w:tcW w:w="7720" w:type="dxa"/>
            <w:vAlign w:val="bottom"/>
            <w:gridSpan w:val="7"/>
          </w:tcPr>
          <w:p>
            <w:pPr>
              <w:jc w:val="center"/>
              <w:ind w:left="347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(330) 796-2121</w:t>
            </w: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9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4660" w:type="dxa"/>
            <w:vAlign w:val="bottom"/>
            <w:gridSpan w:val="3"/>
            <w:vMerge w:val="continue"/>
          </w:tcPr>
          <w:p>
            <w:pPr>
              <w:spacing w:after="0"/>
              <w:rPr>
                <w:sz w:val="13"/>
                <w:szCs w:val="13"/>
                <w:color w:val="auto"/>
              </w:rPr>
            </w:pPr>
          </w:p>
        </w:tc>
        <w:tc>
          <w:tcPr>
            <w:tcW w:w="1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1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jc w:val="center"/>
              <w:ind w:right="891"/>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c>
          <w:tcPr>
            <w:tcW w:w="0" w:type="dxa"/>
            <w:vAlign w:val="bottom"/>
          </w:tcPr>
          <w:p>
            <w:pPr>
              <w:spacing w:after="0"/>
              <w:rPr>
                <w:sz w:val="1"/>
                <w:szCs w:val="1"/>
                <w:color w:val="auto"/>
              </w:rPr>
            </w:pPr>
          </w:p>
        </w:tc>
      </w:tr>
      <w:tr>
        <w:trPr>
          <w:trHeight w:val="173"/>
        </w:trPr>
        <w:tc>
          <w:tcPr>
            <w:tcW w:w="466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color w:val="auto"/>
                <w:w w:val="96"/>
              </w:rPr>
              <w:t>Common Stock, Without Par Value</w:t>
            </w:r>
          </w:p>
        </w:tc>
        <w:tc>
          <w:tcPr>
            <w:tcW w:w="3060" w:type="dxa"/>
            <w:vAlign w:val="bottom"/>
            <w:gridSpan w:val="4"/>
          </w:tcPr>
          <w:p>
            <w:pPr>
              <w:jc w:val="center"/>
              <w:ind w:right="1100"/>
              <w:spacing w:after="0"/>
              <w:rPr>
                <w:sz w:val="20"/>
                <w:szCs w:val="20"/>
                <w:color w:val="auto"/>
              </w:rPr>
            </w:pPr>
            <w:r>
              <w:rPr>
                <w:rFonts w:ascii="Times New Roman" w:cs="Times New Roman" w:eastAsia="Times New Roman" w:hAnsi="Times New Roman"/>
                <w:sz w:val="13"/>
                <w:szCs w:val="13"/>
                <w:color w:val="auto"/>
                <w:w w:val="92"/>
              </w:rPr>
              <w:t>GT</w:t>
            </w:r>
          </w:p>
        </w:tc>
        <w:tc>
          <w:tcPr>
            <w:tcW w:w="3520" w:type="dxa"/>
            <w:vAlign w:val="bottom"/>
          </w:tcPr>
          <w:p>
            <w:pPr>
              <w:jc w:val="center"/>
              <w:ind w:right="891"/>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57"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23495</wp:posOffset>
            </wp:positionV>
            <wp:extent cx="1851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7" w:lineRule="exact"/>
        <w:rPr>
          <w:sz w:val="24"/>
          <w:szCs w:val="24"/>
          <w:color w:val="auto"/>
        </w:rPr>
      </w:pPr>
    </w:p>
    <w:p>
      <w:pPr>
        <w:ind w:left="4460"/>
        <w:spacing w:after="0" w:line="161" w:lineRule="exact"/>
        <w:tabs>
          <w:tab w:leader="none" w:pos="5200" w:val="left"/>
          <w:tab w:leader="none" w:pos="5900" w:val="left"/>
          <w:tab w:leader="none" w:pos="664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41275</wp:posOffset>
            </wp:positionV>
            <wp:extent cx="1834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7" w:lineRule="exact"/>
        <w:rPr>
          <w:sz w:val="24"/>
          <w:szCs w:val="24"/>
          <w:color w:val="auto"/>
        </w:rPr>
      </w:pPr>
    </w:p>
    <w:p>
      <w:pPr>
        <w:ind w:left="4460"/>
        <w:spacing w:after="0" w:line="161" w:lineRule="exact"/>
        <w:tabs>
          <w:tab w:leader="none" w:pos="5200" w:val="left"/>
          <w:tab w:leader="none" w:pos="5900" w:val="left"/>
          <w:tab w:leader="none" w:pos="664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41275</wp:posOffset>
            </wp:positionV>
            <wp:extent cx="1834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76" w:lineRule="exact"/>
        <w:rPr>
          <w:sz w:val="24"/>
          <w:szCs w:val="24"/>
          <w:color w:val="auto"/>
        </w:rPr>
      </w:pPr>
    </w:p>
    <w:p>
      <w:pPr>
        <w:jc w:val="both"/>
        <w:ind w:right="2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4460"/>
        <w:spacing w:after="0" w:line="161" w:lineRule="exact"/>
        <w:tabs>
          <w:tab w:leader="none" w:pos="5200" w:val="left"/>
          <w:tab w:leader="none" w:pos="5900" w:val="left"/>
          <w:tab w:leader="none" w:pos="664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41275</wp:posOffset>
            </wp:positionV>
            <wp:extent cx="18345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76"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ind w:left="4460"/>
        <w:spacing w:after="0" w:line="161" w:lineRule="exact"/>
        <w:tabs>
          <w:tab w:leader="none" w:pos="5200" w:val="left"/>
          <w:tab w:leader="none" w:pos="5900" w:val="left"/>
          <w:tab w:leader="none" w:pos="664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41275</wp:posOffset>
            </wp:positionV>
            <wp:extent cx="18345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7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 w:lineRule="exact"/>
        <w:rPr>
          <w:sz w:val="24"/>
          <w:szCs w:val="24"/>
          <w:color w:val="auto"/>
        </w:rPr>
      </w:pPr>
    </w:p>
    <w:p>
      <w:pPr>
        <w:ind w:left="280"/>
        <w:spacing w:after="0" w:line="161" w:lineRule="exact"/>
        <w:tabs>
          <w:tab w:leader="none" w:pos="1980" w:val="left"/>
          <w:tab w:leader="none" w:pos="2780" w:val="left"/>
          <w:tab w:leader="none" w:pos="4280" w:val="left"/>
          <w:tab w:leader="none" w:pos="4880" w:val="left"/>
          <w:tab w:leader="none" w:pos="6460" w:val="left"/>
          <w:tab w:leader="none" w:pos="6980" w:val="left"/>
          <w:tab w:leader="none" w:pos="8900" w:val="left"/>
          <w:tab w:leader="none" w:pos="9280" w:val="left"/>
          <w:tab w:leader="none" w:pos="110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13"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1" w:lineRule="exact"/>
        <w:rPr>
          <w:sz w:val="24"/>
          <w:szCs w:val="24"/>
          <w:color w:val="auto"/>
        </w:rPr>
      </w:pPr>
    </w:p>
    <w:p>
      <w:pPr>
        <w:jc w:val="both"/>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p>
    <w:p>
      <w:pPr>
        <w:spacing w:after="0" w:line="27" w:lineRule="exact"/>
        <w:rPr>
          <w:sz w:val="24"/>
          <w:szCs w:val="24"/>
          <w:color w:val="auto"/>
        </w:rPr>
      </w:pPr>
    </w:p>
    <w:p>
      <w:pPr>
        <w:ind w:left="4460"/>
        <w:spacing w:after="0" w:line="161" w:lineRule="exact"/>
        <w:tabs>
          <w:tab w:leader="none" w:pos="5200" w:val="left"/>
          <w:tab w:leader="none" w:pos="5900" w:val="left"/>
          <w:tab w:leader="none" w:pos="664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41275</wp:posOffset>
            </wp:positionV>
            <wp:extent cx="18345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76"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computed by reference to the last sales price of such common stock as of the closing of trading on June 30, 2020, was approximately $2.1 billion.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Shares of Common Stock, Without Par Value, outstanding at January 31, 2021:</w:t>
      </w: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233,220,098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23495</wp:posOffset>
            </wp:positionV>
            <wp:extent cx="18516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Portions of the Company’s Proxy Statement for the Annual Meeting of Shareholders to be held on April 12, 2021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9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GOODYEAR TIRE &amp; RUBBER COMPANY</w:t>
            </w:r>
          </w:p>
        </w:tc>
        <w:tc>
          <w:tcPr>
            <w:tcW w:w="112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9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12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9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2020</w:t>
            </w:r>
          </w:p>
        </w:tc>
        <w:tc>
          <w:tcPr>
            <w:tcW w:w="1120" w:type="dxa"/>
            <w:vAlign w:val="bottom"/>
          </w:tcPr>
          <w:p>
            <w:pPr>
              <w:spacing w:after="0"/>
              <w:rPr>
                <w:sz w:val="18"/>
                <w:szCs w:val="18"/>
                <w:color w:val="auto"/>
              </w:rPr>
            </w:pPr>
          </w:p>
        </w:tc>
      </w:tr>
      <w:tr>
        <w:trPr>
          <w:trHeight w:val="238"/>
        </w:trPr>
        <w:tc>
          <w:tcPr>
            <w:tcW w:w="1100" w:type="dxa"/>
            <w:vAlign w:val="bottom"/>
          </w:tcPr>
          <w:p>
            <w:pPr>
              <w:spacing w:after="0"/>
              <w:rPr>
                <w:sz w:val="20"/>
                <w:szCs w:val="20"/>
                <w:color w:val="auto"/>
              </w:rPr>
            </w:pPr>
          </w:p>
        </w:tc>
        <w:tc>
          <w:tcPr>
            <w:tcW w:w="9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120" w:type="dxa"/>
            <w:vAlign w:val="bottom"/>
          </w:tcPr>
          <w:p>
            <w:pPr>
              <w:spacing w:after="0"/>
              <w:rPr>
                <w:sz w:val="20"/>
                <w:szCs w:val="20"/>
                <w:color w:val="auto"/>
              </w:rPr>
            </w:pPr>
          </w:p>
        </w:tc>
      </w:tr>
      <w:tr>
        <w:trPr>
          <w:trHeight w:val="317"/>
        </w:trPr>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Item Number</w:t>
            </w:r>
          </w:p>
        </w:tc>
        <w:tc>
          <w:tcPr>
            <w:tcW w:w="9020" w:type="dxa"/>
            <w:vAlign w:val="bottom"/>
          </w:tcPr>
          <w:p>
            <w:pPr>
              <w:spacing w:after="0"/>
              <w:rPr>
                <w:sz w:val="24"/>
                <w:szCs w:val="24"/>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Page Number</w:t>
            </w:r>
          </w:p>
        </w:tc>
      </w:tr>
      <w:tr>
        <w:trPr>
          <w:trHeight w:val="224"/>
        </w:trPr>
        <w:tc>
          <w:tcPr>
            <w:tcW w:w="1100" w:type="dxa"/>
            <w:vAlign w:val="bottom"/>
          </w:tcPr>
          <w:p>
            <w:pPr>
              <w:spacing w:after="0"/>
              <w:rPr>
                <w:sz w:val="19"/>
                <w:szCs w:val="19"/>
                <w:color w:val="auto"/>
              </w:rPr>
            </w:pPr>
          </w:p>
        </w:tc>
        <w:tc>
          <w:tcPr>
            <w:tcW w:w="9020" w:type="dxa"/>
            <w:vAlign w:val="bottom"/>
          </w:tcPr>
          <w:p>
            <w:pPr>
              <w:jc w:val="center"/>
              <w:spacing w:after="0"/>
              <w:rPr>
                <w:rFonts w:ascii="Times New Roman" w:cs="Times New Roman" w:eastAsia="Times New Roman" w:hAnsi="Times New Roman"/>
                <w:sz w:val="16"/>
                <w:szCs w:val="16"/>
                <w:b w:val="1"/>
                <w:bCs w:val="1"/>
                <w:u w:val="single" w:color="auto"/>
                <w:color w:val="0000EE"/>
              </w:rPr>
            </w:pPr>
            <w:hyperlink w:anchor="page3">
              <w:r>
                <w:rPr>
                  <w:rFonts w:ascii="Times New Roman" w:cs="Times New Roman" w:eastAsia="Times New Roman" w:hAnsi="Times New Roman"/>
                  <w:sz w:val="16"/>
                  <w:szCs w:val="16"/>
                  <w:b w:val="1"/>
                  <w:bCs w:val="1"/>
                  <w:u w:val="single" w:color="auto"/>
                  <w:color w:val="0000EE"/>
                </w:rPr>
                <w:t>PART I</w:t>
              </w:r>
            </w:hyperlink>
          </w:p>
        </w:tc>
        <w:tc>
          <w:tcPr>
            <w:tcW w:w="1120" w:type="dxa"/>
            <w:vAlign w:val="bottom"/>
          </w:tcPr>
          <w:p>
            <w:pPr>
              <w:spacing w:after="0"/>
              <w:rPr>
                <w:sz w:val="19"/>
                <w:szCs w:val="19"/>
                <w:color w:val="auto"/>
              </w:rPr>
            </w:pPr>
          </w:p>
        </w:tc>
      </w:tr>
      <w:tr>
        <w:trPr>
          <w:trHeight w:val="257"/>
        </w:trPr>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w:t>
            </w:r>
          </w:p>
        </w:tc>
        <w:tc>
          <w:tcPr>
            <w:tcW w:w="9020" w:type="dxa"/>
            <w:vAlign w:val="bottom"/>
          </w:tcPr>
          <w:p>
            <w:pPr>
              <w:ind w:left="20"/>
              <w:spacing w:after="0"/>
              <w:rPr>
                <w:rFonts w:ascii="Times New Roman" w:cs="Times New Roman" w:eastAsia="Times New Roman" w:hAnsi="Times New Roman"/>
                <w:sz w:val="16"/>
                <w:szCs w:val="16"/>
                <w:u w:val="single" w:color="auto"/>
                <w:color w:val="0000EE"/>
              </w:rPr>
            </w:pPr>
            <w:hyperlink w:anchor="page3">
              <w:r>
                <w:rPr>
                  <w:rFonts w:ascii="Times New Roman" w:cs="Times New Roman" w:eastAsia="Times New Roman" w:hAnsi="Times New Roman"/>
                  <w:sz w:val="16"/>
                  <w:szCs w:val="16"/>
                  <w:u w:val="single" w:color="auto"/>
                  <w:color w:val="0000EE"/>
                </w:rPr>
                <w:t>Business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7"/>
        </w:trPr>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1A</w:t>
            </w:r>
          </w:p>
        </w:tc>
        <w:tc>
          <w:tcPr>
            <w:tcW w:w="9020" w:type="dxa"/>
            <w:vAlign w:val="bottom"/>
          </w:tcPr>
          <w:p>
            <w:pPr>
              <w:ind w:left="20"/>
              <w:spacing w:after="0"/>
              <w:rPr>
                <w:rFonts w:ascii="Times New Roman" w:cs="Times New Roman" w:eastAsia="Times New Roman" w:hAnsi="Times New Roman"/>
                <w:sz w:val="16"/>
                <w:szCs w:val="16"/>
                <w:u w:val="single" w:color="auto"/>
                <w:color w:val="0000EE"/>
              </w:rPr>
            </w:pPr>
            <w:hyperlink w:anchor="page12">
              <w:r>
                <w:rPr>
                  <w:rFonts w:ascii="Times New Roman" w:cs="Times New Roman" w:eastAsia="Times New Roman" w:hAnsi="Times New Roman"/>
                  <w:sz w:val="16"/>
                  <w:szCs w:val="16"/>
                  <w:u w:val="single" w:color="auto"/>
                  <w:color w:val="0000EE"/>
                </w:rPr>
                <w:t>Risk Factors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56"/>
        </w:trPr>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1B</w:t>
            </w:r>
          </w:p>
        </w:tc>
        <w:tc>
          <w:tcPr>
            <w:tcW w:w="9020" w:type="dxa"/>
            <w:vAlign w:val="bottom"/>
          </w:tcPr>
          <w:p>
            <w:pPr>
              <w:ind w:left="20"/>
              <w:spacing w:after="0"/>
              <w:rPr>
                <w:rFonts w:ascii="Times New Roman" w:cs="Times New Roman" w:eastAsia="Times New Roman" w:hAnsi="Times New Roman"/>
                <w:sz w:val="16"/>
                <w:szCs w:val="16"/>
                <w:u w:val="single" w:color="auto"/>
                <w:color w:val="0000EE"/>
              </w:rPr>
            </w:pPr>
            <w:hyperlink w:anchor="page21">
              <w:r>
                <w:rPr>
                  <w:rFonts w:ascii="Times New Roman" w:cs="Times New Roman" w:eastAsia="Times New Roman" w:hAnsi="Times New Roman"/>
                  <w:sz w:val="16"/>
                  <w:szCs w:val="16"/>
                  <w:u w:val="single" w:color="auto"/>
                  <w:color w:val="0000EE"/>
                </w:rPr>
                <w:t>Unresolved Staff Comments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57"/>
        </w:trPr>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2</w:t>
            </w:r>
          </w:p>
        </w:tc>
        <w:tc>
          <w:tcPr>
            <w:tcW w:w="9020" w:type="dxa"/>
            <w:vAlign w:val="bottom"/>
          </w:tcPr>
          <w:p>
            <w:pPr>
              <w:ind w:left="20"/>
              <w:spacing w:after="0"/>
              <w:rPr>
                <w:rFonts w:ascii="Times New Roman" w:cs="Times New Roman" w:eastAsia="Times New Roman" w:hAnsi="Times New Roman"/>
                <w:sz w:val="16"/>
                <w:szCs w:val="16"/>
                <w:u w:val="single" w:color="auto"/>
                <w:color w:val="0000EE"/>
              </w:rPr>
            </w:pPr>
            <w:hyperlink w:anchor="page22">
              <w:r>
                <w:rPr>
                  <w:rFonts w:ascii="Times New Roman" w:cs="Times New Roman" w:eastAsia="Times New Roman" w:hAnsi="Times New Roman"/>
                  <w:sz w:val="16"/>
                  <w:szCs w:val="16"/>
                  <w:u w:val="single" w:color="auto"/>
                  <w:color w:val="0000EE"/>
                </w:rPr>
                <w:t>Properties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57"/>
        </w:trPr>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3</w:t>
            </w:r>
          </w:p>
        </w:tc>
        <w:tc>
          <w:tcPr>
            <w:tcW w:w="9020" w:type="dxa"/>
            <w:vAlign w:val="bottom"/>
          </w:tcPr>
          <w:p>
            <w:pPr>
              <w:ind w:left="20"/>
              <w:spacing w:after="0"/>
              <w:rPr>
                <w:rFonts w:ascii="Times New Roman" w:cs="Times New Roman" w:eastAsia="Times New Roman" w:hAnsi="Times New Roman"/>
                <w:sz w:val="16"/>
                <w:szCs w:val="16"/>
                <w:u w:val="single" w:color="auto"/>
                <w:color w:val="0000EE"/>
              </w:rPr>
            </w:pPr>
            <w:hyperlink w:anchor="page23">
              <w:r>
                <w:rPr>
                  <w:rFonts w:ascii="Times New Roman" w:cs="Times New Roman" w:eastAsia="Times New Roman" w:hAnsi="Times New Roman"/>
                  <w:sz w:val="16"/>
                  <w:szCs w:val="16"/>
                  <w:u w:val="single" w:color="auto"/>
                  <w:color w:val="0000EE"/>
                </w:rPr>
                <w:t>Legal Proceedings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432"/>
        </w:trPr>
        <w:tc>
          <w:tcPr>
            <w:tcW w:w="1100" w:type="dxa"/>
            <w:vAlign w:val="bottom"/>
          </w:tcPr>
          <w:p>
            <w:pPr>
              <w:spacing w:after="0"/>
              <w:rPr>
                <w:sz w:val="24"/>
                <w:szCs w:val="24"/>
                <w:color w:val="auto"/>
              </w:rPr>
            </w:pPr>
          </w:p>
        </w:tc>
        <w:tc>
          <w:tcPr>
            <w:tcW w:w="9020" w:type="dxa"/>
            <w:vAlign w:val="bottom"/>
          </w:tcPr>
          <w:p>
            <w:pPr>
              <w:jc w:val="center"/>
              <w:spacing w:after="0"/>
              <w:rPr>
                <w:rFonts w:ascii="Times New Roman" w:cs="Times New Roman" w:eastAsia="Times New Roman" w:hAnsi="Times New Roman"/>
                <w:sz w:val="16"/>
                <w:szCs w:val="16"/>
                <w:b w:val="1"/>
                <w:bCs w:val="1"/>
                <w:u w:val="single" w:color="auto"/>
                <w:color w:val="0000EE"/>
                <w:w w:val="96"/>
              </w:rPr>
            </w:pPr>
            <w:hyperlink w:anchor="page24">
              <w:r>
                <w:rPr>
                  <w:rFonts w:ascii="Times New Roman" w:cs="Times New Roman" w:eastAsia="Times New Roman" w:hAnsi="Times New Roman"/>
                  <w:sz w:val="16"/>
                  <w:szCs w:val="16"/>
                  <w:b w:val="1"/>
                  <w:bCs w:val="1"/>
                  <w:u w:val="single" w:color="auto"/>
                  <w:color w:val="0000EE"/>
                  <w:w w:val="96"/>
                </w:rPr>
                <w:t>PART II</w:t>
              </w:r>
            </w:hyperlink>
          </w:p>
        </w:tc>
        <w:tc>
          <w:tcPr>
            <w:tcW w:w="1120" w:type="dxa"/>
            <w:vAlign w:val="bottom"/>
          </w:tcPr>
          <w:p>
            <w:pPr>
              <w:spacing w:after="0"/>
              <w:rPr>
                <w:sz w:val="24"/>
                <w:szCs w:val="24"/>
                <w:color w:val="auto"/>
              </w:rPr>
            </w:pPr>
          </w:p>
        </w:tc>
      </w:tr>
      <w:tr>
        <w:trPr>
          <w:trHeight w:val="257"/>
        </w:trPr>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5</w:t>
            </w:r>
          </w:p>
        </w:tc>
        <w:tc>
          <w:tcPr>
            <w:tcW w:w="9020" w:type="dxa"/>
            <w:vAlign w:val="bottom"/>
          </w:tcPr>
          <w:p>
            <w:pPr>
              <w:ind w:left="20"/>
              <w:spacing w:after="0"/>
              <w:rPr>
                <w:rFonts w:ascii="Times New Roman" w:cs="Times New Roman" w:eastAsia="Times New Roman" w:hAnsi="Times New Roman"/>
                <w:sz w:val="16"/>
                <w:szCs w:val="16"/>
                <w:u w:val="single" w:color="auto"/>
                <w:color w:val="0000EE"/>
              </w:rPr>
            </w:pPr>
            <w:hyperlink w:anchor="page24">
              <w:r>
                <w:rPr>
                  <w:rFonts w:ascii="Times New Roman" w:cs="Times New Roman" w:eastAsia="Times New Roman" w:hAnsi="Times New Roman"/>
                  <w:sz w:val="16"/>
                  <w:szCs w:val="16"/>
                  <w:u w:val="single" w:color="auto"/>
                  <w:color w:val="0000EE"/>
                </w:rPr>
                <w:t>Market for Registrant’s Common Equity, Related Stockholder Matters and Issuer Purchases of Equity Securities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57"/>
        </w:trPr>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6</w:t>
            </w:r>
          </w:p>
        </w:tc>
        <w:tc>
          <w:tcPr>
            <w:tcW w:w="9020" w:type="dxa"/>
            <w:vAlign w:val="bottom"/>
          </w:tcPr>
          <w:p>
            <w:pPr>
              <w:ind w:left="20"/>
              <w:spacing w:after="0"/>
              <w:rPr>
                <w:rFonts w:ascii="Times New Roman" w:cs="Times New Roman" w:eastAsia="Times New Roman" w:hAnsi="Times New Roman"/>
                <w:sz w:val="16"/>
                <w:szCs w:val="16"/>
                <w:u w:val="single" w:color="auto"/>
                <w:color w:val="0000EE"/>
              </w:rPr>
            </w:pPr>
            <w:hyperlink w:anchor="page25">
              <w:r>
                <w:rPr>
                  <w:rFonts w:ascii="Times New Roman" w:cs="Times New Roman" w:eastAsia="Times New Roman" w:hAnsi="Times New Roman"/>
                  <w:sz w:val="16"/>
                  <w:szCs w:val="16"/>
                  <w:u w:val="single" w:color="auto"/>
                  <w:color w:val="0000EE"/>
                </w:rPr>
                <w:t>Selected Financial Data</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57"/>
        </w:trPr>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7</w:t>
            </w:r>
          </w:p>
        </w:tc>
        <w:tc>
          <w:tcPr>
            <w:tcW w:w="9020" w:type="dxa"/>
            <w:vAlign w:val="bottom"/>
          </w:tcPr>
          <w:p>
            <w:pPr>
              <w:ind w:left="20"/>
              <w:spacing w:after="0"/>
              <w:rPr>
                <w:rFonts w:ascii="Times New Roman" w:cs="Times New Roman" w:eastAsia="Times New Roman" w:hAnsi="Times New Roman"/>
                <w:sz w:val="16"/>
                <w:szCs w:val="16"/>
                <w:u w:val="single" w:color="auto"/>
                <w:color w:val="0000EE"/>
              </w:rPr>
            </w:pPr>
            <w:hyperlink w:anchor="page26">
              <w:r>
                <w:rPr>
                  <w:rFonts w:ascii="Times New Roman" w:cs="Times New Roman" w:eastAsia="Times New Roman" w:hAnsi="Times New Roman"/>
                  <w:sz w:val="16"/>
                  <w:szCs w:val="16"/>
                  <w:u w:val="single" w:color="auto"/>
                  <w:color w:val="0000EE"/>
                </w:rPr>
                <w:t>Management’s Discussion and Analysis of Financial Condition and Results of Operations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56"/>
        </w:trPr>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7A</w:t>
            </w:r>
          </w:p>
        </w:tc>
        <w:tc>
          <w:tcPr>
            <w:tcW w:w="9020" w:type="dxa"/>
            <w:vAlign w:val="bottom"/>
          </w:tcPr>
          <w:p>
            <w:pPr>
              <w:ind w:left="20"/>
              <w:spacing w:after="0"/>
              <w:rPr>
                <w:rFonts w:ascii="Times New Roman" w:cs="Times New Roman" w:eastAsia="Times New Roman" w:hAnsi="Times New Roman"/>
                <w:sz w:val="16"/>
                <w:szCs w:val="16"/>
                <w:u w:val="single" w:color="auto"/>
                <w:color w:val="0000EE"/>
              </w:rPr>
            </w:pPr>
            <w:hyperlink w:anchor="page55">
              <w:r>
                <w:rPr>
                  <w:rFonts w:ascii="Times New Roman" w:cs="Times New Roman" w:eastAsia="Times New Roman" w:hAnsi="Times New Roman"/>
                  <w:sz w:val="16"/>
                  <w:szCs w:val="16"/>
                  <w:u w:val="single" w:color="auto"/>
                  <w:color w:val="0000EE"/>
                </w:rPr>
                <w:t>Quantitative and Qualitative Disclosures About Market Risk</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57"/>
        </w:trPr>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w:t>
            </w:r>
          </w:p>
        </w:tc>
        <w:tc>
          <w:tcPr>
            <w:tcW w:w="9020" w:type="dxa"/>
            <w:vAlign w:val="bottom"/>
          </w:tcPr>
          <w:p>
            <w:pPr>
              <w:ind w:left="20"/>
              <w:spacing w:after="0"/>
              <w:rPr>
                <w:rFonts w:ascii="Times New Roman" w:cs="Times New Roman" w:eastAsia="Times New Roman" w:hAnsi="Times New Roman"/>
                <w:sz w:val="16"/>
                <w:szCs w:val="16"/>
                <w:u w:val="single" w:color="auto"/>
                <w:color w:val="0000EE"/>
              </w:rPr>
            </w:pPr>
            <w:hyperlink w:anchor="page57">
              <w:r>
                <w:rPr>
                  <w:rFonts w:ascii="Times New Roman" w:cs="Times New Roman" w:eastAsia="Times New Roman" w:hAnsi="Times New Roman"/>
                  <w:sz w:val="16"/>
                  <w:szCs w:val="16"/>
                  <w:u w:val="single" w:color="auto"/>
                  <w:color w:val="0000EE"/>
                </w:rPr>
                <w:t>Financial Statements and Supplementary Data</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57"/>
        </w:trPr>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9</w:t>
            </w:r>
          </w:p>
        </w:tc>
        <w:tc>
          <w:tcPr>
            <w:tcW w:w="9020" w:type="dxa"/>
            <w:vAlign w:val="bottom"/>
          </w:tcPr>
          <w:p>
            <w:pPr>
              <w:ind w:left="20"/>
              <w:spacing w:after="0"/>
              <w:rPr>
                <w:rFonts w:ascii="Times New Roman" w:cs="Times New Roman" w:eastAsia="Times New Roman" w:hAnsi="Times New Roman"/>
                <w:sz w:val="16"/>
                <w:szCs w:val="16"/>
                <w:u w:val="single" w:color="auto"/>
                <w:color w:val="0000EE"/>
              </w:rPr>
            </w:pPr>
            <w:hyperlink w:anchor="page121">
              <w:r>
                <w:rPr>
                  <w:rFonts w:ascii="Times New Roman" w:cs="Times New Roman" w:eastAsia="Times New Roman" w:hAnsi="Times New Roman"/>
                  <w:sz w:val="16"/>
                  <w:szCs w:val="16"/>
                  <w:u w:val="single" w:color="auto"/>
                  <w:color w:val="0000EE"/>
                </w:rPr>
                <w:t>Changes in and Disagreements with Accountants on Accounting and Financial Disclosure</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57"/>
        </w:trPr>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9A</w:t>
            </w:r>
          </w:p>
        </w:tc>
        <w:tc>
          <w:tcPr>
            <w:tcW w:w="9020" w:type="dxa"/>
            <w:vAlign w:val="bottom"/>
          </w:tcPr>
          <w:p>
            <w:pPr>
              <w:ind w:left="20"/>
              <w:spacing w:after="0"/>
              <w:rPr>
                <w:rFonts w:ascii="Times New Roman" w:cs="Times New Roman" w:eastAsia="Times New Roman" w:hAnsi="Times New Roman"/>
                <w:sz w:val="16"/>
                <w:szCs w:val="16"/>
                <w:u w:val="single" w:color="auto"/>
                <w:color w:val="0000EE"/>
              </w:rPr>
            </w:pPr>
            <w:hyperlink w:anchor="page121">
              <w:r>
                <w:rPr>
                  <w:rFonts w:ascii="Times New Roman" w:cs="Times New Roman" w:eastAsia="Times New Roman" w:hAnsi="Times New Roman"/>
                  <w:sz w:val="16"/>
                  <w:szCs w:val="16"/>
                  <w:u w:val="single" w:color="auto"/>
                  <w:color w:val="0000EE"/>
                </w:rPr>
                <w:t>Controls and Procedures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56"/>
        </w:trPr>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9B</w:t>
            </w:r>
          </w:p>
        </w:tc>
        <w:tc>
          <w:tcPr>
            <w:tcW w:w="9020" w:type="dxa"/>
            <w:vAlign w:val="bottom"/>
          </w:tcPr>
          <w:p>
            <w:pPr>
              <w:ind w:left="20"/>
              <w:spacing w:after="0"/>
              <w:rPr>
                <w:rFonts w:ascii="Times New Roman" w:cs="Times New Roman" w:eastAsia="Times New Roman" w:hAnsi="Times New Roman"/>
                <w:sz w:val="16"/>
                <w:szCs w:val="16"/>
                <w:u w:val="single" w:color="auto"/>
                <w:color w:val="0000EE"/>
              </w:rPr>
            </w:pPr>
            <w:hyperlink w:anchor="page121">
              <w:r>
                <w:rPr>
                  <w:rFonts w:ascii="Times New Roman" w:cs="Times New Roman" w:eastAsia="Times New Roman" w:hAnsi="Times New Roman"/>
                  <w:sz w:val="16"/>
                  <w:szCs w:val="16"/>
                  <w:u w:val="single" w:color="auto"/>
                  <w:color w:val="0000EE"/>
                </w:rPr>
                <w:t>Other Information</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432"/>
        </w:trPr>
        <w:tc>
          <w:tcPr>
            <w:tcW w:w="1100" w:type="dxa"/>
            <w:vAlign w:val="bottom"/>
          </w:tcPr>
          <w:p>
            <w:pPr>
              <w:spacing w:after="0"/>
              <w:rPr>
                <w:sz w:val="24"/>
                <w:szCs w:val="24"/>
                <w:color w:val="auto"/>
              </w:rPr>
            </w:pPr>
          </w:p>
        </w:tc>
        <w:tc>
          <w:tcPr>
            <w:tcW w:w="9020" w:type="dxa"/>
            <w:vAlign w:val="bottom"/>
          </w:tcPr>
          <w:p>
            <w:pPr>
              <w:jc w:val="center"/>
              <w:spacing w:after="0"/>
              <w:rPr>
                <w:rFonts w:ascii="Times New Roman" w:cs="Times New Roman" w:eastAsia="Times New Roman" w:hAnsi="Times New Roman"/>
                <w:sz w:val="16"/>
                <w:szCs w:val="16"/>
                <w:b w:val="1"/>
                <w:bCs w:val="1"/>
                <w:u w:val="single" w:color="auto"/>
                <w:color w:val="0000EE"/>
                <w:w w:val="99"/>
              </w:rPr>
            </w:pPr>
            <w:hyperlink w:anchor="page122">
              <w:r>
                <w:rPr>
                  <w:rFonts w:ascii="Times New Roman" w:cs="Times New Roman" w:eastAsia="Times New Roman" w:hAnsi="Times New Roman"/>
                  <w:sz w:val="16"/>
                  <w:szCs w:val="16"/>
                  <w:b w:val="1"/>
                  <w:bCs w:val="1"/>
                  <w:u w:val="single" w:color="auto"/>
                  <w:color w:val="0000EE"/>
                  <w:w w:val="99"/>
                </w:rPr>
                <w:t>PART III</w:t>
              </w:r>
            </w:hyperlink>
          </w:p>
        </w:tc>
        <w:tc>
          <w:tcPr>
            <w:tcW w:w="1120" w:type="dxa"/>
            <w:vAlign w:val="bottom"/>
          </w:tcPr>
          <w:p>
            <w:pPr>
              <w:spacing w:after="0"/>
              <w:rPr>
                <w:sz w:val="24"/>
                <w:szCs w:val="24"/>
                <w:color w:val="auto"/>
              </w:rPr>
            </w:pPr>
          </w:p>
        </w:tc>
      </w:tr>
      <w:tr>
        <w:trPr>
          <w:trHeight w:val="257"/>
        </w:trPr>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10</w:t>
            </w:r>
          </w:p>
        </w:tc>
        <w:tc>
          <w:tcPr>
            <w:tcW w:w="9020" w:type="dxa"/>
            <w:vAlign w:val="bottom"/>
          </w:tcPr>
          <w:p>
            <w:pPr>
              <w:ind w:left="20"/>
              <w:spacing w:after="0"/>
              <w:rPr>
                <w:rFonts w:ascii="Times New Roman" w:cs="Times New Roman" w:eastAsia="Times New Roman" w:hAnsi="Times New Roman"/>
                <w:sz w:val="16"/>
                <w:szCs w:val="16"/>
                <w:u w:val="single" w:color="auto"/>
                <w:color w:val="0000EE"/>
              </w:rPr>
            </w:pPr>
            <w:hyperlink w:anchor="page122">
              <w:r>
                <w:rPr>
                  <w:rFonts w:ascii="Times New Roman" w:cs="Times New Roman" w:eastAsia="Times New Roman" w:hAnsi="Times New Roman"/>
                  <w:sz w:val="16"/>
                  <w:szCs w:val="16"/>
                  <w:u w:val="single" w:color="auto"/>
                  <w:color w:val="0000EE"/>
                </w:rPr>
                <w:t>Directors, Executive Officers and Corporate Governance</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56"/>
        </w:trPr>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11</w:t>
            </w:r>
          </w:p>
        </w:tc>
        <w:tc>
          <w:tcPr>
            <w:tcW w:w="9020" w:type="dxa"/>
            <w:vAlign w:val="bottom"/>
          </w:tcPr>
          <w:p>
            <w:pPr>
              <w:ind w:left="20"/>
              <w:spacing w:after="0"/>
              <w:rPr>
                <w:rFonts w:ascii="Times New Roman" w:cs="Times New Roman" w:eastAsia="Times New Roman" w:hAnsi="Times New Roman"/>
                <w:sz w:val="16"/>
                <w:szCs w:val="16"/>
                <w:u w:val="single" w:color="auto"/>
                <w:color w:val="0000EE"/>
              </w:rPr>
            </w:pPr>
            <w:hyperlink w:anchor="page122">
              <w:r>
                <w:rPr>
                  <w:rFonts w:ascii="Times New Roman" w:cs="Times New Roman" w:eastAsia="Times New Roman" w:hAnsi="Times New Roman"/>
                  <w:sz w:val="16"/>
                  <w:szCs w:val="16"/>
                  <w:u w:val="single" w:color="auto"/>
                  <w:color w:val="0000EE"/>
                </w:rPr>
                <w:t>Executive Compensation</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56"/>
        </w:trPr>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12</w:t>
            </w:r>
          </w:p>
        </w:tc>
        <w:tc>
          <w:tcPr>
            <w:tcW w:w="9020" w:type="dxa"/>
            <w:vAlign w:val="bottom"/>
          </w:tcPr>
          <w:p>
            <w:pPr>
              <w:ind w:left="20"/>
              <w:spacing w:after="0"/>
              <w:rPr>
                <w:rFonts w:ascii="Times New Roman" w:cs="Times New Roman" w:eastAsia="Times New Roman" w:hAnsi="Times New Roman"/>
                <w:sz w:val="16"/>
                <w:szCs w:val="16"/>
                <w:u w:val="single" w:color="auto"/>
                <w:color w:val="0000EE"/>
              </w:rPr>
            </w:pPr>
            <w:hyperlink w:anchor="page122">
              <w:r>
                <w:rPr>
                  <w:rFonts w:ascii="Times New Roman" w:cs="Times New Roman" w:eastAsia="Times New Roman" w:hAnsi="Times New Roman"/>
                  <w:sz w:val="16"/>
                  <w:szCs w:val="16"/>
                  <w:u w:val="single" w:color="auto"/>
                  <w:color w:val="0000EE"/>
                </w:rPr>
                <w:t>Security Ownership of Certain Beneficial Owners and Management and Related Stockholder Matters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57"/>
        </w:trPr>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13</w:t>
            </w:r>
          </w:p>
        </w:tc>
        <w:tc>
          <w:tcPr>
            <w:tcW w:w="9020" w:type="dxa"/>
            <w:vAlign w:val="bottom"/>
          </w:tcPr>
          <w:p>
            <w:pPr>
              <w:ind w:left="20"/>
              <w:spacing w:after="0"/>
              <w:rPr>
                <w:rFonts w:ascii="Times New Roman" w:cs="Times New Roman" w:eastAsia="Times New Roman" w:hAnsi="Times New Roman"/>
                <w:sz w:val="16"/>
                <w:szCs w:val="16"/>
                <w:u w:val="single" w:color="auto"/>
                <w:color w:val="0000EE"/>
              </w:rPr>
            </w:pPr>
            <w:hyperlink w:anchor="page122">
              <w:r>
                <w:rPr>
                  <w:rFonts w:ascii="Times New Roman" w:cs="Times New Roman" w:eastAsia="Times New Roman" w:hAnsi="Times New Roman"/>
                  <w:sz w:val="16"/>
                  <w:szCs w:val="16"/>
                  <w:u w:val="single" w:color="auto"/>
                  <w:color w:val="0000EE"/>
                </w:rPr>
                <w:t>Certain Relationships and Related Transactions, and Director Independence</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56"/>
        </w:trPr>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14</w:t>
            </w:r>
          </w:p>
        </w:tc>
        <w:tc>
          <w:tcPr>
            <w:tcW w:w="9020" w:type="dxa"/>
            <w:vAlign w:val="bottom"/>
          </w:tcPr>
          <w:p>
            <w:pPr>
              <w:ind w:left="20"/>
              <w:spacing w:after="0"/>
              <w:rPr>
                <w:rFonts w:ascii="Times New Roman" w:cs="Times New Roman" w:eastAsia="Times New Roman" w:hAnsi="Times New Roman"/>
                <w:sz w:val="16"/>
                <w:szCs w:val="16"/>
                <w:u w:val="single" w:color="auto"/>
                <w:color w:val="0000EE"/>
              </w:rPr>
            </w:pPr>
            <w:hyperlink w:anchor="page122">
              <w:r>
                <w:rPr>
                  <w:rFonts w:ascii="Times New Roman" w:cs="Times New Roman" w:eastAsia="Times New Roman" w:hAnsi="Times New Roman"/>
                  <w:sz w:val="16"/>
                  <w:szCs w:val="16"/>
                  <w:u w:val="single" w:color="auto"/>
                  <w:color w:val="0000EE"/>
                </w:rPr>
                <w:t>Principal Accountant Fees and Services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432"/>
        </w:trPr>
        <w:tc>
          <w:tcPr>
            <w:tcW w:w="1100" w:type="dxa"/>
            <w:vAlign w:val="bottom"/>
          </w:tcPr>
          <w:p>
            <w:pPr>
              <w:spacing w:after="0"/>
              <w:rPr>
                <w:sz w:val="24"/>
                <w:szCs w:val="24"/>
                <w:color w:val="auto"/>
              </w:rPr>
            </w:pPr>
          </w:p>
        </w:tc>
        <w:tc>
          <w:tcPr>
            <w:tcW w:w="9020" w:type="dxa"/>
            <w:vAlign w:val="bottom"/>
          </w:tcPr>
          <w:p>
            <w:pPr>
              <w:jc w:val="center"/>
              <w:spacing w:after="0"/>
              <w:rPr>
                <w:rFonts w:ascii="Times New Roman" w:cs="Times New Roman" w:eastAsia="Times New Roman" w:hAnsi="Times New Roman"/>
                <w:sz w:val="16"/>
                <w:szCs w:val="16"/>
                <w:b w:val="1"/>
                <w:bCs w:val="1"/>
                <w:u w:val="single" w:color="auto"/>
                <w:color w:val="0000EE"/>
                <w:w w:val="97"/>
              </w:rPr>
            </w:pPr>
            <w:hyperlink w:anchor="page123">
              <w:r>
                <w:rPr>
                  <w:rFonts w:ascii="Times New Roman" w:cs="Times New Roman" w:eastAsia="Times New Roman" w:hAnsi="Times New Roman"/>
                  <w:sz w:val="16"/>
                  <w:szCs w:val="16"/>
                  <w:b w:val="1"/>
                  <w:bCs w:val="1"/>
                  <w:u w:val="single" w:color="auto"/>
                  <w:color w:val="0000EE"/>
                  <w:w w:val="97"/>
                </w:rPr>
                <w:t>PART IV</w:t>
              </w:r>
            </w:hyperlink>
          </w:p>
        </w:tc>
        <w:tc>
          <w:tcPr>
            <w:tcW w:w="1120" w:type="dxa"/>
            <w:vAlign w:val="bottom"/>
          </w:tcPr>
          <w:p>
            <w:pPr>
              <w:spacing w:after="0"/>
              <w:rPr>
                <w:sz w:val="24"/>
                <w:szCs w:val="24"/>
                <w:color w:val="auto"/>
              </w:rPr>
            </w:pPr>
          </w:p>
        </w:tc>
      </w:tr>
      <w:tr>
        <w:trPr>
          <w:trHeight w:val="257"/>
        </w:trPr>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15</w:t>
            </w:r>
          </w:p>
        </w:tc>
        <w:tc>
          <w:tcPr>
            <w:tcW w:w="9020" w:type="dxa"/>
            <w:vAlign w:val="bottom"/>
          </w:tcPr>
          <w:p>
            <w:pPr>
              <w:ind w:left="20"/>
              <w:spacing w:after="0"/>
              <w:rPr>
                <w:rFonts w:ascii="Times New Roman" w:cs="Times New Roman" w:eastAsia="Times New Roman" w:hAnsi="Times New Roman"/>
                <w:sz w:val="16"/>
                <w:szCs w:val="16"/>
                <w:u w:val="single" w:color="auto"/>
                <w:color w:val="0000EE"/>
              </w:rPr>
            </w:pPr>
            <w:hyperlink w:anchor="page123">
              <w:r>
                <w:rPr>
                  <w:rFonts w:ascii="Times New Roman" w:cs="Times New Roman" w:eastAsia="Times New Roman" w:hAnsi="Times New Roman"/>
                  <w:sz w:val="16"/>
                  <w:szCs w:val="16"/>
                  <w:u w:val="single" w:color="auto"/>
                  <w:color w:val="0000EE"/>
                </w:rPr>
                <w:t>Exhibits and Financial Statement Schedules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56"/>
        </w:trPr>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16</w:t>
            </w:r>
          </w:p>
        </w:tc>
        <w:tc>
          <w:tcPr>
            <w:tcW w:w="9020" w:type="dxa"/>
            <w:vAlign w:val="bottom"/>
          </w:tcPr>
          <w:p>
            <w:pPr>
              <w:ind w:left="20"/>
              <w:spacing w:after="0"/>
              <w:rPr>
                <w:rFonts w:ascii="Times New Roman" w:cs="Times New Roman" w:eastAsia="Times New Roman" w:hAnsi="Times New Roman"/>
                <w:sz w:val="16"/>
                <w:szCs w:val="16"/>
                <w:u w:val="single" w:color="auto"/>
                <w:color w:val="0000EE"/>
              </w:rPr>
            </w:pPr>
            <w:hyperlink w:anchor="page123">
              <w:r>
                <w:rPr>
                  <w:rFonts w:ascii="Times New Roman" w:cs="Times New Roman" w:eastAsia="Times New Roman" w:hAnsi="Times New Roman"/>
                  <w:sz w:val="16"/>
                  <w:szCs w:val="16"/>
                  <w:u w:val="single" w:color="auto"/>
                  <w:color w:val="0000EE"/>
                </w:rPr>
                <w:t>Form 10-K Summary</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57"/>
        </w:trPr>
        <w:tc>
          <w:tcPr>
            <w:tcW w:w="10120" w:type="dxa"/>
            <w:vAlign w:val="bottom"/>
            <w:gridSpan w:val="2"/>
          </w:tcPr>
          <w:p>
            <w:pPr>
              <w:ind w:left="40"/>
              <w:spacing w:after="0"/>
              <w:rPr>
                <w:rFonts w:ascii="Times New Roman" w:cs="Times New Roman" w:eastAsia="Times New Roman" w:hAnsi="Times New Roman"/>
                <w:sz w:val="16"/>
                <w:szCs w:val="16"/>
                <w:u w:val="single" w:color="auto"/>
                <w:color w:val="0000EE"/>
              </w:rPr>
            </w:pPr>
            <w:hyperlink w:anchor="page124">
              <w:r>
                <w:rPr>
                  <w:rFonts w:ascii="Times New Roman" w:cs="Times New Roman" w:eastAsia="Times New Roman" w:hAnsi="Times New Roman"/>
                  <w:sz w:val="16"/>
                  <w:szCs w:val="16"/>
                  <w:u w:val="single" w:color="auto"/>
                  <w:color w:val="0000EE"/>
                </w:rPr>
                <w:t>Index to Financial Statement Schedules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FS-1</w:t>
            </w:r>
          </w:p>
        </w:tc>
      </w:tr>
      <w:tr>
        <w:trPr>
          <w:trHeight w:val="256"/>
        </w:trPr>
        <w:tc>
          <w:tcPr>
            <w:tcW w:w="10120" w:type="dxa"/>
            <w:vAlign w:val="bottom"/>
            <w:gridSpan w:val="2"/>
          </w:tcPr>
          <w:p>
            <w:pPr>
              <w:ind w:left="40"/>
              <w:spacing w:after="0"/>
              <w:rPr>
                <w:rFonts w:ascii="Times New Roman" w:cs="Times New Roman" w:eastAsia="Times New Roman" w:hAnsi="Times New Roman"/>
                <w:sz w:val="16"/>
                <w:szCs w:val="16"/>
                <w:u w:val="single" w:color="auto"/>
                <w:color w:val="0000EE"/>
              </w:rPr>
            </w:pPr>
            <w:hyperlink w:anchor="page126">
              <w:r>
                <w:rPr>
                  <w:rFonts w:ascii="Times New Roman" w:cs="Times New Roman" w:eastAsia="Times New Roman" w:hAnsi="Times New Roman"/>
                  <w:sz w:val="16"/>
                  <w:szCs w:val="16"/>
                  <w:u w:val="single" w:color="auto"/>
                  <w:color w:val="0000EE"/>
                </w:rPr>
                <w:t>Index of Exhibits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X-1</w:t>
            </w:r>
          </w:p>
        </w:tc>
      </w:tr>
      <w:tr>
        <w:trPr>
          <w:trHeight w:val="257"/>
        </w:trPr>
        <w:tc>
          <w:tcPr>
            <w:tcW w:w="1100" w:type="dxa"/>
            <w:vAlign w:val="bottom"/>
          </w:tcPr>
          <w:p>
            <w:pPr>
              <w:ind w:left="40"/>
              <w:spacing w:after="0"/>
              <w:rPr>
                <w:rFonts w:ascii="Times New Roman" w:cs="Times New Roman" w:eastAsia="Times New Roman" w:hAnsi="Times New Roman"/>
                <w:sz w:val="16"/>
                <w:szCs w:val="16"/>
                <w:u w:val="single" w:color="auto"/>
                <w:color w:val="0000EE"/>
              </w:rPr>
            </w:pPr>
            <w:hyperlink w:anchor="page132">
              <w:r>
                <w:rPr>
                  <w:rFonts w:ascii="Times New Roman" w:cs="Times New Roman" w:eastAsia="Times New Roman" w:hAnsi="Times New Roman"/>
                  <w:sz w:val="16"/>
                  <w:szCs w:val="16"/>
                  <w:u w:val="single" w:color="auto"/>
                  <w:color w:val="0000EE"/>
                </w:rPr>
                <w:t>Signatures</w:t>
              </w:r>
            </w:hyperlink>
          </w:p>
        </w:tc>
        <w:tc>
          <w:tcPr>
            <w:tcW w:w="90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S-1</w:t>
            </w:r>
          </w:p>
        </w:tc>
      </w:tr>
      <w:tr>
        <w:trPr>
          <w:trHeight w:val="513"/>
        </w:trPr>
        <w:tc>
          <w:tcPr>
            <w:tcW w:w="1100" w:type="dxa"/>
            <w:vAlign w:val="bottom"/>
            <w:tcBorders>
              <w:bottom w:val="single" w:sz="8" w:color="9A9A9A"/>
            </w:tcBorders>
          </w:tcPr>
          <w:p>
            <w:pPr>
              <w:spacing w:after="0"/>
              <w:rPr>
                <w:sz w:val="24"/>
                <w:szCs w:val="24"/>
                <w:color w:val="auto"/>
              </w:rPr>
            </w:pPr>
          </w:p>
        </w:tc>
        <w:tc>
          <w:tcPr>
            <w:tcW w:w="90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OF GOODYEAR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Goodyear Tire &amp; Rubber Company (the “Company”) is an Ohio corporation organized in 1898. Its principal offices are located at 200 Innovation Way, Akron, Ohio 44316-0001. Its telephone number is (330) 796-2121. The terms “Goodyear,” “Company” and “we,” “us” or “our” wherever used herein refer to the Company together with all of its consolidated U.S. and foreign subsidiary companies, unless the context indicates to the contrary.</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one of the world’s leading manufacturers of tires, engaging in operations in most regions of the world. In 2020, our net sales were $12,321 million and Goodyear’s net loss was $1,254 million. We develop, manufacture, market and distribute tires for most applications. We also manufacture and market rubber-related chemicals for various applications. We are one of the world’s largest operators of commercial truck service and tire retreading centers. We operate approximately 1,000 retail outlets where we offer our products for sale to consumer and commercial customers and provide repair and other services. We manufacture our products in 46 manufacturing facilities in 21 countries, including the United States, and we have marketing operations in almost every country around the world. We employ approximately 62,000 full-time and temporary associates worldwide.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make available free of charge on our website, http://www.goodyear.com, our annual report on Form 10-K, quarterly reports on Form 10-Q, current reports on Form 8-K, and amendments to those reports as soon as reasonably practicable after we file or furnish such reports to the Securities and Exchange Commission (the “SEC”). The information on our website is not incorporated by reference in or considered to be a part of this Annual Report on Form 10-K.</w:t>
      </w:r>
    </w:p>
    <w:p>
      <w:pPr>
        <w:spacing w:after="0" w:line="18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DESCRIPTION OF GOODYEAR’S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UR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EGMENTS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we operated our business through three operating segments representing our regional tire businesses: Americas; Europe, Middle East and Africa (“EMEA”); and Asia Pacific.</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business is the development, manufacture, distribution and sale of tires and related products and services worldwide. We manufacture and market numerous lines of rubber tires for:</w:t>
      </w:r>
    </w:p>
    <w:p>
      <w:pPr>
        <w:spacing w:after="0" w:line="54" w:lineRule="exact"/>
        <w:rPr>
          <w:sz w:val="20"/>
          <w:szCs w:val="20"/>
          <w:color w:val="auto"/>
        </w:rPr>
      </w:pPr>
    </w:p>
    <w:p>
      <w:pPr>
        <w:ind w:left="760" w:hanging="37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automobiles</w:t>
      </w:r>
    </w:p>
    <w:p>
      <w:pPr>
        <w:spacing w:after="0" w:line="2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trucks</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buses</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aircraft</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motorcycles</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earthmoving and mining equipment</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 implements</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equipment, and</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applications.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case, our tires are offered for sale to vehicle manufacturers for mounting as original equipment (“OE”) and for replacement worldwide. We manufacture and sell tires under the Goodyear, Dunlop, Kelly, Debica, Sava and Fulda brands and various other Goodyear owned “house” brands, and the private-label brands of certain customers. In certain geographic areas we also:</w:t>
      </w:r>
    </w:p>
    <w:p>
      <w:pPr>
        <w:spacing w:after="0" w:line="68" w:lineRule="exact"/>
        <w:rPr>
          <w:sz w:val="20"/>
          <w:szCs w:val="20"/>
          <w:color w:val="auto"/>
        </w:rPr>
      </w:pPr>
    </w:p>
    <w:p>
      <w:pPr>
        <w:ind w:left="760" w:hanging="374"/>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retread truck, aviation and off-the-road ("OTR") tires,</w:t>
      </w:r>
    </w:p>
    <w:p>
      <w:pPr>
        <w:spacing w:after="0" w:line="2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and sell tread rubber and other tire retreading materials,</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chemical products, and/or</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automotive and commercial repair services and miscellaneous other products and services.</w:t>
      </w:r>
    </w:p>
    <w:p>
      <w:pPr>
        <w:spacing w:after="0" w:line="9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principal products are new tires for most applications. Approximately 84% of our sales in 2020, 85% in 2019 and 84% in 2018 were for tire units. Sales of chemical products to unaffiliated customers were 3% in 2020, 3% in 2019 and 4% in 2018</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our consolidated sales (5%, 5% and 7% of Americas total sales in 2020, 2019 and 2018, respectively). The percentages of each segment’s sales attributable to tire units during the periods indicated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gridSpan w:val="2"/>
            <w:vMerge w:val="restart"/>
          </w:tcPr>
          <w:p>
            <w:pPr>
              <w:ind w:left="2720"/>
              <w:spacing w:after="0"/>
              <w:rPr>
                <w:sz w:val="20"/>
                <w:szCs w:val="20"/>
                <w:color w:val="auto"/>
              </w:rPr>
            </w:pPr>
            <w:r>
              <w:rPr>
                <w:rFonts w:ascii="Times New Roman" w:cs="Times New Roman" w:eastAsia="Times New Roman" w:hAnsi="Times New Roman"/>
                <w:sz w:val="14"/>
                <w:szCs w:val="14"/>
                <w:b w:val="1"/>
                <w:bCs w:val="1"/>
                <w:color w:val="auto"/>
              </w:rPr>
              <w:t>Tire Unit Sales</w:t>
            </w:r>
          </w:p>
        </w:tc>
        <w:tc>
          <w:tcPr>
            <w:tcW w:w="14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500" w:type="dxa"/>
            <w:vAlign w:val="bottom"/>
            <w:gridSpan w:val="2"/>
            <w:vMerge w:val="continue"/>
          </w:tcPr>
          <w:p>
            <w:pPr>
              <w:spacing w:after="0"/>
              <w:rPr>
                <w:sz w:val="13"/>
                <w:szCs w:val="13"/>
                <w:color w:val="auto"/>
              </w:rPr>
            </w:pPr>
          </w:p>
        </w:tc>
        <w:tc>
          <w:tcPr>
            <w:tcW w:w="1480" w:type="dxa"/>
            <w:vAlign w:val="bottom"/>
          </w:tcPr>
          <w:p>
            <w:pPr>
              <w:jc w:val="right"/>
              <w:ind w:right="61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20" w:type="dxa"/>
            <w:vAlign w:val="bottom"/>
            <w:gridSpan w:val="2"/>
          </w:tcPr>
          <w:p>
            <w:pPr>
              <w:jc w:val="right"/>
              <w:ind w:right="59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3"/>
                <w:szCs w:val="13"/>
                <w:color w:val="auto"/>
              </w:rPr>
            </w:pPr>
          </w:p>
        </w:tc>
        <w:tc>
          <w:tcPr>
            <w:tcW w:w="1480" w:type="dxa"/>
            <w:vAlign w:val="bottom"/>
          </w:tcPr>
          <w:p>
            <w:pPr>
              <w:jc w:val="right"/>
              <w:ind w:right="61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6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14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4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90</w:t>
            </w: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9"/>
                <w:szCs w:val="19"/>
                <w:color w:val="auto"/>
              </w:rPr>
            </w:pPr>
          </w:p>
        </w:tc>
        <w:tc>
          <w:tcPr>
            <w:tcW w:w="14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48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91</w:t>
            </w:r>
          </w:p>
        </w:tc>
        <w:tc>
          <w:tcPr>
            <w:tcW w:w="1620" w:type="dxa"/>
            <w:vAlign w:val="bottom"/>
            <w:gridSpan w:val="2"/>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segment exports tires to other segments. The financial results of each segment exclude sales of tires exported to other segments, but include operating income derived from such transactions.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Goodyear does not include motorcycle, aviation or race tires in reported tire unit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Tire unit sales for each segment during the periods indicated were: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492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GOODYEAR’S ANNUAL TIRE UNIT SALES — SEGMENT</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35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160" w:type="dxa"/>
            <w:vAlign w:val="bottom"/>
            <w:vMerge w:val="continue"/>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tcPr>
          <w:p>
            <w:pPr>
              <w:jc w:val="right"/>
              <w:ind w:right="5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580" w:type="dxa"/>
            <w:vAlign w:val="bottom"/>
            <w:gridSpan w:val="2"/>
          </w:tcPr>
          <w:p>
            <w:pPr>
              <w:jc w:val="right"/>
              <w:ind w:right="55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3"/>
                <w:szCs w:val="13"/>
                <w:color w:val="auto"/>
              </w:rPr>
            </w:pPr>
          </w:p>
        </w:tc>
        <w:tc>
          <w:tcPr>
            <w:tcW w:w="1440" w:type="dxa"/>
            <w:vAlign w:val="bottom"/>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3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350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70.4</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49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44.5</w:t>
            </w: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49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24.8</w:t>
            </w:r>
          </w:p>
        </w:tc>
        <w:tc>
          <w:tcPr>
            <w:tcW w:w="1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3"/>
        </w:trPr>
        <w:tc>
          <w:tcPr>
            <w:tcW w:w="31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Goodyear worldwide tire units</w:t>
            </w:r>
          </w:p>
        </w:tc>
        <w:tc>
          <w:tcPr>
            <w:tcW w:w="35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126.0</w:t>
            </w:r>
          </w:p>
        </w:tc>
        <w:tc>
          <w:tcPr>
            <w:tcW w:w="1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155.3</w:t>
            </w:r>
          </w:p>
        </w:tc>
        <w:tc>
          <w:tcPr>
            <w:tcW w:w="1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159.2</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replacement and OE tire unit sales during the periods indicated were: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5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GOODYEAR’S ANNUAL TIRE UNIT SALES — REPLACEMENT AND OE</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376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90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1420" w:type="dxa"/>
            <w:vAlign w:val="bottom"/>
          </w:tcPr>
          <w:p>
            <w:pPr>
              <w:jc w:val="right"/>
              <w:ind w:right="5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580" w:type="dxa"/>
            <w:vAlign w:val="bottom"/>
            <w:gridSpan w:val="2"/>
          </w:tcPr>
          <w:p>
            <w:pPr>
              <w:jc w:val="right"/>
              <w:ind w:right="55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3"/>
                <w:szCs w:val="13"/>
                <w:color w:val="auto"/>
              </w:rPr>
            </w:pPr>
          </w:p>
        </w:tc>
        <w:tc>
          <w:tcPr>
            <w:tcW w:w="1440" w:type="dxa"/>
            <w:vAlign w:val="bottom"/>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Replacement tire units</w:t>
            </w:r>
          </w:p>
        </w:tc>
        <w:tc>
          <w:tcPr>
            <w:tcW w:w="37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95.0</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115.0</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OE tire units</w:t>
            </w:r>
          </w:p>
        </w:tc>
        <w:tc>
          <w:tcPr>
            <w:tcW w:w="51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31.0</w:t>
            </w: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Goodyear worldwide tire units</w:t>
            </w:r>
          </w:p>
        </w:tc>
        <w:tc>
          <w:tcPr>
            <w:tcW w:w="376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126.0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155.3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159.2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New tires are sold under highly competitive conditions throughout the world. On a worldwide basis, we have two major competitors: Bridgestone (based in Japan) and Michelin (based in France). Other significant competitors include Continental, Cooper, Hankook, Kumho, Nexen, Pirelli, Sumitomo, Toyo, Yokohama and various regional tire manufacturers.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compete with other tire manufacturers on the basis of product design, performance, price and terms, reputation, warranty terms, customer service and consumer convenience. Goodyear and Dunlop branded tires enjoy a high recognition factor and have a reputation for performance and product design. The Kelly, Debica, Sava and Fulda brands and various house brand tire lines offered by us, and tires manufactured and sold by us to private brand customers, compete primarily on the basis of value and price.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consider our tire businesses to be seasonal to any significant degree.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MERICAS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Americas, our largest segment in terms of revenue, develops, manufactures, distributes and sells tires and related products and services in North, Central and South America, and sells tires to various export markets, primarily through intersegment sales. Americas manufactures tires in five plants in the United States, two plants in Canada and five plants in Brazil, Chile, Colombia, Mexico and Peru.</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Americas manufactures and sells tires for automobiles, trucks, buses, earthmoving, mining and industrial equipment, aircraft, and various other applications.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Goodyear brand radial passenger tire lines sold throughout Americas include the Assurance family of product lines for the premium and mid-tier passenger and cross-over utility segments; the Eagle and EfficientGrip Performance families of product lines for the high-performance segment; the Wrangler family of product lines for the sport utility vehicle and light truck segments; as well as the WinterCommand and Ultra Grip family of winter tires. Additionally, we offer Dunlop brand radial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tire lines including Signature and SP Sport for the passenger and performance segments; Grandtrek tire lines for the cross-over and sport utility vehicle and light truck segments; and SP Winter, Winter Maxx and Grandtrek tire lines for the winter tire segment. Americas also manufactures and sells several lines of Kelly brand radial tires for passenger cars and light trucks including the Kelly Edge A/S, Edge HP and Edge AT. Our Americas commercial business provides commercial truck tires, retreads, services and business solutions to trucking fleets. Americas also:</w:t>
      </w:r>
    </w:p>
    <w:p>
      <w:pPr>
        <w:spacing w:after="0" w:line="72" w:lineRule="exact"/>
        <w:rPr>
          <w:sz w:val="20"/>
          <w:szCs w:val="20"/>
          <w:color w:val="auto"/>
        </w:rPr>
      </w:pPr>
    </w:p>
    <w:p>
      <w:pPr>
        <w:ind w:left="760" w:hanging="374"/>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tread rubber and other tire retreading materials for trucks, heavy equipment and aviation,</w:t>
      </w:r>
    </w:p>
    <w:p>
      <w:pPr>
        <w:spacing w:after="0" w:line="2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retreads truck, aviation and OTR tires, primarily as a service to its commercial customers,</w:t>
      </w:r>
    </w:p>
    <w:p>
      <w:pPr>
        <w:spacing w:after="0" w:line="9" w:lineRule="exact"/>
        <w:rPr>
          <w:rFonts w:ascii="Times New Roman" w:cs="Times New Roman" w:eastAsia="Times New Roman" w:hAnsi="Times New Roman"/>
          <w:sz w:val="18"/>
          <w:szCs w:val="18"/>
          <w:color w:val="auto"/>
        </w:rPr>
      </w:pPr>
    </w:p>
    <w:p>
      <w:pPr>
        <w:ind w:left="760" w:hanging="374"/>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sells products and installation services online through our websites, </w:t>
      </w:r>
      <w:r>
        <w:rPr>
          <w:rFonts w:ascii="Times New Roman" w:cs="Times New Roman" w:eastAsia="Times New Roman" w:hAnsi="Times New Roman"/>
          <w:sz w:val="18"/>
          <w:szCs w:val="18"/>
          <w:u w:val="single" w:color="auto"/>
          <w:color w:val="auto"/>
        </w:rPr>
        <w:t>www.goodyear.com</w:t>
      </w:r>
      <w:r>
        <w:rPr>
          <w:rFonts w:ascii="Times New Roman" w:cs="Times New Roman" w:eastAsia="Times New Roman" w:hAnsi="Times New Roman"/>
          <w:sz w:val="18"/>
          <w:szCs w:val="18"/>
          <w:color w:val="auto"/>
        </w:rPr>
        <w:t xml:space="preserve"> for consumer tires and </w:t>
      </w:r>
      <w:r>
        <w:rPr>
          <w:rFonts w:ascii="Times New Roman" w:cs="Times New Roman" w:eastAsia="Times New Roman" w:hAnsi="Times New Roman"/>
          <w:sz w:val="18"/>
          <w:szCs w:val="18"/>
          <w:u w:val="single" w:color="auto"/>
          <w:color w:val="auto"/>
        </w:rPr>
        <w:t>www.goodyeartrucktires.com</w:t>
      </w:r>
      <w:r>
        <w:rPr>
          <w:rFonts w:ascii="Times New Roman" w:cs="Times New Roman" w:eastAsia="Times New Roman" w:hAnsi="Times New Roman"/>
          <w:sz w:val="18"/>
          <w:szCs w:val="18"/>
          <w:color w:val="auto"/>
        </w:rPr>
        <w:t xml:space="preserve"> for commercial tires,</w:t>
      </w:r>
    </w:p>
    <w:p>
      <w:pPr>
        <w:ind w:left="760" w:right="20" w:hanging="374"/>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automotive maintenance and repair services at approximately 570 Company-owned retail outlets primarily under the Goodyear or Just Tires names,</w:t>
      </w:r>
    </w:p>
    <w:p>
      <w:pPr>
        <w:ind w:left="760" w:hanging="374"/>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trucking fleets with new tires, retreads, mechanical service, preventative maintenance and roadside assistance from approximately 220 Company-owned locations, primarily Goodyear Commercial Tire &amp; Service Centers,</w:t>
      </w:r>
    </w:p>
    <w:p>
      <w:pPr>
        <w:ind w:left="760" w:hanging="374"/>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sells automotive repair and maintenance items, automotive equipment and accessories and other items to dealers and consumers,</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sells chemical products and natural rubber to Goodyear’s other business segments and to unaffiliated customers, and</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miscellaneous other products and services.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2020, Americas launched several new consumer tires under the Goodyear brand, including the Goodyear WinterCommand Ultra. Americas commercial business launched new tires under the Goodyear FuelMax, Goodyear Endurance, Goodyear KMAX, Goodyear UrbanMax and Kelly Armorsteel lines to service our long haul, regional, mixed service and city service customers.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2018, we formed a 50/50 joint venture with Bridgestone Americas, Inc. (“Bridgestone”) that combined our Company-owned wholesale distribution business and Bridgestone’s tire wholesale warehouse business to create TireHub, LLC (“TireHub”), a national tire distributor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Tire unit sales to replacement and OE customers served by Americas during the periods indicated were: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5360" w:type="dxa"/>
            <w:vAlign w:val="bottom"/>
            <w:gridSpan w:val="2"/>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AMERICAS UNIT SALES — REPLACEMENT AND OE</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394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720" w:type="dxa"/>
            <w:vAlign w:val="bottom"/>
            <w:vMerge w:val="continue"/>
          </w:tcPr>
          <w:p>
            <w:pPr>
              <w:spacing w:after="0"/>
              <w:rPr>
                <w:sz w:val="13"/>
                <w:szCs w:val="13"/>
                <w:color w:val="auto"/>
              </w:rPr>
            </w:pPr>
          </w:p>
        </w:tc>
        <w:tc>
          <w:tcPr>
            <w:tcW w:w="3940" w:type="dxa"/>
            <w:vAlign w:val="bottom"/>
          </w:tcPr>
          <w:p>
            <w:pPr>
              <w:spacing w:after="0"/>
              <w:rPr>
                <w:sz w:val="13"/>
                <w:szCs w:val="13"/>
                <w:color w:val="auto"/>
              </w:rPr>
            </w:pPr>
          </w:p>
        </w:tc>
        <w:tc>
          <w:tcPr>
            <w:tcW w:w="1420" w:type="dxa"/>
            <w:vAlign w:val="bottom"/>
          </w:tcPr>
          <w:p>
            <w:pPr>
              <w:jc w:val="right"/>
              <w:ind w:right="5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580" w:type="dxa"/>
            <w:vAlign w:val="bottom"/>
            <w:gridSpan w:val="2"/>
          </w:tcPr>
          <w:p>
            <w:pPr>
              <w:jc w:val="right"/>
              <w:ind w:right="55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3"/>
                <w:szCs w:val="13"/>
                <w:color w:val="auto"/>
              </w:rPr>
            </w:pPr>
          </w:p>
        </w:tc>
        <w:tc>
          <w:tcPr>
            <w:tcW w:w="1440" w:type="dxa"/>
            <w:vAlign w:val="bottom"/>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2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Replacement tire units</w:t>
            </w:r>
          </w:p>
        </w:tc>
        <w:tc>
          <w:tcPr>
            <w:tcW w:w="39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OE tire units</w:t>
            </w:r>
          </w:p>
        </w:tc>
        <w:tc>
          <w:tcPr>
            <w:tcW w:w="5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12.3</w:t>
            </w: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2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tire units</w:t>
            </w:r>
          </w:p>
        </w:tc>
        <w:tc>
          <w:tcPr>
            <w:tcW w:w="394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56.7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70.9</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Americas is a major supplier of tires to most manufacturers of automobiles, trucks, buses, aircraft, and earthmoving, mining and industrial equipment that have production facilities located in the Americas.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Americas' primary competitors are Bridgestone and Michelin. Other significant competitors include Continental, Cooper, Nexen, Pirelli, and imports from other regions, primarily Asia.</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channel for the sale of Goodyear brand tires in Americas is a large network of independent dealers. Goodyear, Dunlop and Kelly brand tires are also sold to numerous national and regional retailers, in Goodyear Company-owned stores in the United States, and through the wholesale channel, including through TireHub, our sole national wholesale tire distributor in the United States, and a network of aligned U.S. regional wholesale tire distributors.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sold in the United States are subject to Federal Motor Vehicle Safety Standards (“FMVSS”) promulgated and enforced by the National Highway Traffic Safety Administration (“NHTSA”), which has established various standards and regulations applicable to tires sold in the United States and tires sold in a foreign country that are identical or substantially similar to tires sold in the United States. NHTSA has the authority to order the recall of automotive products, including tires, having a defect related to motor vehicle safety or that do not comply with a motor vehicle safety standard. In addition, the Transportation Recall Enhancement, Accountability, and Documentation Act (the “TREAD Act”) imposes numerous reporting requirements with respect to the early warning reporting of warranty claims, property damage claims, and bodily injury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fatality claims. The FMVSS also require tire manufacturers to comply with rigorous tire testing standards. Compliance with these regulations has increased the cost of producing and distributing tires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UROPE,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IDDLE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AST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FRICA</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Europe, Middle East and Africa, our second largest segment in terms of revenue, develops, manufactures, distributes and sells tires for automobiles, trucks, buses, aircraft, motorcycles, and earthmoving, mining and industrial equipment throughout Europe, the Middle East and Africa under the Goodyear, Dunlop, Debica, Sava and Fulda brands and other house brands, and sells tires to various export markets, primarily through intersegment sales. EMEA manufactures tires in thirteen plants in France, Germany, Luxembourg, Poland, Slovenia, South Africa and Turkey. EMEA also:</w:t>
      </w:r>
    </w:p>
    <w:p>
      <w:pPr>
        <w:spacing w:after="0" w:line="72" w:lineRule="exact"/>
        <w:rPr>
          <w:sz w:val="20"/>
          <w:szCs w:val="20"/>
          <w:color w:val="auto"/>
        </w:rPr>
      </w:pPr>
    </w:p>
    <w:p>
      <w:pPr>
        <w:ind w:left="760" w:hanging="374"/>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sells aviation tires and manufactures and sells retreaded aviation tires,</w:t>
      </w:r>
    </w:p>
    <w:p>
      <w:pPr>
        <w:spacing w:after="0" w:line="2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various retreading and related services for truck and OTR tires, primarily for its commercial truck tire customers,</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automotive repair services at Company-owned retail outlets, and</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miscellaneous other products and services.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2020, EMEA launched a number of new consumer tires under the Goodyear, Dunlop, Debica, Sava and Fulda brands, including the Goodyear EfficientGrip Performance 2 for the high performance segment and the Goodyear Vector 4Seasons Gen-3 and Dunlop Sport All Season tire for the all-season segment. EMEA also introduced a number of commercial truck tires, including line extensions of the FuelMax Gen-2 and KMAX Gen-2.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Tire unit sales to replacement and OE customers served by EMEA during the periods indicated were: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75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EUROPE, MIDDLE EAST AND AFRICA UNIT SALES — REPLACEMENT AND OE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22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44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60" w:type="dxa"/>
            <w:vAlign w:val="bottom"/>
            <w:vMerge w:val="continue"/>
          </w:tcPr>
          <w:p>
            <w:pPr>
              <w:spacing w:after="0"/>
              <w:rPr>
                <w:sz w:val="13"/>
                <w:szCs w:val="13"/>
                <w:color w:val="auto"/>
              </w:rPr>
            </w:pPr>
          </w:p>
        </w:tc>
        <w:tc>
          <w:tcPr>
            <w:tcW w:w="4400" w:type="dxa"/>
            <w:vAlign w:val="bottom"/>
          </w:tcPr>
          <w:p>
            <w:pPr>
              <w:spacing w:after="0"/>
              <w:rPr>
                <w:sz w:val="13"/>
                <w:szCs w:val="13"/>
                <w:color w:val="auto"/>
              </w:rPr>
            </w:pPr>
          </w:p>
        </w:tc>
        <w:tc>
          <w:tcPr>
            <w:tcW w:w="1420" w:type="dxa"/>
            <w:vAlign w:val="bottom"/>
          </w:tcPr>
          <w:p>
            <w:pPr>
              <w:jc w:val="right"/>
              <w:ind w:right="5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580" w:type="dxa"/>
            <w:vAlign w:val="bottom"/>
            <w:gridSpan w:val="2"/>
          </w:tcPr>
          <w:p>
            <w:pPr>
              <w:jc w:val="right"/>
              <w:ind w:right="55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3"/>
                <w:szCs w:val="13"/>
                <w:color w:val="auto"/>
              </w:rPr>
            </w:pPr>
          </w:p>
        </w:tc>
        <w:tc>
          <w:tcPr>
            <w:tcW w:w="1440" w:type="dxa"/>
            <w:vAlign w:val="bottom"/>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2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Replacement tire units</w:t>
            </w:r>
          </w:p>
        </w:tc>
        <w:tc>
          <w:tcPr>
            <w:tcW w:w="440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OE tire units</w:t>
            </w:r>
          </w:p>
        </w:tc>
        <w:tc>
          <w:tcPr>
            <w:tcW w:w="58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10.5</w:t>
            </w: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3"/>
        </w:trPr>
        <w:tc>
          <w:tcPr>
            <w:tcW w:w="22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tire units</w:t>
            </w:r>
          </w:p>
        </w:tc>
        <w:tc>
          <w:tcPr>
            <w:tcW w:w="440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44.5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57.8</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EMEA is a significant supplier of tires to most vehicle manufacturers across the region.</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EMEA’s primary competitors are Michelin, Bridgestone, Continental, Pirelli, several regional and local tire producers, and imports from other regions, primarily Asia.</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Goodyear and Dunlop brand tires are sold for replacement in EMEA through various channels of distribution, principally independent multi-brand tire dealers. In some areas, Goodyear brand tires, as well as Dunlop, Debica, Sava and Fulda brand tires, are distributed through independent dealers, regional distributors and retail outlets, of which approximately 80 are owned by Goodyear. In 2020, we took actions to better align our European distribution network in order to capture the full value of our products and brands in the marketplace.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European operations are subject to regulation by the European Union. The Tire Safety Regulation sets performance standards that tires for cars and light and commercial trucks need to meet for rolling resistance, wet grip braking (passenger car tires only) and noise in order to be sold in the European Union. The Tire Labeling Regulation applies to all passenger car, light truck and commercial truck tires and requires that consumers be informed about the tire's fuel efficiency, wet grip and noise characteristics.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SIA</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ACIFIC</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Asia Pacific segment develops, manufactures, distributes and sells tires for automobiles, trucks, buses, aircraft, farm, and earthmoving, mining and industrial equipment throughout the Asia Pacific region, and sells tires to various export markets, primarily through intersegment sales. Asia Pacific manufactures tires in seven plants in China, India, Indonesia, Japan, Malaysia and Thailand. Asia Pacific also:</w:t>
      </w:r>
    </w:p>
    <w:p>
      <w:pPr>
        <w:spacing w:after="0" w:line="68" w:lineRule="exact"/>
        <w:rPr>
          <w:sz w:val="20"/>
          <w:szCs w:val="20"/>
          <w:color w:val="auto"/>
        </w:rPr>
      </w:pPr>
    </w:p>
    <w:p>
      <w:pPr>
        <w:ind w:left="760" w:hanging="374"/>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retreads truck tires and aviation tires,</w:t>
      </w:r>
    </w:p>
    <w:p>
      <w:pPr>
        <w:spacing w:after="0" w:line="2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tread rubber and other tire retreading materials for aviation tires,</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automotive maintenance and repair services at Company-owned retail outlets, and</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miscellaneous other products and services.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2020, Asia Pacific released new consumer tires under the Goodyear brand, including the Goodyear Eagle F1 Sport which builds on the 2019 launches of the Eagle F1 Asymmetric 5 and Eagle F1 SuperSport to complete the renewal of the Asia Pacific sport segment. Additionally, we released the EfficientGrip Performance 2 for the passenger luxury segment and, in Japan, the EfficientGrip ECO EG02 for the passenger broad market segment. Asia Pacific also launched two new commercial tires: the S800 to meet increasing mid-size urban bus requirements and the KMAX T210 to meet more demanding requirements of long haul logistics fleets.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Tire unit sales to replacement and OE customers served by Asia Pacific during the periods indicated were: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5400" w:type="dxa"/>
            <w:vAlign w:val="bottom"/>
            <w:gridSpan w:val="2"/>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ASIA PACIFIC UNIT SALES — REPLACEMENT AND OE</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2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398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680" w:type="dxa"/>
            <w:vAlign w:val="bottom"/>
            <w:vMerge w:val="continue"/>
          </w:tcPr>
          <w:p>
            <w:pPr>
              <w:spacing w:after="0"/>
              <w:rPr>
                <w:sz w:val="13"/>
                <w:szCs w:val="13"/>
                <w:color w:val="auto"/>
              </w:rPr>
            </w:pPr>
          </w:p>
        </w:tc>
        <w:tc>
          <w:tcPr>
            <w:tcW w:w="3980" w:type="dxa"/>
            <w:vAlign w:val="bottom"/>
          </w:tcPr>
          <w:p>
            <w:pPr>
              <w:spacing w:after="0"/>
              <w:rPr>
                <w:sz w:val="13"/>
                <w:szCs w:val="13"/>
                <w:color w:val="auto"/>
              </w:rPr>
            </w:pPr>
          </w:p>
        </w:tc>
        <w:tc>
          <w:tcPr>
            <w:tcW w:w="1420" w:type="dxa"/>
            <w:vAlign w:val="bottom"/>
          </w:tcPr>
          <w:p>
            <w:pPr>
              <w:jc w:val="right"/>
              <w:ind w:right="5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580" w:type="dxa"/>
            <w:vAlign w:val="bottom"/>
            <w:gridSpan w:val="2"/>
          </w:tcPr>
          <w:p>
            <w:pPr>
              <w:jc w:val="right"/>
              <w:ind w:right="55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3"/>
                <w:szCs w:val="13"/>
                <w:color w:val="auto"/>
              </w:rPr>
            </w:pPr>
          </w:p>
        </w:tc>
        <w:tc>
          <w:tcPr>
            <w:tcW w:w="1440" w:type="dxa"/>
            <w:vAlign w:val="bottom"/>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2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Replacement tire units</w:t>
            </w:r>
          </w:p>
        </w:tc>
        <w:tc>
          <w:tcPr>
            <w:tcW w:w="398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9"/>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OE tire units</w:t>
            </w:r>
          </w:p>
        </w:tc>
        <w:tc>
          <w:tcPr>
            <w:tcW w:w="5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8.2</w:t>
            </w: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3"/>
        </w:trPr>
        <w:tc>
          <w:tcPr>
            <w:tcW w:w="26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tire units</w:t>
            </w:r>
          </w:p>
        </w:tc>
        <w:tc>
          <w:tcPr>
            <w:tcW w:w="398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24.8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30.5</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Asia Pacific’s major competitors are Bridgestone and Michelin along with many other global brands present in different parts of the region, including Continental, Dunlop, Hankook and a large number of regional and local tire producers.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Asia Pacific sells primarily Goodyear brand tires throughout the region and also sells the Dunlop brand in Australia and New Zealand. Other brands of tires, such as Remington, Kelly and Diamondback, are sold in smaller quantities. Tires are sold through a network of licensed and franchised retail stores and multi-brand retailers through a network of wholesale dealers as well as through an increasing number of on-line outlets. In Australia, we also operate a network of approximately 180 retail stores under the Beaurepaires brand.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BUSINESS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Availability of Raw Materials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raw materials used by Goodyear are synthetic and natural rubber. Synthetic rubber accounts for approximately 52% of all rubber consumed by us on an annual basis. Our plants located in Beaumont and Houston, Texas supply a major portion of our global synthetic rubber requirements. We purchase all of our requirements for natural rubber in the world market.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important raw materials and components we use are carbon black, steel cord, fabrics and petrochemical-based commodities. Substantially all of these raw materials and components are purchased from independent suppliers, except for certain chemicals we manufacture. We purchase most raw materials and components in significant quantities from several suppliers, except in those instances where only one or a few qualified sources are available. We anticipate the continued availability of all raw materials and components we will require during 2021, subject to spot shortages and unexpected disruptions caused by the ongoing COVID-19 pandemic, natural disasters, such as hurricanes, and other events.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 quantities of fuel and other petrochemical-based commodities are used in the production of tires, synthetic rubber and other products. Supplies of such fuels and commodities have been and are expected to continue to be available to us in quantities sufficient to satisfy our anticipated requirements, subject to spot shortages.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2020, we employed approximately 62,000 full-time and temporary associates throughout the world, including approximately 36,000 associates covered under collective bargaining agreements. During 2020, our employment of full-time and temporary associates decreased by approximately 1,000 people, primarily related to the permanent closure of our Gadsden, Alabama manufacturing facility. Approximately 5,700 of our associates in the United States are covered by a master collective bargaining agreement with the United Steelworkers ("USW"), which expires in July 2022. In addition, approximately 800 of our associates in the United States are covered by other contracts with the USW and various other unions. Approximately 20,000 of our associates outside of the United States are covered by union contracts that currently have expired or that will expire in 2021, primarily in Germany, Luxembourg, China, Slovenia, France, Turkey, India and Mexico. Unions represent a major portion of our associates in the United States and Europe.</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Engaging and enabling our associates to realize their full potential is one of our core strategies. This starts with attracting top diverse talent and is followed by fostering inclusion, offering opportunities for skill and career development, promoting health and wellness, providing a safe and healthy workplace, making a positive impact in our communities, and expecting our associates to know and comply with our compliance and ethics policies.</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Talent Management — </w:t>
      </w:r>
      <w:r>
        <w:rPr>
          <w:rFonts w:ascii="Times New Roman" w:cs="Times New Roman" w:eastAsia="Times New Roman" w:hAnsi="Times New Roman"/>
          <w:sz w:val="18"/>
          <w:szCs w:val="18"/>
          <w:color w:val="auto"/>
        </w:rPr>
        <w:t>Our associates are the driving force behind our success. They underpin every aspect of our strategy and help us deliver value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shareholders and communities. We provide integrated talent management and learning solutions aimed at enabling our associates to reach their full personal and professional potential at Goodyear. We are guided by our talent strategy which focuses on talent attraction, talent development, talent engagement and retention, as well as succession planning. An example of how we attract talent is through campus recruiting into our intern and job rotational programs utilized by several of our functional teams. We offer a number of tools for talent development including The Goodyear Learning Center, which is our in-house collection of online courses available to all associates. In our manufacturing plants, one of the pillars of our plant optimization efforts is Continuous Skills Development, which focuses on developing problem-solving and decision-making skills.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Diversity and Inclusion — </w:t>
      </w:r>
      <w:r>
        <w:rPr>
          <w:rFonts w:ascii="Times New Roman" w:cs="Times New Roman" w:eastAsia="Times New Roman" w:hAnsi="Times New Roman"/>
          <w:sz w:val="18"/>
          <w:szCs w:val="18"/>
          <w:color w:val="auto"/>
        </w:rPr>
        <w:t>A diverse workforce is critical to our long-term success. Embracing and valuing differences allows us to attract top talent,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associate satisfaction and engagement, foster innovation, and meld varying experiences and perspectives to drive enhanced customer service, business creativity and decision-making. Our goal is to create a work environment where people have a real sense of belonging and are able to thrive. Our commitment is reflected in the policies that govern our workforce, such as our Business Conduct Manual and Global Zero Tolerance policy and is evidenced in our recruiting strategies, succession planning, diversity and inclusion training and Employee Resource Groups (“ERGs”), which are key to our inclusion efforts. Our ERGs provide associates access to coaching, mentoring and professional development, and include the Goodyear Black Network, Goodyear Veterans Association, Goodyear Women’s Network, Goodyear Pride Network, HOLA (Hispanic/Latino), Next Generation Leaders and Goodyear Asia India Middle East (AIM).</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Health and Wellness — </w:t>
      </w:r>
      <w:r>
        <w:rPr>
          <w:rFonts w:ascii="Times New Roman" w:cs="Times New Roman" w:eastAsia="Times New Roman" w:hAnsi="Times New Roman"/>
          <w:sz w:val="18"/>
          <w:szCs w:val="18"/>
          <w:color w:val="auto"/>
        </w:rPr>
        <w:t>Our wellness initiatives take a holistic view of associate health, including physical, emotional, financial and social health, to enable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associates to thrive and bring their best selves to work each day. Goodyear strives to be at the forefront of corporate wellness, and that goal is the driver behind our “GoodLife” wellness program, which is led by our Chief Health Officer, in order to foster a culture of wellness for all Goodyear associates and their families. To meet the needs of our diverse workforce, retirees and their dependents, we offer varying robust benefits packages for our full-time and part-time associates globally.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Workforce Safety and Wellness — </w:t>
      </w:r>
      <w:r>
        <w:rPr>
          <w:rFonts w:ascii="Times New Roman" w:cs="Times New Roman" w:eastAsia="Times New Roman" w:hAnsi="Times New Roman"/>
          <w:sz w:val="18"/>
          <w:szCs w:val="18"/>
          <w:color w:val="auto"/>
        </w:rPr>
        <w:t>Our vision is to have the safest operations in the world. We have established a goal of eliminating all serious injuries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fatalities in our workplace. To reduce the risk of serious injuries we invest in systems that enable us to receive reliable and structured data to enable decision making. We also work to improve our industrial hygiene to prevent work-related illness from noise and the substances used in the manufacturing process and we focus on ergonomics using a six-step problem-solving process to reduce injuries and maximize workplace performance.</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Community Engagement — </w:t>
      </w:r>
      <w:r>
        <w:rPr>
          <w:rFonts w:ascii="Times New Roman" w:cs="Times New Roman" w:eastAsia="Times New Roman" w:hAnsi="Times New Roman"/>
          <w:sz w:val="18"/>
          <w:szCs w:val="18"/>
          <w:color w:val="auto"/>
        </w:rPr>
        <w:t>Collaborating with community organizations energizes our associates and helps us build a better future. Our global strategy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efforts are an extension of our business and are aimed at safe mobility, inspiring students to reach their full potential and reducing our environmental impacts. We encourage our associates to participate in our Global Week of Volunteering.</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Compliance and Ethics — </w:t>
      </w:r>
      <w:r>
        <w:rPr>
          <w:rFonts w:ascii="Times New Roman" w:cs="Times New Roman" w:eastAsia="Times New Roman" w:hAnsi="Times New Roman"/>
          <w:sz w:val="18"/>
          <w:szCs w:val="18"/>
          <w:color w:val="auto"/>
        </w:rPr>
        <w:t>To “Act with Integrity” is a core component of our global strategy. Each associate is responsible for acting with honesty,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integrity and respect every day and everywhere we do business. Our Business Conduct Manual guides our Board of Directors, executive team and all associates globally. We require our global salaried associates to complete training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annually on our Business Conduct Manual and periodically on subjects such as competition law, anti-corruption and anti-bribery, and being a compliance leader.</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"Overview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Results of Operations" included in Item 7, "Management’s Discussion and Analysis of Financial Condition and Results of Operations" for information on the human capital management actions we have taken in response to the COVID-19 pandemic.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approximately 1,800 product, process and equipment patents issued by the United States Patent Office and approximately 3,600 patents issued or granted in other countries around the world. We have approximately 400 applications for United States patents pending and approximately 800 patent applications on file in other countries around the world. While such patents and patent applications as a group are important, we do not consider any patent or patent application to be of such importance that the loss or expiration thereof would materially affect Goodyear or any business segment.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control or use approximately 1,500 different trademarks, including several using the word “Goodyear” or the word “Dunlop.” Approximately 8,300 registrations and 300 pending applications worldwide protect these trademarks. While such trademarks as a group are important, the only trademarks we consider material to our business, or to the business of any of our segments, are those using the word “Goodyear,” and with respect to certain of our international business segments, those using the word “Dunlop.” We believe our trademarks are valid and most are of unlimited duration as long as they are adequately protected and appropriately used.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Government Regulations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extensive regulation under environmental and occupational safety and health laws and regulations worldwide. These laws and regulations relate to, among other things, air emissions, discharges to surface and underground waters, the generation, handling, storage, transportation and disposal of waste materials and hazardous substances, and workplace safety and health. We have several continuing programs designed to ensure compliance with foreign, federal, state and local environmental and occupational safety and health laws and regulations. We expect capital expenditures for pollution control facilities and occupational safety and health projects to be approximately $40 million and $35 million in 2021 and 2022, respectively.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incur ongoing expenses to maintain and operate our pollution control facilities and conduct our other environmental activities, including the control and disposal of hazardous substances. These expenditures are expected to be sufficient to comply with existing environmental laws and regulations and are not expected to have a material adverse effect on our competitive position. In the future, we may incur increased costs and additional charges associated with environmental compliance and cleanup projects necessitated by the identification of new waste sites, the impact of new environmental laws and regulatory standards, or the availability of new technologies. Compliance with foreign, federal, state and local environmental laws and regulations in the future may require a material increase in our capital expenditures and could adversely affect our earnings and competitive position.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compliance with complex foreign and U.S. laws and regulations that apply to our international operations increases our cost of doing business in international jurisdictions. These numerous and sometimes conflicting laws and regulations include import and export laws, anti-competition laws, anti-corruption laws, such as the U.S. Foreign Corrupt Practices Act and the U.K. Bribery Act, and other local laws prohibiting corrupt payments to governmental officials, data privacy laws such as the European Union's General Data Protection Regulation, tax laws, and accounting, internal control and disclosure requirements.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“Description of Goodyear’s Business – Americas” and “Description of Goodyear’s Business – Europe, Middle East and Africa” included in this Item 1, “Business” for information regarding compliance with government regulations in each of those segments.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Set forth below are: (1) the names and ages of all executive officers of the Company at February 9, 2021, (2) all positions with the Company presently held by each such person, and (3) the positions held by, and principal areas of responsibility of, each such person during the last five years.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6"/>
                <w:szCs w:val="16"/>
                <w:color w:val="auto"/>
              </w:rPr>
            </w:pPr>
          </w:p>
        </w:tc>
        <w:tc>
          <w:tcPr>
            <w:tcW w:w="6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60" w:type="dxa"/>
            <w:vAlign w:val="bottom"/>
          </w:tcPr>
          <w:p>
            <w:pPr>
              <w:spacing w:after="0"/>
              <w:rPr>
                <w:sz w:val="16"/>
                <w:szCs w:val="16"/>
                <w:color w:val="auto"/>
              </w:rPr>
            </w:pPr>
          </w:p>
        </w:tc>
        <w:tc>
          <w:tcPr>
            <w:tcW w:w="6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395"/>
        </w:trPr>
        <w:tc>
          <w:tcPr>
            <w:tcW w:w="35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Richard J. Kramer</w:t>
            </w:r>
          </w:p>
        </w:tc>
        <w:tc>
          <w:tcPr>
            <w:tcW w:w="7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Chairman of the Board, Chief Executive Officer</w:t>
            </w:r>
          </w:p>
        </w:tc>
        <w:tc>
          <w:tcPr>
            <w:tcW w:w="600" w:type="dxa"/>
            <w:vAlign w:val="bottom"/>
          </w:tcPr>
          <w:p>
            <w:pPr>
              <w:jc w:val="right"/>
              <w:ind w:right="179"/>
              <w:spacing w:after="0"/>
              <w:rPr>
                <w:sz w:val="20"/>
                <w:szCs w:val="20"/>
                <w:color w:val="auto"/>
              </w:rPr>
            </w:pPr>
            <w:r>
              <w:rPr>
                <w:rFonts w:ascii="Times New Roman" w:cs="Times New Roman" w:eastAsia="Times New Roman" w:hAnsi="Times New Roman"/>
                <w:sz w:val="18"/>
                <w:szCs w:val="18"/>
                <w:b w:val="1"/>
                <w:bCs w:val="1"/>
                <w:color w:val="auto"/>
              </w:rPr>
              <w:t>57</w:t>
            </w:r>
          </w:p>
        </w:tc>
      </w:tr>
      <w:tr>
        <w:trPr>
          <w:trHeight w:val="238"/>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and President</w:t>
            </w:r>
          </w:p>
        </w:tc>
        <w:tc>
          <w:tcPr>
            <w:tcW w:w="600" w:type="dxa"/>
            <w:vAlign w:val="bottom"/>
          </w:tcPr>
          <w:p>
            <w:pPr>
              <w:spacing w:after="0"/>
              <w:rPr>
                <w:sz w:val="20"/>
                <w:szCs w:val="20"/>
                <w:color w:val="auto"/>
              </w:rPr>
            </w:pPr>
          </w:p>
        </w:tc>
      </w:tr>
    </w:tbl>
    <w:p>
      <w:pPr>
        <w:spacing w:after="0" w:line="36" w:lineRule="exact"/>
        <w:rPr>
          <w:sz w:val="20"/>
          <w:szCs w:val="20"/>
          <w:color w:val="auto"/>
        </w:rPr>
      </w:pPr>
    </w:p>
    <w:p>
      <w:pPr>
        <w:jc w:val="both"/>
        <w:ind w:left="40" w:right="40"/>
        <w:spacing w:after="0" w:line="266" w:lineRule="auto"/>
        <w:rPr>
          <w:sz w:val="20"/>
          <w:szCs w:val="20"/>
          <w:color w:val="auto"/>
        </w:rPr>
      </w:pPr>
      <w:r>
        <w:rPr>
          <w:rFonts w:ascii="Times New Roman" w:cs="Times New Roman" w:eastAsia="Times New Roman" w:hAnsi="Times New Roman"/>
          <w:sz w:val="18"/>
          <w:szCs w:val="18"/>
          <w:color w:val="auto"/>
        </w:rPr>
        <w:t>Mr. Kramer was elected Chief Executive Officer and President in April 2010 and Chairman in October 2010. He is the principal executive officer of the Company. Mr. Kramer joined Goodyear in 2000 and has served as Executive Vice President and Chief Financial Officer (June 2004 to August 2007), President, North America (March 2007 to February 2010) and Chief Operating Officer (June 2009 to April 2010).</w:t>
      </w:r>
    </w:p>
    <w:p>
      <w:pPr>
        <w:spacing w:after="0" w:line="185" w:lineRule="exact"/>
        <w:rPr>
          <w:sz w:val="20"/>
          <w:szCs w:val="20"/>
          <w:color w:val="auto"/>
        </w:rPr>
      </w:pPr>
    </w:p>
    <w:p>
      <w:pPr>
        <w:ind w:left="300"/>
        <w:spacing w:after="0"/>
        <w:tabs>
          <w:tab w:leader="none" w:pos="4940" w:val="left"/>
          <w:tab w:leader="none" w:pos="10780" w:val="left"/>
        </w:tabs>
        <w:rPr>
          <w:sz w:val="20"/>
          <w:szCs w:val="20"/>
          <w:color w:val="auto"/>
        </w:rPr>
      </w:pPr>
      <w:r>
        <w:rPr>
          <w:rFonts w:ascii="Times New Roman" w:cs="Times New Roman" w:eastAsia="Times New Roman" w:hAnsi="Times New Roman"/>
          <w:sz w:val="18"/>
          <w:szCs w:val="18"/>
          <w:b w:val="1"/>
          <w:bCs w:val="1"/>
          <w:color w:val="auto"/>
        </w:rPr>
        <w:t>Darren R. Wells</w:t>
      </w:r>
      <w:r>
        <w:rPr>
          <w:sz w:val="20"/>
          <w:szCs w:val="20"/>
          <w:color w:val="auto"/>
        </w:rPr>
        <w:tab/>
      </w:r>
      <w:r>
        <w:rPr>
          <w:rFonts w:ascii="Times New Roman" w:cs="Times New Roman" w:eastAsia="Times New Roman" w:hAnsi="Times New Roman"/>
          <w:sz w:val="18"/>
          <w:szCs w:val="18"/>
          <w:b w:val="1"/>
          <w:bCs w:val="1"/>
          <w:color w:val="auto"/>
        </w:rPr>
        <w:t>Executive Vice President and Chief Financial Officer</w:t>
      </w:r>
      <w:r>
        <w:rPr>
          <w:sz w:val="20"/>
          <w:szCs w:val="20"/>
          <w:color w:val="auto"/>
        </w:rPr>
        <w:tab/>
      </w:r>
      <w:r>
        <w:rPr>
          <w:rFonts w:ascii="Times New Roman" w:cs="Times New Roman" w:eastAsia="Times New Roman" w:hAnsi="Times New Roman"/>
          <w:sz w:val="18"/>
          <w:szCs w:val="18"/>
          <w:b w:val="1"/>
          <w:bCs w:val="1"/>
          <w:color w:val="auto"/>
        </w:rPr>
        <w:t>55</w:t>
      </w:r>
    </w:p>
    <w:p>
      <w:pPr>
        <w:spacing w:after="0" w:line="67"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8"/>
          <w:szCs w:val="18"/>
          <w:color w:val="auto"/>
        </w:rPr>
        <w:t>Mr. Wells was named Executive Vice President and Chief Financial Officer in September 2018. He is Goodyear’s principal financial officer. Mr. Wells previously served as Goodyear’s Executive Vice President and Chief Financial Officer from October 2008 to November 2013. He first joined Goodyear in 2002 and has also served as President, Europe, Middle East and Africa (December 2013 to December 2015). Prior to rejoining Goodyear, Mr. Wells was an Executive in Residence and MBA Coach at the University of South Florida’s Muma College of Business from January 2018 to September 2018.</w:t>
      </w:r>
    </w:p>
    <w:p>
      <w:pPr>
        <w:spacing w:after="0" w:line="189" w:lineRule="exact"/>
        <w:rPr>
          <w:sz w:val="20"/>
          <w:szCs w:val="20"/>
          <w:color w:val="auto"/>
        </w:rPr>
      </w:pPr>
    </w:p>
    <w:p>
      <w:pPr>
        <w:ind w:left="300"/>
        <w:spacing w:after="0"/>
        <w:tabs>
          <w:tab w:leader="none" w:pos="6200" w:val="left"/>
          <w:tab w:leader="none" w:pos="10780" w:val="left"/>
        </w:tabs>
        <w:rPr>
          <w:sz w:val="20"/>
          <w:szCs w:val="20"/>
          <w:color w:val="auto"/>
        </w:rPr>
      </w:pPr>
      <w:r>
        <w:rPr>
          <w:rFonts w:ascii="Times New Roman" w:cs="Times New Roman" w:eastAsia="Times New Roman" w:hAnsi="Times New Roman"/>
          <w:sz w:val="18"/>
          <w:szCs w:val="18"/>
          <w:b w:val="1"/>
          <w:bCs w:val="1"/>
          <w:color w:val="auto"/>
        </w:rPr>
        <w:t>Stephen R. McClellan</w:t>
      </w:r>
      <w:r>
        <w:rPr>
          <w:sz w:val="20"/>
          <w:szCs w:val="20"/>
          <w:color w:val="auto"/>
        </w:rPr>
        <w:tab/>
      </w:r>
      <w:r>
        <w:rPr>
          <w:rFonts w:ascii="Times New Roman" w:cs="Times New Roman" w:eastAsia="Times New Roman" w:hAnsi="Times New Roman"/>
          <w:sz w:val="18"/>
          <w:szCs w:val="18"/>
          <w:b w:val="1"/>
          <w:bCs w:val="1"/>
          <w:color w:val="auto"/>
        </w:rPr>
        <w:t>President, Americas</w:t>
      </w:r>
      <w:r>
        <w:rPr>
          <w:sz w:val="20"/>
          <w:szCs w:val="20"/>
          <w:color w:val="auto"/>
        </w:rPr>
        <w:tab/>
      </w:r>
      <w:r>
        <w:rPr>
          <w:rFonts w:ascii="Times New Roman" w:cs="Times New Roman" w:eastAsia="Times New Roman" w:hAnsi="Times New Roman"/>
          <w:sz w:val="18"/>
          <w:szCs w:val="18"/>
          <w:b w:val="1"/>
          <w:bCs w:val="1"/>
          <w:color w:val="auto"/>
        </w:rPr>
        <w:t>55</w:t>
      </w:r>
    </w:p>
    <w:p>
      <w:pPr>
        <w:spacing w:after="0" w:line="67" w:lineRule="exact"/>
        <w:rPr>
          <w:sz w:val="20"/>
          <w:szCs w:val="20"/>
          <w:color w:val="auto"/>
        </w:rPr>
      </w:pPr>
    </w:p>
    <w:p>
      <w:pPr>
        <w:jc w:val="both"/>
        <w:ind w:left="40" w:right="40"/>
        <w:spacing w:after="0" w:line="282" w:lineRule="auto"/>
        <w:rPr>
          <w:sz w:val="20"/>
          <w:szCs w:val="20"/>
          <w:color w:val="auto"/>
        </w:rPr>
      </w:pPr>
      <w:r>
        <w:rPr>
          <w:rFonts w:ascii="Times New Roman" w:cs="Times New Roman" w:eastAsia="Times New Roman" w:hAnsi="Times New Roman"/>
          <w:sz w:val="18"/>
          <w:szCs w:val="18"/>
          <w:color w:val="auto"/>
        </w:rPr>
        <w:t>Mr. McClellan was named President, Americas in January 2016. He is the executive officer responsible for Goodyear's operations in North, Central and South America. Mr. McClellan joined Goodyear in 1988.</w:t>
      </w:r>
    </w:p>
    <w:p>
      <w:pPr>
        <w:spacing w:after="0" w:line="171" w:lineRule="exact"/>
        <w:rPr>
          <w:sz w:val="20"/>
          <w:szCs w:val="20"/>
          <w:color w:val="auto"/>
        </w:rPr>
      </w:pPr>
    </w:p>
    <w:p>
      <w:pPr>
        <w:ind w:left="300"/>
        <w:spacing w:after="0"/>
        <w:tabs>
          <w:tab w:leader="none" w:pos="5340" w:val="left"/>
          <w:tab w:leader="none" w:pos="10780" w:val="left"/>
        </w:tabs>
        <w:rPr>
          <w:sz w:val="20"/>
          <w:szCs w:val="20"/>
          <w:color w:val="auto"/>
        </w:rPr>
      </w:pPr>
      <w:r>
        <w:rPr>
          <w:rFonts w:ascii="Times New Roman" w:cs="Times New Roman" w:eastAsia="Times New Roman" w:hAnsi="Times New Roman"/>
          <w:sz w:val="18"/>
          <w:szCs w:val="18"/>
          <w:b w:val="1"/>
          <w:bCs w:val="1"/>
          <w:color w:val="auto"/>
        </w:rPr>
        <w:t>Christopher R. Delaney</w:t>
      </w:r>
      <w:r>
        <w:rPr>
          <w:sz w:val="20"/>
          <w:szCs w:val="20"/>
          <w:color w:val="auto"/>
        </w:rPr>
        <w:tab/>
      </w:r>
      <w:r>
        <w:rPr>
          <w:rFonts w:ascii="Times New Roman" w:cs="Times New Roman" w:eastAsia="Times New Roman" w:hAnsi="Times New Roman"/>
          <w:sz w:val="18"/>
          <w:szCs w:val="18"/>
          <w:b w:val="1"/>
          <w:bCs w:val="1"/>
          <w:color w:val="auto"/>
        </w:rPr>
        <w:t>President, Europe, Middle East and Africa</w:t>
      </w:r>
      <w:r>
        <w:rPr>
          <w:sz w:val="20"/>
          <w:szCs w:val="20"/>
          <w:color w:val="auto"/>
        </w:rPr>
        <w:tab/>
      </w:r>
      <w:r>
        <w:rPr>
          <w:rFonts w:ascii="Times New Roman" w:cs="Times New Roman" w:eastAsia="Times New Roman" w:hAnsi="Times New Roman"/>
          <w:sz w:val="18"/>
          <w:szCs w:val="18"/>
          <w:b w:val="1"/>
          <w:bCs w:val="1"/>
          <w:color w:val="auto"/>
        </w:rPr>
        <w:t>59</w:t>
      </w:r>
    </w:p>
    <w:p>
      <w:pPr>
        <w:spacing w:after="0" w:line="67" w:lineRule="exact"/>
        <w:rPr>
          <w:sz w:val="20"/>
          <w:szCs w:val="20"/>
          <w:color w:val="auto"/>
        </w:rPr>
      </w:pPr>
    </w:p>
    <w:p>
      <w:pPr>
        <w:jc w:val="both"/>
        <w:ind w:left="40" w:right="40"/>
        <w:spacing w:after="0" w:line="266" w:lineRule="auto"/>
        <w:rPr>
          <w:sz w:val="20"/>
          <w:szCs w:val="20"/>
          <w:color w:val="auto"/>
        </w:rPr>
      </w:pPr>
      <w:r>
        <w:rPr>
          <w:rFonts w:ascii="Times New Roman" w:cs="Times New Roman" w:eastAsia="Times New Roman" w:hAnsi="Times New Roman"/>
          <w:sz w:val="18"/>
          <w:szCs w:val="18"/>
          <w:color w:val="auto"/>
        </w:rPr>
        <w:t>Mr. Delaney was named President, Europe, Middle East and Africa in September 2017. He is the executive officer responsible for Goodyear’s operations in Europe, the Middle East and Africa. Mr. Delaney joined Goodyear as President-Elect, Asia Pacific in August 2015, and has served as President, Asia Pacific (January 2016 to September 2017).</w:t>
      </w:r>
    </w:p>
    <w:p>
      <w:pPr>
        <w:spacing w:after="0" w:line="185" w:lineRule="exact"/>
        <w:rPr>
          <w:sz w:val="20"/>
          <w:szCs w:val="20"/>
          <w:color w:val="auto"/>
        </w:rPr>
      </w:pPr>
    </w:p>
    <w:p>
      <w:pPr>
        <w:ind w:left="300"/>
        <w:spacing w:after="0"/>
        <w:tabs>
          <w:tab w:leader="none" w:pos="6120" w:val="left"/>
          <w:tab w:leader="none" w:pos="10780" w:val="left"/>
        </w:tabs>
        <w:rPr>
          <w:sz w:val="20"/>
          <w:szCs w:val="20"/>
          <w:color w:val="auto"/>
        </w:rPr>
      </w:pPr>
      <w:r>
        <w:rPr>
          <w:rFonts w:ascii="Times New Roman" w:cs="Times New Roman" w:eastAsia="Times New Roman" w:hAnsi="Times New Roman"/>
          <w:sz w:val="18"/>
          <w:szCs w:val="18"/>
          <w:b w:val="1"/>
          <w:bCs w:val="1"/>
          <w:color w:val="auto"/>
        </w:rPr>
        <w:t>Ryan G. Patterson</w:t>
      </w:r>
      <w:r>
        <w:rPr>
          <w:sz w:val="20"/>
          <w:szCs w:val="20"/>
          <w:color w:val="auto"/>
        </w:rPr>
        <w:tab/>
      </w:r>
      <w:r>
        <w:rPr>
          <w:rFonts w:ascii="Times New Roman" w:cs="Times New Roman" w:eastAsia="Times New Roman" w:hAnsi="Times New Roman"/>
          <w:sz w:val="18"/>
          <w:szCs w:val="18"/>
          <w:b w:val="1"/>
          <w:bCs w:val="1"/>
          <w:color w:val="auto"/>
        </w:rPr>
        <w:t>President, Asia Pacific</w:t>
      </w:r>
      <w:r>
        <w:rPr>
          <w:sz w:val="20"/>
          <w:szCs w:val="20"/>
          <w:color w:val="auto"/>
        </w:rPr>
        <w:tab/>
      </w:r>
      <w:r>
        <w:rPr>
          <w:rFonts w:ascii="Times New Roman" w:cs="Times New Roman" w:eastAsia="Times New Roman" w:hAnsi="Times New Roman"/>
          <w:sz w:val="18"/>
          <w:szCs w:val="18"/>
          <w:b w:val="1"/>
          <w:bCs w:val="1"/>
          <w:color w:val="auto"/>
        </w:rPr>
        <w:t>47</w:t>
      </w:r>
    </w:p>
    <w:p>
      <w:pPr>
        <w:spacing w:after="0" w:line="67" w:lineRule="exact"/>
        <w:rPr>
          <w:sz w:val="20"/>
          <w:szCs w:val="20"/>
          <w:color w:val="auto"/>
        </w:rPr>
      </w:pPr>
    </w:p>
    <w:p>
      <w:pPr>
        <w:jc w:val="both"/>
        <w:ind w:left="40" w:right="40"/>
        <w:spacing w:after="0" w:line="266" w:lineRule="auto"/>
        <w:rPr>
          <w:sz w:val="20"/>
          <w:szCs w:val="20"/>
          <w:color w:val="auto"/>
        </w:rPr>
      </w:pPr>
      <w:r>
        <w:rPr>
          <w:rFonts w:ascii="Times New Roman" w:cs="Times New Roman" w:eastAsia="Times New Roman" w:hAnsi="Times New Roman"/>
          <w:sz w:val="18"/>
          <w:szCs w:val="18"/>
          <w:color w:val="auto"/>
        </w:rPr>
        <w:t>Mr. Patterson was named President, Asia Pacific in September 2017. He is the executive officer responsible for Goodyear’s operations in Asia, Australia, New Zealand and the Western Pacific. Mr. Patterson joined Goodyear in 2002 and has served as President, North America Consumer (September 2014 to September 2017).</w:t>
      </w:r>
    </w:p>
    <w:p>
      <w:pPr>
        <w:spacing w:after="0" w:line="185" w:lineRule="exact"/>
        <w:rPr>
          <w:sz w:val="20"/>
          <w:szCs w:val="20"/>
          <w:color w:val="auto"/>
        </w:rPr>
      </w:pPr>
    </w:p>
    <w:p>
      <w:pPr>
        <w:ind w:left="300"/>
        <w:spacing w:after="0"/>
        <w:tabs>
          <w:tab w:leader="none" w:pos="4760" w:val="left"/>
          <w:tab w:leader="none" w:pos="10780" w:val="left"/>
        </w:tabs>
        <w:rPr>
          <w:sz w:val="20"/>
          <w:szCs w:val="20"/>
          <w:color w:val="auto"/>
        </w:rPr>
      </w:pPr>
      <w:r>
        <w:rPr>
          <w:rFonts w:ascii="Times New Roman" w:cs="Times New Roman" w:eastAsia="Times New Roman" w:hAnsi="Times New Roman"/>
          <w:sz w:val="18"/>
          <w:szCs w:val="18"/>
          <w:b w:val="1"/>
          <w:bCs w:val="1"/>
          <w:color w:val="auto"/>
        </w:rPr>
        <w:t>Jonathan Bellissimo</w:t>
      </w:r>
      <w:r>
        <w:rPr>
          <w:sz w:val="20"/>
          <w:szCs w:val="20"/>
          <w:color w:val="auto"/>
        </w:rPr>
        <w:tab/>
      </w:r>
      <w:r>
        <w:rPr>
          <w:rFonts w:ascii="Times New Roman" w:cs="Times New Roman" w:eastAsia="Times New Roman" w:hAnsi="Times New Roman"/>
          <w:sz w:val="18"/>
          <w:szCs w:val="18"/>
          <w:b w:val="1"/>
          <w:bCs w:val="1"/>
          <w:color w:val="auto"/>
        </w:rPr>
        <w:t>Senior Vice President, Global Operations and Technology</w:t>
      </w:r>
      <w:r>
        <w:rPr>
          <w:sz w:val="20"/>
          <w:szCs w:val="20"/>
          <w:color w:val="auto"/>
        </w:rPr>
        <w:tab/>
      </w:r>
      <w:r>
        <w:rPr>
          <w:rFonts w:ascii="Times New Roman" w:cs="Times New Roman" w:eastAsia="Times New Roman" w:hAnsi="Times New Roman"/>
          <w:sz w:val="18"/>
          <w:szCs w:val="18"/>
          <w:b w:val="1"/>
          <w:bCs w:val="1"/>
          <w:color w:val="auto"/>
        </w:rPr>
        <w:t>65</w:t>
      </w:r>
    </w:p>
    <w:p>
      <w:pPr>
        <w:spacing w:after="0" w:line="67" w:lineRule="exact"/>
        <w:rPr>
          <w:sz w:val="20"/>
          <w:szCs w:val="20"/>
          <w:color w:val="auto"/>
        </w:rPr>
      </w:pPr>
    </w:p>
    <w:p>
      <w:pPr>
        <w:jc w:val="both"/>
        <w:ind w:left="40" w:right="20"/>
        <w:spacing w:after="0" w:line="261" w:lineRule="auto"/>
        <w:rPr>
          <w:sz w:val="20"/>
          <w:szCs w:val="20"/>
          <w:color w:val="auto"/>
        </w:rPr>
      </w:pPr>
      <w:r>
        <w:rPr>
          <w:rFonts w:ascii="Times New Roman" w:cs="Times New Roman" w:eastAsia="Times New Roman" w:hAnsi="Times New Roman"/>
          <w:sz w:val="18"/>
          <w:szCs w:val="18"/>
          <w:color w:val="auto"/>
        </w:rPr>
        <w:t>Mr. Bellissimo was named Senior Vice President, Global Operations and Technology in January 2019. He is the executive officer responsible for Goodyear’s global manufacturing, supply chain, sales and operations planning, engineering and product quality activities. Mr. Bellissimo joined Goodyear in 1977 and has served as General Director of the Goodyear Innovation Center in Akron, Ohio (January 2010 to August 2016) and Vice President, Americas Product Development &amp; Chemical (September 2016 to December 2018).</w:t>
      </w:r>
    </w:p>
    <w:p>
      <w:pPr>
        <w:spacing w:after="0" w:line="189" w:lineRule="exact"/>
        <w:rPr>
          <w:sz w:val="20"/>
          <w:szCs w:val="20"/>
          <w:color w:val="auto"/>
        </w:rPr>
      </w:pPr>
    </w:p>
    <w:p>
      <w:pPr>
        <w:ind w:left="300"/>
        <w:spacing w:after="0"/>
        <w:tabs>
          <w:tab w:leader="none" w:pos="4780" w:val="left"/>
          <w:tab w:leader="none" w:pos="10780" w:val="left"/>
        </w:tabs>
        <w:rPr>
          <w:sz w:val="20"/>
          <w:szCs w:val="20"/>
          <w:color w:val="auto"/>
        </w:rPr>
      </w:pPr>
      <w:r>
        <w:rPr>
          <w:rFonts w:ascii="Times New Roman" w:cs="Times New Roman" w:eastAsia="Times New Roman" w:hAnsi="Times New Roman"/>
          <w:sz w:val="18"/>
          <w:szCs w:val="18"/>
          <w:b w:val="1"/>
          <w:bCs w:val="1"/>
          <w:color w:val="auto"/>
        </w:rPr>
        <w:t>Laura P. Duda</w:t>
      </w:r>
      <w:r>
        <w:rPr>
          <w:sz w:val="20"/>
          <w:szCs w:val="20"/>
          <w:color w:val="auto"/>
        </w:rPr>
        <w:tab/>
      </w:r>
      <w:r>
        <w:rPr>
          <w:rFonts w:ascii="Times New Roman" w:cs="Times New Roman" w:eastAsia="Times New Roman" w:hAnsi="Times New Roman"/>
          <w:sz w:val="18"/>
          <w:szCs w:val="18"/>
          <w:b w:val="1"/>
          <w:bCs w:val="1"/>
          <w:color w:val="auto"/>
        </w:rPr>
        <w:t>Senior Vice President and Chief Communications Officer</w:t>
      </w:r>
      <w:r>
        <w:rPr>
          <w:sz w:val="20"/>
          <w:szCs w:val="20"/>
          <w:color w:val="auto"/>
        </w:rPr>
        <w:tab/>
      </w:r>
      <w:r>
        <w:rPr>
          <w:rFonts w:ascii="Times New Roman" w:cs="Times New Roman" w:eastAsia="Times New Roman" w:hAnsi="Times New Roman"/>
          <w:sz w:val="18"/>
          <w:szCs w:val="18"/>
          <w:b w:val="1"/>
          <w:bCs w:val="1"/>
          <w:color w:val="auto"/>
        </w:rPr>
        <w:t>51</w:t>
      </w:r>
    </w:p>
    <w:p>
      <w:pPr>
        <w:spacing w:after="0" w:line="67" w:lineRule="exact"/>
        <w:rPr>
          <w:sz w:val="20"/>
          <w:szCs w:val="20"/>
          <w:color w:val="auto"/>
        </w:rPr>
      </w:pPr>
    </w:p>
    <w:p>
      <w:pPr>
        <w:jc w:val="both"/>
        <w:ind w:left="40" w:right="20"/>
        <w:spacing w:after="0" w:line="261" w:lineRule="auto"/>
        <w:rPr>
          <w:sz w:val="20"/>
          <w:szCs w:val="20"/>
          <w:color w:val="auto"/>
        </w:rPr>
      </w:pPr>
      <w:r>
        <w:rPr>
          <w:rFonts w:ascii="Times New Roman" w:cs="Times New Roman" w:eastAsia="Times New Roman" w:hAnsi="Times New Roman"/>
          <w:sz w:val="18"/>
          <w:szCs w:val="18"/>
          <w:color w:val="auto"/>
        </w:rPr>
        <w:t>Ms. Duda was named Senior Vice President and Chief Communications Officer in January 2019. She is the executive officer responsible for Goodyear’s communications activities worldwide. Ms. Duda joined Goodyear as Vice President, Corporate Communications in February 2016, and has served as Vice President, Communications, Americas (July 2016 to December 2018). Prior to joining Goodyear, Ms. Duda was Vice President, Communications at Exelon Corporation, a utility services holding company, from November 2008 to January 2016.</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8"/>
        </w:trPr>
        <w:tc>
          <w:tcPr>
            <w:tcW w:w="3280" w:type="dxa"/>
            <w:vAlign w:val="bottom"/>
            <w:gridSpan w:val="2"/>
          </w:tcPr>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tc>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545"/>
        </w:trPr>
        <w:tc>
          <w:tcPr>
            <w:tcW w:w="312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24"/>
                <w:szCs w:val="24"/>
                <w:color w:val="auto"/>
              </w:rPr>
            </w:pPr>
          </w:p>
        </w:tc>
        <w:tc>
          <w:tcPr>
            <w:tcW w:w="7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60" w:type="dxa"/>
            <w:vAlign w:val="bottom"/>
          </w:tcPr>
          <w:p>
            <w:pPr>
              <w:spacing w:after="0"/>
              <w:rPr>
                <w:sz w:val="24"/>
                <w:szCs w:val="24"/>
                <w:color w:val="auto"/>
              </w:rPr>
            </w:pPr>
          </w:p>
        </w:tc>
        <w:tc>
          <w:tcPr>
            <w:tcW w:w="6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417"/>
        </w:trPr>
        <w:tc>
          <w:tcPr>
            <w:tcW w:w="32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Christopher P. Helsel</w:t>
            </w:r>
          </w:p>
        </w:tc>
        <w:tc>
          <w:tcPr>
            <w:tcW w:w="7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Technology Officer</w:t>
            </w:r>
          </w:p>
        </w:tc>
        <w:tc>
          <w:tcPr>
            <w:tcW w:w="620" w:type="dxa"/>
            <w:vAlign w:val="bottom"/>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55</w:t>
            </w:r>
          </w:p>
        </w:tc>
      </w:tr>
    </w:tbl>
    <w:p>
      <w:pPr>
        <w:spacing w:after="0" w:line="36" w:lineRule="exact"/>
        <w:rPr>
          <w:sz w:val="20"/>
          <w:szCs w:val="20"/>
          <w:color w:val="auto"/>
        </w:rPr>
      </w:pPr>
    </w:p>
    <w:p>
      <w:pPr>
        <w:jc w:val="both"/>
        <w:ind w:left="40" w:right="40"/>
        <w:spacing w:after="0" w:line="266" w:lineRule="auto"/>
        <w:rPr>
          <w:sz w:val="20"/>
          <w:szCs w:val="20"/>
          <w:color w:val="auto"/>
        </w:rPr>
      </w:pPr>
      <w:r>
        <w:rPr>
          <w:rFonts w:ascii="Times New Roman" w:cs="Times New Roman" w:eastAsia="Times New Roman" w:hAnsi="Times New Roman"/>
          <w:sz w:val="18"/>
          <w:szCs w:val="18"/>
          <w:color w:val="auto"/>
        </w:rPr>
        <w:t>Mr. Helsel was named Vice President and Chief Technology Officer in September 2017 and became a Senior Vice President in February 2019. He is the executive officer responsible for Goodyear’s global research and development activities. Mr. Helsel joined Goodyear in 1996 and has served as Director, Retread (January 2013 to February 2017) and Director, North America Commercial and Global Off-Highway Technology (March 2017 to August 2017).</w:t>
      </w:r>
    </w:p>
    <w:p>
      <w:pPr>
        <w:spacing w:after="0" w:line="185" w:lineRule="exact"/>
        <w:rPr>
          <w:sz w:val="20"/>
          <w:szCs w:val="20"/>
          <w:color w:val="auto"/>
        </w:rPr>
      </w:pPr>
    </w:p>
    <w:p>
      <w:pPr>
        <w:ind w:left="300"/>
        <w:spacing w:after="0"/>
        <w:tabs>
          <w:tab w:leader="none" w:pos="5180" w:val="left"/>
          <w:tab w:leader="none" w:pos="10760" w:val="left"/>
        </w:tabs>
        <w:rPr>
          <w:sz w:val="20"/>
          <w:szCs w:val="20"/>
          <w:color w:val="auto"/>
        </w:rPr>
      </w:pPr>
      <w:r>
        <w:rPr>
          <w:rFonts w:ascii="Times New Roman" w:cs="Times New Roman" w:eastAsia="Times New Roman" w:hAnsi="Times New Roman"/>
          <w:sz w:val="18"/>
          <w:szCs w:val="18"/>
          <w:b w:val="1"/>
          <w:bCs w:val="1"/>
          <w:color w:val="auto"/>
        </w:rPr>
        <w:t>David E. Phillips</w:t>
      </w:r>
      <w:r>
        <w:rPr>
          <w:sz w:val="20"/>
          <w:szCs w:val="20"/>
          <w:color w:val="auto"/>
        </w:rPr>
        <w:tab/>
      </w:r>
      <w:r>
        <w:rPr>
          <w:rFonts w:ascii="Times New Roman" w:cs="Times New Roman" w:eastAsia="Times New Roman" w:hAnsi="Times New Roman"/>
          <w:sz w:val="18"/>
          <w:szCs w:val="18"/>
          <w:b w:val="1"/>
          <w:bCs w:val="1"/>
          <w:color w:val="auto"/>
        </w:rPr>
        <w:t>Senior Vice President and General Counsel</w:t>
      </w:r>
      <w:r>
        <w:rPr>
          <w:sz w:val="20"/>
          <w:szCs w:val="20"/>
          <w:color w:val="auto"/>
        </w:rPr>
        <w:tab/>
      </w:r>
      <w:r>
        <w:rPr>
          <w:rFonts w:ascii="Times New Roman" w:cs="Times New Roman" w:eastAsia="Times New Roman" w:hAnsi="Times New Roman"/>
          <w:sz w:val="18"/>
          <w:szCs w:val="18"/>
          <w:b w:val="1"/>
          <w:bCs w:val="1"/>
          <w:color w:val="auto"/>
        </w:rPr>
        <w:t>45</w:t>
      </w:r>
    </w:p>
    <w:p>
      <w:pPr>
        <w:spacing w:after="0" w:line="67" w:lineRule="exact"/>
        <w:rPr>
          <w:sz w:val="20"/>
          <w:szCs w:val="20"/>
          <w:color w:val="auto"/>
        </w:rPr>
      </w:pPr>
    </w:p>
    <w:p>
      <w:pPr>
        <w:jc w:val="both"/>
        <w:ind w:left="40" w:right="20"/>
        <w:spacing w:after="0" w:line="266" w:lineRule="auto"/>
        <w:rPr>
          <w:sz w:val="20"/>
          <w:szCs w:val="20"/>
          <w:color w:val="auto"/>
        </w:rPr>
      </w:pPr>
      <w:r>
        <w:rPr>
          <w:rFonts w:ascii="Times New Roman" w:cs="Times New Roman" w:eastAsia="Times New Roman" w:hAnsi="Times New Roman"/>
          <w:sz w:val="18"/>
          <w:szCs w:val="18"/>
          <w:color w:val="auto"/>
        </w:rPr>
        <w:t>Mr. Phillips was named Senior Vice President and General Counsel in June 2019. He is Goodyear's chief legal officer. Mr. Phillips joined Goodyear in 2011 and has served as Senior Legal Counsel (2011 to April 2016), Associate General Counsel, North America (May 2016 to August 2016) and Associate General Counsel, Americas (September 2016 to June 2019).</w:t>
      </w:r>
    </w:p>
    <w:p>
      <w:pPr>
        <w:spacing w:after="0" w:line="185" w:lineRule="exact"/>
        <w:rPr>
          <w:sz w:val="20"/>
          <w:szCs w:val="20"/>
          <w:color w:val="auto"/>
        </w:rPr>
      </w:pPr>
    </w:p>
    <w:p>
      <w:pPr>
        <w:ind w:left="300"/>
        <w:spacing w:after="0"/>
        <w:tabs>
          <w:tab w:leader="none" w:pos="4600" w:val="left"/>
          <w:tab w:leader="none" w:pos="10760" w:val="left"/>
        </w:tabs>
        <w:rPr>
          <w:sz w:val="20"/>
          <w:szCs w:val="20"/>
          <w:color w:val="auto"/>
        </w:rPr>
      </w:pPr>
      <w:r>
        <w:rPr>
          <w:rFonts w:ascii="Times New Roman" w:cs="Times New Roman" w:eastAsia="Times New Roman" w:hAnsi="Times New Roman"/>
          <w:sz w:val="18"/>
          <w:szCs w:val="18"/>
          <w:b w:val="1"/>
          <w:bCs w:val="1"/>
          <w:color w:val="auto"/>
        </w:rPr>
        <w:t>Gary S. VanderLind</w:t>
      </w:r>
      <w:r>
        <w:rPr>
          <w:sz w:val="20"/>
          <w:szCs w:val="20"/>
          <w:color w:val="auto"/>
        </w:rPr>
        <w:tab/>
      </w:r>
      <w:r>
        <w:rPr>
          <w:rFonts w:ascii="Times New Roman" w:cs="Times New Roman" w:eastAsia="Times New Roman" w:hAnsi="Times New Roman"/>
          <w:sz w:val="18"/>
          <w:szCs w:val="18"/>
          <w:b w:val="1"/>
          <w:bCs w:val="1"/>
          <w:color w:val="auto"/>
        </w:rPr>
        <w:t>Senior Vice President and Chief Human Resources Officer</w:t>
      </w:r>
      <w:r>
        <w:rPr>
          <w:sz w:val="20"/>
          <w:szCs w:val="20"/>
          <w:color w:val="auto"/>
        </w:rPr>
        <w:tab/>
      </w:r>
      <w:r>
        <w:rPr>
          <w:rFonts w:ascii="Times New Roman" w:cs="Times New Roman" w:eastAsia="Times New Roman" w:hAnsi="Times New Roman"/>
          <w:sz w:val="18"/>
          <w:szCs w:val="18"/>
          <w:b w:val="1"/>
          <w:bCs w:val="1"/>
          <w:color w:val="auto"/>
        </w:rPr>
        <w:t>58</w:t>
      </w:r>
    </w:p>
    <w:p>
      <w:pPr>
        <w:spacing w:after="0" w:line="67" w:lineRule="exact"/>
        <w:rPr>
          <w:sz w:val="20"/>
          <w:szCs w:val="20"/>
          <w:color w:val="auto"/>
        </w:rPr>
      </w:pPr>
    </w:p>
    <w:p>
      <w:pPr>
        <w:jc w:val="both"/>
        <w:ind w:left="40" w:right="40"/>
        <w:spacing w:after="0" w:line="266" w:lineRule="auto"/>
        <w:rPr>
          <w:sz w:val="20"/>
          <w:szCs w:val="20"/>
          <w:color w:val="auto"/>
        </w:rPr>
      </w:pPr>
      <w:r>
        <w:rPr>
          <w:rFonts w:ascii="Times New Roman" w:cs="Times New Roman" w:eastAsia="Times New Roman" w:hAnsi="Times New Roman"/>
          <w:sz w:val="18"/>
          <w:szCs w:val="18"/>
          <w:color w:val="auto"/>
        </w:rPr>
        <w:t>Mr. VanderLind was named Senior Vice President and Chief Human Resources Officer in February 2019. He is the executive officer responsible for Goodyear’s global human resources activities. Mr. VanderLind joined Goodyear in 1985 and has served as Vice President, Human Resources - North America (September 2007 to August 2016) and Vice President, Human Resources - Americas (September 2016 to January 2019).</w:t>
      </w:r>
    </w:p>
    <w:p>
      <w:pPr>
        <w:spacing w:after="0" w:line="185" w:lineRule="exact"/>
        <w:rPr>
          <w:sz w:val="20"/>
          <w:szCs w:val="20"/>
          <w:color w:val="auto"/>
        </w:rPr>
      </w:pPr>
    </w:p>
    <w:p>
      <w:pPr>
        <w:ind w:left="300"/>
        <w:spacing w:after="0"/>
        <w:tabs>
          <w:tab w:leader="none" w:pos="5700" w:val="left"/>
          <w:tab w:leader="none" w:pos="10760" w:val="left"/>
        </w:tabs>
        <w:rPr>
          <w:sz w:val="20"/>
          <w:szCs w:val="20"/>
          <w:color w:val="auto"/>
        </w:rPr>
      </w:pPr>
      <w:r>
        <w:rPr>
          <w:rFonts w:ascii="Times New Roman" w:cs="Times New Roman" w:eastAsia="Times New Roman" w:hAnsi="Times New Roman"/>
          <w:sz w:val="18"/>
          <w:szCs w:val="18"/>
          <w:b w:val="1"/>
          <w:bCs w:val="1"/>
          <w:color w:val="auto"/>
        </w:rPr>
        <w:t>Evan M. Scocos</w:t>
      </w:r>
      <w:r>
        <w:rPr>
          <w:sz w:val="20"/>
          <w:szCs w:val="20"/>
          <w:color w:val="auto"/>
        </w:rPr>
        <w:tab/>
      </w:r>
      <w:r>
        <w:rPr>
          <w:rFonts w:ascii="Times New Roman" w:cs="Times New Roman" w:eastAsia="Times New Roman" w:hAnsi="Times New Roman"/>
          <w:sz w:val="18"/>
          <w:szCs w:val="18"/>
          <w:b w:val="1"/>
          <w:bCs w:val="1"/>
          <w:color w:val="auto"/>
        </w:rPr>
        <w:t>Vice President and Controller</w:t>
      </w:r>
      <w:r>
        <w:rPr>
          <w:sz w:val="20"/>
          <w:szCs w:val="20"/>
          <w:color w:val="auto"/>
        </w:rPr>
        <w:tab/>
      </w:r>
      <w:r>
        <w:rPr>
          <w:rFonts w:ascii="Times New Roman" w:cs="Times New Roman" w:eastAsia="Times New Roman" w:hAnsi="Times New Roman"/>
          <w:sz w:val="18"/>
          <w:szCs w:val="18"/>
          <w:b w:val="1"/>
          <w:bCs w:val="1"/>
          <w:color w:val="auto"/>
        </w:rPr>
        <w:t>49</w:t>
      </w:r>
    </w:p>
    <w:p>
      <w:pPr>
        <w:spacing w:after="0" w:line="67" w:lineRule="exact"/>
        <w:rPr>
          <w:sz w:val="20"/>
          <w:szCs w:val="20"/>
          <w:color w:val="auto"/>
        </w:rPr>
      </w:pPr>
    </w:p>
    <w:p>
      <w:pPr>
        <w:jc w:val="both"/>
        <w:ind w:left="40" w:right="20"/>
        <w:spacing w:after="0" w:line="282" w:lineRule="auto"/>
        <w:rPr>
          <w:sz w:val="20"/>
          <w:szCs w:val="20"/>
          <w:color w:val="auto"/>
        </w:rPr>
      </w:pPr>
      <w:r>
        <w:rPr>
          <w:rFonts w:ascii="Times New Roman" w:cs="Times New Roman" w:eastAsia="Times New Roman" w:hAnsi="Times New Roman"/>
          <w:sz w:val="18"/>
          <w:szCs w:val="18"/>
          <w:color w:val="auto"/>
        </w:rPr>
        <w:t>Mr. Scocos was named Vice President and Controller in June 2016. He is Goodyear's principal accounting officer. Mr. Scocos joined Goodyear in 2004 and has served as Vice President and General Auditor (March 2014 to May 2016).</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family relationship exists between any of the above executive officers or between the executive officers and any director of the Company.</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Each executive officer is elected by the Board of Directors of the Company at its annual meeting to a term of one year or until his or her successor is duly elected. In those instances where the person is elected at other than an annual meeting, such person’s term will expire at the next annual meeting.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and other information contained in this Annual Report on Form 10-K when considering an investment decision with respect to our securities. Additional risks and uncertainties not presently known to us, or that we currently deem immaterial, may also impair our business operations. Any of the events discussed in the risk factors below may occur. If they do, our business, results of operations, financial condition or liquidity could be materially adversely affected. In such an instance, the trading price of our securities could decline, and you might lose all or part of your investment.</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have been adversely impacted by the COVID-19 pandemic. Our future results of operations, financial condition and liquidity are expected to be adversely impacted by the COVID-19 pandemic, and that impact may be material.</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has resulted in significant volatility in the global economy and led to a dramatic reduction in economic activity worldwide. International, federal, state and local public health and governmental authorities have taken extraordinary actions to contain and combat the outbreak and spread of COVID-19 throughout most regions of the world, including travel bans, quarantines, “stay-at-home” orders and similar mandates that have caused many individuals to substantially restrict their daily activities and many businesses to curtail or cease normal operations.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tire industry has been negatively impacted by this evolving situation, particularly earlier in 2020, which was characterized by a sudden and sharp decline in replacement tire demand and original equipment manufacturers suspending or severely limiting automobile production globally. Our results have been, and are likely to continue to be, adversely impacted by this economic disruption, including lower tire volume, sales, income and cash flow. In addition, our ability to continue implementing important strategic initiatives and capital expenditures may be reduced as we devote time and other resources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responding to the impacts of the COVID-19 pandemic.</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2020, we announced the suspension of production at our manufacturing facilities in Europe and the Americas due to the COVID-19 pandemic. Production was suspended or significantly limited at most of our manufacturing facilities around the world during parts of the first half of 2020. During the second quarter of 2020, we completed a phased restart of most of our manufacturing facilities. Most of our factories returned to full capacity by the end of the third quarter and remained at full capacity during the fourth quarter. Our decisions to change production levels in the future will be based on an evaluation of market demand signals, inventory and supply levels, as well as our ability to continue to safeguard the health of our associates. During 2021, we may experience unexpected delays or obstacles, such as disruptions in our supply chain or government mandates, that may hamper our ability to achieve planned production levels. Further, we will not be able to operate at optimal levels of efficiency given new work rules and procedures that were implemented to protect our associates and increased absenteeism as a result of community spread of COVID-19. Any suspension of production at our manufacturing facilities, or difficulties or inefficiencies in resuming or increasing production, is likely to adversely impact our future results of operations, financial condition and liquidity, and that impact may be material.</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 If the COVID-19 pandemic continues for an extended period of time or worsens, our liquidity position may deteriorate. While we actively monitor our liquidity and took a number of actions aimed at mitigating the negative consequences of the COVID-19 pandemic on our cash flows and liquidity, our cash flows from operating activities may decline if global economic activity remains low and we are unable to have sufficient access to credit or other capital. For example, the borrowing base under our first lien revolving credit facility is dependent, in significant part, on our eligible accounts receivable and inventory, which have declined as a result of our lower sales and production levels due to the COVID-19 pandemic. Additionally, our European revolving credit facility contains a leverage ratio covenant applicable to Goodyear Europe B.V. and its subsidiaries. While we are currently in compliance with this covenant, if we were unable to satisfy this covenant in the future or obtain a waiver from our lenders, we would no longer be able to access our €800 million European revolving credit facility or our pan-European accounts receivable securitization facility.</w:t>
      </w:r>
    </w:p>
    <w:p>
      <w:pPr>
        <w:spacing w:after="0" w:line="3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full impact of the COVID-19 pandemic on our results of operations, financial condition and liquidity will depend on future developments, such as the ultimate duration and scope of the pandemic, its impact on our customers and suppliers, how quickly normal economic conditions, operations and the demand for our products can resume, and whether the pandemic leads to recessionary conditions in any of our key markets. Government-sponsored liquidity or stimulus programs in response to the COVID-19 pandemic may not be available to us or our customers or suppliers, and if available, may be insufficient to address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full impact of the COVID-19 pandemic. Accordingly, the ultimate impact on our results of operations, financial condition and liquidity cannot be determined at this time.</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COVID-19 pandemic has also exacerbated several of the risks disclosed below, including, but not limited to, the following (which are identified by their caption):</w:t>
      </w:r>
    </w:p>
    <w:p>
      <w:pPr>
        <w:spacing w:after="0" w:line="54" w:lineRule="exact"/>
        <w:rPr>
          <w:sz w:val="20"/>
          <w:szCs w:val="20"/>
          <w:color w:val="auto"/>
        </w:rPr>
      </w:pPr>
    </w:p>
    <w:p>
      <w:pPr>
        <w:ind w:left="760" w:hanging="374"/>
        <w:spacing w:after="0" w:line="26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implement our strategic initiatives, our operating results, financial condition and liquidity may be materially adversely affected.</w:t>
      </w:r>
    </w:p>
    <w:p>
      <w:pPr>
        <w:ind w:left="760" w:hanging="374"/>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 term ability to meet our obligations, to repay maturing indebtedness or to implement strategic initiatives may be dependent on our ability to access capital markets in the future and to improve our operating results.</w:t>
      </w:r>
    </w:p>
    <w:p>
      <w:pPr>
        <w:ind w:left="760" w:hanging="374"/>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work stoppages, supply disruptions or economic conditions affecting our major customers, dealers or suppliers could harm our business.</w:t>
      </w:r>
    </w:p>
    <w:p>
      <w:pPr>
        <w:ind w:left="760" w:hanging="374"/>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may not be adequate to maintain our competitive position and may not be implemented in a timely or cost-effective manner.</w:t>
      </w:r>
    </w:p>
    <w:p>
      <w:pPr>
        <w:ind w:left="760" w:hanging="374"/>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which could restrict our growth, place us at a competitive disadvantage or otherwise materially adversely affect our financial health.</w:t>
      </w:r>
    </w:p>
    <w:p>
      <w:pPr>
        <w:ind w:left="760" w:hanging="374"/>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be in compliance with any material provision or covenant of our debt instruments, or a material reduction in the borrowing base under our revolving credit facility, could have a material adverse effect on our liquidity and operations.</w:t>
      </w:r>
    </w:p>
    <w:p>
      <w:pPr>
        <w:ind w:left="760" w:hanging="374"/>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fixed costs and, as a result, our operating income fluctuates disproportionately with changes in our net sales.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implement our strategic initiatives, our operating results, financial condition and liquidity may be materially adversely affected.</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results for 2020 were highly influenced by the severe economic disruption caused by the ongoing COVID-19 pandemic. The tire industry has been negatively impacted by this evolving situation, particularly earlier in the year, which was characterized by a sudden and sharp decline in replacement tire demand and original equipment manufacturers suspending or severely limiting automobile production globally. Our results have been, and are likely to continue to be, adversely impacted by this economic disruption, including lower tire volume, sales, income and cash flow. In this environment, global tire industry demand continues to be difficult to predict.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pursuing important strategic initiatives, such as our operational excellence, sales and marketing excellence and innovation excellence initiatives. Our operational excellence initiatives are aimed at improving our manufacturing efficiency and creating an advantaged supply chain focused on reducing our total delivered costs, optimizing working capital levels and delivering best in industry customer service. Our sales and marketing excellence initiatives are intended to build the value of our brand, help our customers win in their markets, and become consumers' preferred choice. Our innovation excellence initiatives are designed to develop great products and services that anticipate and respond to the needs of consumers. If we fail to execute these initiatives successfully, we may fail to achieve our financial goals.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manufacturing footprint is less cost-competitive than that of our principal competitors. To begin to address this competitive disadvantage, we are curtailing production of tires for declining, less profitable segments of the tire market and undertaking significant capital investments in building, expanding and modernizing manufacturing facilities around the world to strengthen the competitiveness of our manufacturing footprint and increase production of premium, large-rim diameter consumer tires. The failure to implement successfully this or our other important strategic initiatives may materially adversely affect our operating results, financial condition and liquidity.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face distribution challenges in Europe which have adversely impacted our consumer replacement tire business in that region. In 2020, we continued to address these challenges by taking actions to better align our European distribution network in order to capture the full value of our products and brands in the marketplace. This project is ongoing and although significant progress has been made, the remaining changes we are pursuing to our distribution network in Europe could lead to continued disruption in our consumer replacement sales in 2021. If we fail to address the distribution challenges that we face, or our plans to align our distribution network in Europe do not achieve the desired result, our competitive position may deteriorate and our operating results, financial condition and liquidity could be adversely affected.</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performance is also dependent on our ability to improve the volume and mix of higher margin tires we sell in our targeted market segments. In order to do so, we must be successful in developing, producing, marketing and selling products that consumers desire and that offer higher margins to us. Shifts in consumer demand away from higher margin tires could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materially adversely affect our business. We have been capacity constrained from time to time with respect to the production of certain higher margin tires, particularly in the United States. When faced with these constraints, we try to alleviate them by utilizing our global manufacturing footprint to meet the demand for our tires and by adding manufacturing capacity. However, in spite of these initiatives, we may not be able to meet all of the demand for certain of our higher margin tires, which could harm our competitive position and limit our growth.</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assure you that our strategic initiatives will be successful. If not, we may not be able to achieve or sustain future profitability, which would impair our ability to meet our debt and other obligations and would otherwise negatively affect our operating results, financial condition and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global competition and our market share could decline.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New tires are sold under highly competitive conditions throughout the world. We compete with other tire manufacturers on the basis of product design, performance, price and terms, reputation, warranty terms, customer service and consumer convenience. On a worldwide basis, we have two major competitors, Bridgestone (based in Japan) and Michelin (based in France), that have large shares of the markets of the countries in which they are based and are aggressively seeking to maintain or improve their worldwide market share. Other significant competitors include Continental, Cooper, Hankook, Kumho, Nexen, Pirelli, Sumitomo, Toyo, Yokohama and various regional tire manufacturers. Our competitors produce significant numbers of tires in low-cost countries, and have announced plans to further increase their production capacity in those countries as well as the United States. These increases in production capacity may result in even greater competition in the United States and elsewhere.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compete successfully will depend, in significant part, on our ability to continue to innovate and manufacture the types of tires demanded by consumers, and to reduce costs by such means as reducing excess and high-cost capacity, leveraging global purchasing, improving productivity, eliminating redundancies and increasing production at low-cost supply sources. If we are unable to compete successfully, our market share may decline, materially adversely affecting our results of operations and financial condition.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automotive industry may experience significant changes due to the introduction of new technologies, such as electric and autonomous vehicles, or new services, business models or methods of travel, such as ride sharing. As the automotive industry evolves, we may need to provide a wider range of products and services to remain competitive, including products that we do not currently have the capability to manufacture or services that we do not currently offer. The demand for our products may also decline if automotive production declines and/or total vehicle miles traveled declines. If we do not accurately predict, prepare for and respond to market developments, technological innovations and changing customer and consumer needs and preferences, our results of operations and financial condition could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 and energy costs may materially adversely affect our operating results and financial condition.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Raw material costs have historically been volatile, and we may experience increases in the prices of natural and synthetic rubber, carbon black and petrochemical-based commodities. Market conditions, including actions by competitors, or contractual obligations may prevent us from passing any such increased costs on to our customers through timely price increases. Additionally, higher raw material and energy costs around the world may offset our efforts to reduce our cost structure. As a result, higher raw material and energy costs could result in declining margins and operating results and adversely affect our financial condition. The volatility of raw material costs may cause our margins, operating results and liquidity to fluctuate. In addition, lower raw material costs may put downward pressure on the price of tires, which could ultimately reduce our margins and adversely affect our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extend or renegotiate significant collective bargaining contracts with our labor unions as they expire from time to time, or if our unionized employees were to engage in a strike or other work stoppage or interruption, our business, results of operations, financial condition and liquidity could be materially adversely affected.</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party to collective bargaining contracts with our labor unions, which represent a significant number of our employees. Our master collective bargaining agreement with the USW covers approximately 5,700 of our associates in the United States at December 31, 2020, and expires in July 2022. In addition, approximately 20,000 of our associates outside of the United States are covered by union contracts that have expired or are expiring in 2021, primarily in Germany, Luxembourg, China, Slovenia, France, Turkey, India and Mexico. Although we believe that our relations with our associates are satisfactory, no assurance can be given that we will be able to successfully extend or renegotiate our collective bargaining agreements as they expire from time to time. If we fail to extend or renegotiate our collective bargaining agreements, if disputes with our unions arise, or if our unionized workers engage in a strike or other work stoppage or interruption, we could experience a significant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disruption of, or inefficiencies in, our operations or incur higher labor costs, which could have a material adverse effect on our business, results of operations, financial condition and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the imposition of tariffs on imported tires and other goods.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imposition of tariffs on certain tires imported from China or other countries may reduce our flexibility to utilize our global manufacturing footprint to meet demand for our tires around the world. In addition, the imposition of tariffs in the United States may result in the tires subject to such tariffs being diverted to other regions of the world, such as Europe, Latin America or Asia, or in retaliatory tariffs or other actions by affected countries. Broad-based tariffs and other trade restrictions could also increase costs for our suppliers who may increase prices to us. Finally, tariffs and other trade restrictions may weaken the economies of key markets for us, such as China, resulting in lower economic growth rates and weakened demand for our products and services. These factors, individually or together, could materially adversely affect our results of operations, financial condition and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have certain risks that may materially adversely affect our operating results, financial condition and liquidity.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manufacturing and distribution facilities throughout the world. Our international operations are subject to certain inherent risks, including:</w:t>
      </w:r>
    </w:p>
    <w:p>
      <w:pPr>
        <w:spacing w:after="0" w:line="117" w:lineRule="exact"/>
        <w:rPr>
          <w:sz w:val="20"/>
          <w:szCs w:val="20"/>
          <w:color w:val="auto"/>
        </w:rPr>
      </w:pPr>
    </w:p>
    <w:p>
      <w:pPr>
        <w:ind w:left="760" w:hanging="374"/>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local economic conditions;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foreign currency fluctuations;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currency exchange controls;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taxes and restrictions on the withdrawal of foreign investment and earnings;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policies and regulations;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regulations;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price and profit margin controls;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expropriations of property;</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diplomatic relations of foreign countries with the United States;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instability of foreign governments;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hostility from local populations and insurrections;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renegotiation or modification of existing agreements with governmental authorities;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and import restrictions;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laws or government policies.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likelihood of such occurrences and their potential effect on us vary from country to country and are unpredictable. Certain regions, including Latin America, Asia, Eastern Europe, the Middle East and Africa, are inherently more economically and politically volatile and, as a result, our business units that operate in these regions could be subject to significant fluctuations in sales and operating income from quarter to quarter. Because a significant percentage of our operating income in recent years has come from these regions, adverse fluctuations in the operating results in these regions could have a significant impact on our results of operations in future periods.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compliance with complex foreign and U.S. laws and regulations that apply to our international operations increases our cost of doing business in international jurisdictions. These numerous and sometimes conflicting laws and regulations include import and export laws, anti-competition laws, anti-corruption laws, such as the U.S. Foreign Corrupt Practices Act and the U.K. Bribery Act, and other local laws prohibiting corrupt payments to governmental officials, data privacy laws such as the European Union's General Data Protection Regulation, tax laws, and accounting, internal control and disclosure requirements. Violations of these laws and regulations could result in civil and criminal fines, penalties and sanctions against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our officers or our employees, prohibitions on the conduct of our business and on our ability to offer our products and services in one or more countries, and could also materially affect our reputation, business and results of operations. In certain foreign jurisdictions, there is a higher risk of fraud or corruption and greater difficulty in maintaining effective internal controls and compliance programs. Although we have implemented policies and procedures designed to promote compliance with applicable laws and regulations, there can be no assurance that our employees, contractors or agents will not violate our policies or applicable laws and regulations.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foreign currency translation and transaction risks that may materially adversely affect our operating results, financial condition and liquidity.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financial position and results of operations of many of our international subsidiaries are initially recorded in various foreign currencies and then translated into U.S. dollars at the applicable exchange rate for inclusion in our financial statements. The strengthening of the U.S. dollar against these foreign currencies ordinarily has a negative impact on our reported sales and operating margin (and conversely, the weakening of the U.S. dollar against these foreign currencies has a positive impact). For the year ended December 31, 2020, foreign currency translation unfavorably affected sales by $233 million and unfavorably affected segment operating income by $2 million compared to the year ended December 31, 2019. The volatility of currency exchange rates may materially adversely affect our operating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 term ability to meet our obligations, to repay maturing indebtedness or to implement strategic initiatives may be dependent on our ability to access capital markets in the future and to improve our operating results.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adequacy of our liquidity depends on our ability to achieve an appropriate combination of operating improvements, financing from third parties and access to capital markets. We may need to undertake additional financing actions in the capital markets in order to ensure that our future liquidity requirements are addressed or to implement strategic initiatives. These actions may include the issuance of additional debt or equity, or the factoring of our accounts receivable.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access to the capital markets cannot be assured and is dependent on, among other things, the ability and willingness of financial institutions to extend credit on terms that are acceptable to us or our suppliers, or to honor future draws on our existing lines of credit, and the degree of success we have in implementing our strategic initiatives. We have continued our use of supplier financing programs and the factoring of our accounts receivable in order to improve our working capital efficiency and reduce our costs. If these programs become unavailable or less attractive to us or our suppliers, our liquidity could be adversely affected.</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liquidity requirements, or our inability to access cash deposits or make draws on our lines of credit, also may make it necessary for us to incur additional debt. A substantial portion of our assets is subject to liens securing our indebtedness. As a result, we are limited in our ability to pledge our remaining assets as security for additional secured indebtedness.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inability to access the capital markets or incur additional debt in the future could have a material adverse effect on our liquidity and operations, and could require us to consider further measures, including deferring planned capital expenditures, reducing discretionary spending, selling additional assets and restructuring existing debt.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difficulties, work stoppages, supply disruptions or economic conditions affecting our major customers, dealers or suppliers could harm our business.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tire industry has been negatively impacted by the COVID-19 pandemic, particularly earlier in 2020, which was characterized by a sudden and sharp decline in replacement tire demand and original equipment manufacturers suspending or severely limiting automobile production globally. As a result of the ongoing pandemic, automotive vehicle production and global tire industry demand continues to be difficult to predict.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sales to our OE customers accounted for approximately 17% of our net sales in 2020, demand for our products by OE customers and production levels at our facilities are impacted by automotive vehicle production. We may experience future declines in sales volume due to declines in new vehicle sales, the performance, discontinuation or sale of certain OE brands, platforms or programs, increased competition, or weakness in the demand for replacement tires, which could result in us incurring under-absorbed fixed costs at our production facilities or slowing the rate at which we are able to recover those costs.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Automotive production can also be affected by the ongoing pandemic, labor relation issues, financial difficulties or supply disruptions. Our OE customers could experience production disruptions resulting from their own or supplier labor, financial or supply difficulties, or from government actions to contain and combat the outbreak and spread of COVID-19. Such events may cause an OE customer to reduce or suspend vehicle production. Other customers, such as dealers, retailers or distributors, may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experience similar disruptions to their operations. As a result, a customer could halt or significantly reduce purchases of our products, which would harm our results of operations, financial condition and liquidity.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suppliers could also experience production disruptions due to the ongoing pandemic or labor, financial or supply difficulties, or new environmental laws or stricter enforcement of existing environmental laws. Any such production disruptions may result in the unexpected closure of our suppliers' facilities or increases in the cost of our raw materials, which would adversely affect our results of operations and financial condition.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bankruptcy, restructuring or consolidation of one or more of our major customers, dealers or suppliers could result in the write-off of accounts receivable, a reduction in purchases of our products or a supply disruption to our facilities, which could negatively affect our results of operations, financial condition and liquidity.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capital expenditures may not be adequate to maintain our competitive position and may not be implemented in a timely or cost-effective manner.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capital expenditures are limited by our liquidity and capital resources and the amount we have available for capital spending is limited by the need to pay our other expenses and to maintain adequate cash reserves and borrowing capacity to meet unexpected demands that may arise. In addition, we significantly reduced our capital expenditures in 2020 in order to preserve cash as part of our response to the COVID-19 pandemic. We believe that our ratio of capital expenditures to sales is lower than the comparable ratio for our principal competitors.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Productivity improvements and manufacturing cost improvements may be required to offset potential increases in labor and raw material costs and competitive price pressures. In addition, as part of our strategy to reduce high-cost and excess manufacturing capacity and to increase our capacity to produce higher margin tires, we may need to modernize or expand our facilities. We are currently undertaking significant construction, expansion and modernization projects in the United States, Germany, Slovenia and Thailand.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have sufficient resources to implement planned capital expenditures with minimal disruption to our existing manufacturing operations, or within desired time frames and budgets. Any disruption to our operations, delay in implementing capital improvements or unexpected costs may materially adversely affect our business and results of operations.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make sufficient capital expenditures, or to maximize the efficiency of the capital expenditures we do make, we may be unable to achieve productivity improvements, which may harm our competitive position, or to manufacture the products necessary to compete successfully in our targeted market segments. In addition, plant construction and modernization may temporarily disrupt our manufacturing operations and lead to temporary increases in our costs.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debt, which could restrict our growth, place us at a competitive disadvantage or otherwise materially adversely affect our financial health.</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 substantial amount of debt. As of December 31, 2020, our debt (including finance leases) on a consolidated basis was approximately $6.0 billion. Our substantial amount of debt and other obligations could have important consequences. For example, it could:</w:t>
      </w:r>
    </w:p>
    <w:p>
      <w:pPr>
        <w:spacing w:after="0" w:line="54" w:lineRule="exact"/>
        <w:rPr>
          <w:sz w:val="20"/>
          <w:szCs w:val="20"/>
          <w:color w:val="auto"/>
        </w:rPr>
      </w:pPr>
    </w:p>
    <w:p>
      <w:pPr>
        <w:ind w:left="760" w:hanging="374"/>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w:t>
      </w:r>
    </w:p>
    <w:p>
      <w:pPr>
        <w:spacing w:after="0" w:line="11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our ability to obtain financing in the future for working capital, capital expenditures, research and development, acquisitions or general corporate requirements;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and industry conditions;</w:t>
      </w:r>
    </w:p>
    <w:p>
      <w:pPr>
        <w:spacing w:after="0" w:line="11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use cash flows from operating activities in other areas of our business or to return cash to shareholders because we would need to dedicate a substantial portion of these funds for payments on our indebtedness;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agreements governing our debt, including our credit agreements, limit, but do not prohibit, us from incurring additional debt and we may incur a significant amount of additional debt in the future, including additional secured debt. If new debt is added to our current debt levels, our ability to satisfy our debt obligations may become more limited.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and other obligations will depend on our financial and operating performance, which, in turn, is subject to our ability to implement our strategic initiatives, prevailing economic conditions and certain financial, business and other factors beyond our control. If our cash flow and capital resources are insufficient to fund our debt service and other obligations, we may be forced to reduce or delay expansion plans and capital expenditures, sell material assets or operations, obtain additional capital or restructure our debt. We cannot assure you that our operating performance, cash flow and capital resources will be sufficient to pay our debt obligations when they become due. We cannot assure you that we would be able to dispose of material assets or operations, obtain additional capital or restructure our debt or other obligations if necessary or, even if we were able to take such actions, that we could do so on terms that are acceptable to us.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be in compliance with any material provision or covenant of our debt instruments, or a material reduction in the borrowing base under our revolving credit facility, could have a material adverse effect on our liquidity and operations.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agreements governing our secured credit facilities, senior unsecured notes and our other outstanding indebtedness impose significant operating and financial restrictions on us. These restrictions may affect our ability to operate our business and may limit our ability to take advantage of potential business opportunities as they arise. These restrictions limit our ability to, among other things:</w:t>
      </w:r>
    </w:p>
    <w:p>
      <w:pPr>
        <w:spacing w:after="0" w:line="68" w:lineRule="exact"/>
        <w:rPr>
          <w:sz w:val="20"/>
          <w:szCs w:val="20"/>
          <w:color w:val="auto"/>
        </w:rPr>
      </w:pPr>
    </w:p>
    <w:p>
      <w:pPr>
        <w:ind w:left="760" w:hanging="374"/>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or issue redeemable preferred stock;</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repurchase shares or make certain other restricted payments or investments;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restrictions on the ability of our subsidiaries to pay dividends or to make other payments to us;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affiliate transactions;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sale/leaseback transactions;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mergers or consolidations or transfers of substantially all of our assets.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Availability under our first lien revolving credit facility is subject to a borrowing base, which is based on eligible accounts receivable and inventory, the value of our principal trademarks, the value of eligible machinery and equipment, and certain cash in an amount not to exceed $200 million. To the extent that our eligible accounts receivable and inventory and other components of the borrowing base decline in value, our borrowing base will decrease and the availability under that facility may decrease below its stated amount. In addition, if at any time the amount of outstanding borrowings and letters of credit under that facility exceeds the borrowing base, we are required to prepay borrowings and/or cash collateralize letters of credit sufficient to eliminate the excess.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comply with these covenants or to maintain our borrowing base may be affected by events beyond our control, including deteriorating economic conditions, and these events could require us to seek waivers or amendments of covenants or alternative sources of financing or to reduce expenditures. We cannot assure you that such waivers, amendments or alternative financing could be obtained, or if obtained, would be on terms acceptable to us.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breach of any of the covenants or restrictions contained in any of our existing or future financing agreements, including the financial covenants in our secured credit facilities, could result in an event of default under those agreements. Such a default could allow the lenders under our financing agreements, if the agreements so provide, to discontinue lending, to accelerate the related debt as well as any other debt to which a cross-acceleration or cross-default provision applies, and/or to declare all borrowings outstanding thereunder to be due and payable. In addition, the lenders could terminate any commitments they have to provide us with further funds. If any of these events occur, we cannot assure you that we will have sufficient funds available to pay in full the total amount of obligations that become due as a result of any such acceleration, or that we will be able to find additional or alternative financing to refinance any such accelerated obligations. Even if we obtain additional or alternative financing, we cannot assure you that it would be on terms that would be acceptable to us.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assure you that we will be able to remain in compliance with the covenants to which we are subject in the future and, if we fail to do so, that we will be able to obtain waivers from our lenders or amend the covenants.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debt service obligations to increase significantly.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borrowings are at variable rates of interest and expose us to interest rate risk. If interest rates increase, our debt service obligations on the variable rate indebtedness would increase even though the amount borrowed remained the same, which would require us to use more of our available cash to service our indebtedness. There can also be no assurance that we will be able to enter into swap agreements or other hedging arrangements in the future if we desire to do so, or that any existing or future hedging arrangements will offset increases in interest rates. As of December 31, 2020, we had approximately $1.4 billion of variable rate debt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substantial fixed costs and, as a result, our operating income fluctuates disproportionately with changes in our net sales.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with significant operating and financial leverage. Significant portions of our manufacturing, selling, administrative and general expenses are fixed costs that neither increase nor decrease proportionately with sales. In addition, a significant portion of our interest expense is fixed. There can be no assurance that we would be able to reduce our fixed costs proportionately in response to a decline in our net sales and therefore our competitiveness could be significantly impacted. As a result, a decline in our net sales could result in a higher percentage decline in our income from operations and net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in connection with our contingent liabilities and tax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significant reserves for contingent liabilities and tax matters. The major categories of our contingent liabilities include workers' compensation and other employment-related claims, product liability and other tort claims, including asbestos claims, and environmental matters. Our recorded liabilities and estimates of reasonably possible losses for our contingent liabilities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that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including with respect to transfer pricing. While we apply consistent transfer pricing policies and practices globally, support transfer prices through economic studies, seek advance pricing agreements and joint audits to the extent possible and believe our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wish to appeal any future adverse judgment in any of these proceedings, we may be required to post an appeal bond with the relevant court. If we were subject to a significant adverse judgment or experienced an interruption or reduction in the availability of bonding capacity, we may be required to provide letters of credit or post cash collateral, which may have a material adverse effect on our liquidity.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significant deferred tax assets, including foreign tax credits. We must generate sufficient earnings of the appropriate character in order to utilize our deferred tax assets prior to any applicable expiration dates. If our earnings remain flat or decline over an extended period of time, we may not be able to utilize certain of our deferred tax assets prior to their expiration and we may need to record an additional valuation allowance against them that could materially adversely affect our results of operations in the period in which the valuation allowance is recorded.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further information regarding our contingent liabilities and tax matters, refer to Notes to the Consolidated Financial Statements No. 19, Commitments and Contingent Liabilities, and No. 6, Income Taxes, in this Form 10-K. For further information regarding our accounting policies with respect to certain of our contingent liabilities and uncertain income tax positions, refer to “Item 7. Management's Discussion and Analysis of Financial Condition and Results of Operations — Critical Accounting Policies.”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extensive government regulations that may materially adversely affect our operating results.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subject to regulation by the Department of Transportation through the National Highway Traffic Safety Administration, or NHTSA, which has established various standards and regulations applicable to tires sold in the United States and tires sold in a foreign country that are identical or substantially similar to tires sold in the United States. NHTSA has the authority to order the recall of automotive products, including tires, having safety-related defects or that do not comply with a motor vehicle safety standard.</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Transportation Recall Enhancement, Accountability, and Documentation Act, or TREAD Act, imposes numerous requirements with respect to the early warning reporting of warranty claims, property damage claims, and bodily injury and fatality claims and also requires tire manufacturers, among other things, to comply with revised and more rigorous tire testing standards. Compliance with the TREAD Act regulations has increased the cost of producing and distributing tires in the United States. We have been subject to recalls in the past and it is possible that a recall of our tires, including under the TREAD Act or in other countries under similar regulations, could occur in the future. A substantial recall could have a material adverse effect on our reputation, operating results and financial condition.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pursuant to the Energy Independence and Security Act of 2007, NHTSA may establish a national tire fuel efficiency consumer information program. If a related rule-making process is completed, certain tires sold in the United States would be required to be rated for rolling resistance, traction and tread wear. While the federal law preempts state tire fuel efficiency laws adopted after January 1, 2006, we may become subject to additional tire fuel efficiency legislation, either in the United States or other countries.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European operations are subject to regulation by the European Union. In 2009, two regulations, the Tire Safety Regulation and the Tire Labeling Regulation, applicable to tires sold in the European Union were adopted. The Tire Safety Regulation sets performance standards that tires for cars and light and commercial trucks need to meet for rolling resistance, wet grip braking (passenger car tires only) and noise in order to be sold in the European Union. The Tire Labeling Regulation applies to all passenger car, light truck and commercial truck tires and requires that consumers be informed about the tire's fuel efficiency, wet grip and noise characteristics. Other countries, such as Brazil, have also adopted tire labeling regulations, and additional countries may also introduce similar regulations in the future.</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Tires produced or sold in Europe also have to comply with various other standards, including environmental laws such as REACH (Registration, Evaluation, Authorisation and Restriction of Chemical Substances), which regulates the use of chemicals in the European Union. For example, REACH prohibits the use of highly aromatic oils in tires, which were used as compounding components to improve certain performance characteristics.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U.S. and European regulations, rules adopted to implement these regulations, or other similar regulations that may be adopted in the United States, Europe or elsewhere in the future may require us to alter or increase our capital spending and research and development plans or cease the production of certain tires, which could have a material adverse effect on our operating results.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Laws and regulations governing environmental and occupational safety and health are complicated, change frequently and have tended to become stricter over time. As a manufacturing company, we are subject to these laws and regulations both inside and outside the United States. We may not be in complete compliance with such laws and regulations at all times. Our costs or liabilities relating to them may be more than the amount we have reserved, and that difference may be material.</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manufacturing facilities may become subject to further limitations on the emission of “greenhouse gases” due to public policy concerns regarding climate change issues or other environmental or health and safety concerns. While the form of any additional regulations cannot be predicted, a “cap-and-trade” system similar to the one adopted in the European Union could be adopted in the United States. Any such “cap-and-trade” system (including the system currently in place in the European Union) or other limitations imposed on the emission of “greenhouse gases” could require us to increase our capital expenditures, use our cash to acquire emission credits or restructure our manufacturing operations, which could have a material adverse effect on our operating results, financial condition and liquidity.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Compliance with the laws and regulations described above or any of the myriad of applicable foreign, federal, state and local laws and regulations currently in effect or that may be adopted in the future could materially adversely affect our competitive position, operating results, financial condition and liquidity.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any disruption in, or failure of, our information technology systems.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upon the capacity, reliability and security of our information technology, or IT, systems across all of our major business functions, including our research and development, manufacturing, retail, financial and administrative functions. We also face the challenge of supporting our older systems and implementing upgrades when necessary. Our security measures are focused on the prevention, detection and remediation of damage from computer viruses, unauthorized access, cyber-attack, natural disasters and other similar disruptions. We may incur significant costs in order to implement the security measures that we feel are necessary to protect our IT systems. However, our IT systems may remain vulnerable to damage despite our implementation of security measures that we deem to be appropriate.</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system failure, accident or security breach involving our IT systems could result in disruptions to our operations. A breach in the security of our IT systems could include the theft of our intellectual property or trade secrets, negatively impact our manufacturing or retail operations, or result in the compromise of personal information of our employees, customers or suppliers. While we have, from time to time, experienced system failures, accidents and security breaches involving our IT systems, these incidents have not had a material impact on our operations, and we are not aware of any resulting theft, loss or disclosure of, or damage to, material data or confidential information. To the extent that any system failure, accident or security breach results in material disruptions to our operations or the theft, loss or disclosure of, or damage to, material data or confidential information, our reputation, business, results of operations and financial condition could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personnel our business could be materially adversely affected.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substantially depends on the continued service of key members of our management. The loss of the services of a significant number of members of our management could have a material adverse effect on our business. Our future success will also depend on our ability to attract and retain highly skilled personnel, such as engineering, marketing and senior management professionals. Competition for these employees is intense, and we could experience difficulty from time to time in hiring and retaining the personnel necessary to support our business. Our ability to attract and retain employees may be hampered due to the current cyclical downturn in the automotive and tire industries, which has resulted in reduced payments under our incentive compensation plans over the last several years. If we do not succeed in retaining our current employees and attracting new high quality employees, our business could be materially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impacted by economic and supply disruptions associated with events beyond our control, such as war, acts of terror, political unrest, public health concerns, labor disputes or natural disasters.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manage businesses and facilities worldwide. Our facilities and operations, and the facilities and operations of our suppliers and customers, could be disrupted by events beyond our control, such as war, acts of terror, political unrest, public health concerns, labor disputes or natural disasters. Any such disruption could cause delays in the production and distribution of our products and the loss of sales and customers. We may not be insured against all such potential losses and, if insured, the insurance proceeds that we receive may not adequately compensate us for all of our losses. If the frequency or severity of natural disasters increases over time, we may experience a greater number of losses at certain of our facilities. Such losses could lead to an increase in the deductibles or cost of insurance for those facilities, or to the unavailability of insurance on terms that are acceptable to us.</w:t>
      </w:r>
    </w:p>
    <w:p>
      <w:pPr>
        <w:spacing w:after="0" w:line="18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manufacture our products in 46 manufacturing facilities located around the world including 13 plants in the United States.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AMERICAS MANUFACTURING FACILITIES. </w:t>
      </w:r>
      <w:r>
        <w:rPr>
          <w:rFonts w:ascii="Times New Roman" w:cs="Times New Roman" w:eastAsia="Times New Roman" w:hAnsi="Times New Roman"/>
          <w:sz w:val="18"/>
          <w:szCs w:val="18"/>
          <w:color w:val="auto"/>
        </w:rPr>
        <w:t>Americas owns or leases and operates 23 manufacturing facilities in 7 countries, including:</w:t>
      </w:r>
    </w:p>
    <w:p>
      <w:pPr>
        <w:spacing w:after="0" w:line="121" w:lineRule="exact"/>
        <w:rPr>
          <w:sz w:val="20"/>
          <w:szCs w:val="20"/>
          <w:color w:val="auto"/>
        </w:rPr>
      </w:pPr>
    </w:p>
    <w:p>
      <w:pPr>
        <w:ind w:left="760" w:hanging="374"/>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tire plants,</w:t>
      </w:r>
    </w:p>
    <w:p>
      <w:pPr>
        <w:spacing w:after="0" w:line="2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chemical plants,</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tire mold plant,</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tire retread plants,</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aviation retread plants, and</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mix plant.</w:t>
      </w:r>
    </w:p>
    <w:p>
      <w:pPr>
        <w:spacing w:after="0" w:line="9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EUROPE, MIDDLE EAST AND AFRICA MANUFACTURING FACILITIES. </w:t>
      </w:r>
      <w:r>
        <w:rPr>
          <w:rFonts w:ascii="Times New Roman" w:cs="Times New Roman" w:eastAsia="Times New Roman" w:hAnsi="Times New Roman"/>
          <w:sz w:val="18"/>
          <w:szCs w:val="18"/>
          <w:color w:val="auto"/>
        </w:rPr>
        <w:t>EMEA owns or leases and operates 15 manufacturing facilities in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countries, including:</w:t>
      </w:r>
    </w:p>
    <w:p>
      <w:pPr>
        <w:spacing w:after="0" w:line="51" w:lineRule="exact"/>
        <w:rPr>
          <w:sz w:val="20"/>
          <w:szCs w:val="20"/>
          <w:color w:val="auto"/>
        </w:rPr>
      </w:pPr>
    </w:p>
    <w:p>
      <w:pPr>
        <w:ind w:left="760" w:hanging="374"/>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tire plants,</w:t>
      </w:r>
    </w:p>
    <w:p>
      <w:pPr>
        <w:spacing w:after="0" w:line="2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tire retread plant, and</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aviation retread plant.</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ASIA PACIFIC MANUFACTURING FACILITIES. </w:t>
      </w:r>
      <w:r>
        <w:rPr>
          <w:rFonts w:ascii="Times New Roman" w:cs="Times New Roman" w:eastAsia="Times New Roman" w:hAnsi="Times New Roman"/>
          <w:sz w:val="18"/>
          <w:szCs w:val="18"/>
          <w:color w:val="auto"/>
        </w:rPr>
        <w:t>Asia Pacific owns and operates 8 manufacturing facilities in 6 countries, including 7 tire plants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 aviation retread plant.</w:t>
      </w:r>
    </w:p>
    <w:p>
      <w:pPr>
        <w:spacing w:after="0" w:line="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PLANT UTILIZATION. </w:t>
      </w:r>
      <w:r>
        <w:rPr>
          <w:rFonts w:ascii="Times New Roman" w:cs="Times New Roman" w:eastAsia="Times New Roman" w:hAnsi="Times New Roman"/>
          <w:sz w:val="18"/>
          <w:szCs w:val="18"/>
          <w:color w:val="auto"/>
        </w:rPr>
        <w:t>Our worldwide tire capacity utilization rate was approximately 68% during 2020 compared to approximately 85% in 2019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87% in 2018. The decreased utilization rate in 2020 was driven by pandemic-related factory shutdowns earlier in the year. The majority of our plants returned to full capacity by the end of the third quarter and remained at full capacity during the fourth quarter. The reported capacity utilization is an overall average for the Company. Our utilization rate can vary significantly between product lines, depending on the complexity of the tires, and between consumer and commercial tires, and can also vary between business segments.</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OTHER FACILITIES. </w:t>
      </w:r>
      <w:r>
        <w:rPr>
          <w:rFonts w:ascii="Times New Roman" w:cs="Times New Roman" w:eastAsia="Times New Roman" w:hAnsi="Times New Roman"/>
          <w:sz w:val="18"/>
          <w:szCs w:val="18"/>
          <w:color w:val="auto"/>
        </w:rPr>
        <w:t>We also own and operate two research and development facilities and technical centers, three development centers,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innovation lab, and seven tire proving grounds. We lease our Corporate and Americas headquarters and our research and development facility and technical center in Akron, Ohio. We operate approximately 1,000 retail outlets for the sale of our tires to consumer and commercial customers, approximately 50 tire retreading facilities and approximately 220 warehouse distribution facilities. Substantially all of these facilities are leased. We do not consider any one of these leased properties to be material to our operations. For additional information regarding leased properties, refer to the Notes to the Consolidated Financial Statements No. 13, Property, Plant and Equipment, and No. 14, Leases, in this Form 10-K. Certain of our manufacturing facilities are mortgaged as collateral for our secured credit facilities. Refer to the Note to the Consolidated Financial Statements No. 15, Financing Arrangements and Derivative Financial Instruments, in this Form 10-K.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 Litigation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currently one of numerous defendants in legal proceedings in certain state and federal courts involving approximately 38,700 claimants at December 31, 2020 relating to their alleged exposure to materials containing asbestos in products allegedly manufactured by us or asbestos materials present at our facilities. We manufactured, among other things, rubber coated asbestos sheet gasket materials from 1914 through 1973 and aircraft brake assemblies containing asbestos materials prior to 1987. Some of the claimants are independent contractors or their employees who allege exposure to asbestos while working at certain of our facilities. It is expected that in a substantial portion of these cases there will be no evidence of exposure to a Goodyear manufactured product containing asbestos or asbestos in our facilities. The amount expended by us and our insurers on defense and claim resolution was $13 million during 2020. The plaintiffs in the pending cases allege that they were exposed to asbestos and, as a result of such exposure, suffer from various respiratory diseases, including in some cases mesothelioma and lung cancer. The plaintiffs are seeking unspecified actual and punitive damages and other relief. For additional information on asbestos litigation, refer to the Note to the Consolidated Financial Statements No. 19, Commitments and Contingent Liabilities, in this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Amiens Labor Claims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Approximately 850 former employees of the closed Amiens, France manufacturing facility have asserted wrongful termination or other claims totaling approximately €140 million ($172 million) against Goodyear France SAS. On May 28, 2020, Goodyear France SAS received a judgment from the labor court with respect to approximately 790 of these former employees. As a result of this ruling and settlement discussions to resolve these claims and other similar claims, we accrued approximately €27 million ($30 million) during 2020 for estimated additional termination benefits. We have appealed this ruling and will continue to defend ourselves against these claims and any additional claims that may be asserted against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Derivative Litigation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24, 2018, a purported shareholder of the Company filed a derivative action on behalf of the Company in the Court of Common Pleas for Summit County, Ohio against certain of our directors, our chief executive officer, and certain former officers and directors. The complaint also names the Company as a nominal defendant. The lawsuit alleges, among other things, breach of fiduciary duties, waste of corporate assets and fraudulent concealment in connection with certain G159 tires manufactured by us from 1996 until 2003. The lawsuit seeks unspecified monetary damages, an award of attorney’s fees and expenses, and other legal and equitable relief. On September 25, 2020, the Court of Common Pleas dismissed the derivative action and the purported shareholder has appealed that dismissal.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legal proceedings described above, various other legal actions, indirect tax assessments, claims and governmental investigations and proceedings covering a wide range of matters are pending against us, including claims and proceedings relating to several waste disposal sites that have been identified by the United States Environmental Protection Agency and similar agencies of various states for remedial investigation and cleanup, which sites were allegedly used by us in the past for the disposal of industrial waste materials. Based on available information, we do not consider any such action, assessment, claim, investigation or proceeding to be material, within the meaning of that term as used in Item 103 of Regulation S-K and the instructions thereto. For additional information regarding our legal proceedings, refer to the Note to the Consolidated Financial Statements No. 19, Commitments and Contingent Liabilities, in this Form 10-K.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principal market for our common stock is the Nasdaq Global Select Market (Stock Exchange Symbol: GT). At December 31, 2020, there were 11,971 holders of record of the 233,220,098 shares of our common stock then outstanding.</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Set forth in the table below is certain information regarding the number of shares of our common stock that were subject to outstanding stock options or other compensation plan awards at December 31, 2020.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Number of Shares</w:t>
            </w:r>
          </w:p>
        </w:tc>
      </w:tr>
      <w:tr>
        <w:trPr>
          <w:trHeight w:val="135"/>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Remaining Available for</w:t>
            </w:r>
          </w:p>
        </w:tc>
      </w:tr>
      <w:tr>
        <w:trPr>
          <w:trHeight w:val="135"/>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w w:val="97"/>
              </w:rPr>
              <w:t>Number of Shares to be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19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Future Issuance under</w:t>
            </w:r>
          </w:p>
        </w:tc>
      </w:tr>
      <w:tr>
        <w:trPr>
          <w:trHeight w:val="135"/>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Issued upon Exercise 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Exercise Price of</w:t>
            </w:r>
          </w:p>
        </w:tc>
        <w:tc>
          <w:tcPr>
            <w:tcW w:w="19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Compensation</w:t>
            </w:r>
          </w:p>
        </w:tc>
      </w:tr>
      <w:tr>
        <w:trPr>
          <w:trHeight w:val="135"/>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Outstanding Options,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Outstanding Options,</w:t>
            </w:r>
          </w:p>
        </w:tc>
        <w:tc>
          <w:tcPr>
            <w:tcW w:w="19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Plans (Excluding Shares</w:t>
            </w:r>
          </w:p>
        </w:tc>
      </w:tr>
      <w:tr>
        <w:trPr>
          <w:trHeight w:val="155"/>
        </w:trPr>
        <w:tc>
          <w:tcPr>
            <w:tcW w:w="5400" w:type="dxa"/>
            <w:vAlign w:val="bottom"/>
            <w:gridSpan w:val="2"/>
          </w:tcPr>
          <w:p>
            <w:pPr>
              <w:ind w:left="2240"/>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78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5"/>
              </w:rPr>
              <w:t>Warrants and Rights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5"/>
              </w:rPr>
              <w:t>Warrants and Rights</w:t>
            </w: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Reflected in Column (a))</w:t>
            </w:r>
          </w:p>
        </w:tc>
      </w:tr>
      <w:tr>
        <w:trPr>
          <w:trHeight w:val="142"/>
        </w:trPr>
        <w:tc>
          <w:tcPr>
            <w:tcW w:w="5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Borders>
              <w:top w:val="single" w:sz="8" w:color="auto"/>
            </w:tcBorders>
          </w:tcPr>
          <w:p>
            <w:pPr>
              <w:jc w:val="center"/>
              <w:ind w:right="27"/>
              <w:spacing w:after="0" w:line="142" w:lineRule="exact"/>
              <w:rPr>
                <w:sz w:val="20"/>
                <w:szCs w:val="20"/>
                <w:color w:val="auto"/>
              </w:rPr>
            </w:pPr>
            <w:r>
              <w:rPr>
                <w:rFonts w:ascii="Times New Roman" w:cs="Times New Roman" w:eastAsia="Times New Roman" w:hAnsi="Times New Roman"/>
                <w:sz w:val="13"/>
                <w:szCs w:val="13"/>
                <w:b w:val="1"/>
                <w:bCs w:val="1"/>
                <w:color w:val="auto"/>
              </w:rPr>
              <w:t>(a)</w:t>
            </w: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29"/>
        </w:trPr>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17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8"/>
                <w:szCs w:val="18"/>
                <w:color w:val="auto"/>
              </w:rPr>
              <w:t>8,700,732</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8"/>
                <w:szCs w:val="18"/>
                <w:color w:val="auto"/>
              </w:rPr>
              <w:t>15.97</w:t>
            </w:r>
          </w:p>
        </w:tc>
        <w:tc>
          <w:tcPr>
            <w:tcW w:w="14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20"/>
              <w:spacing w:after="0" w:line="230" w:lineRule="exact"/>
              <w:rPr>
                <w:sz w:val="20"/>
                <w:szCs w:val="20"/>
                <w:color w:val="auto"/>
              </w:rPr>
            </w:pPr>
            <w:r>
              <w:rPr>
                <w:rFonts w:ascii="Times New Roman" w:cs="Times New Roman" w:eastAsia="Times New Roman" w:hAnsi="Times New Roman"/>
                <w:sz w:val="17"/>
                <w:szCs w:val="17"/>
                <w:color w:val="auto"/>
              </w:rPr>
              <w:t xml:space="preserve">6,659,546  </w:t>
            </w:r>
            <w:r>
              <w:rPr>
                <w:rFonts w:ascii="Times New Roman" w:cs="Times New Roman" w:eastAsia="Times New Roman" w:hAnsi="Times New Roman"/>
                <w:sz w:val="26"/>
                <w:szCs w:val="26"/>
                <w:color w:val="auto"/>
                <w:vertAlign w:val="superscript"/>
              </w:rPr>
              <w:t>(1)</w:t>
            </w:r>
          </w:p>
        </w:tc>
      </w:tr>
      <w:tr>
        <w:trPr>
          <w:trHeight w:val="23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1780" w:type="dxa"/>
            <w:vAlign w:val="bottom"/>
          </w:tcPr>
          <w:p>
            <w:pPr>
              <w:jc w:val="right"/>
              <w:ind w:right="4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8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8"/>
                <w:szCs w:val="18"/>
                <w:b w:val="1"/>
                <w:bCs w:val="1"/>
                <w:color w:val="auto"/>
              </w:rPr>
              <w:t>8,700,732</w:t>
            </w:r>
          </w:p>
        </w:tc>
        <w:tc>
          <w:tcPr>
            <w:tcW w:w="32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CFF0FC"/>
              <w:bottom w:val="single" w:sz="8" w:color="CFF0FC"/>
            </w:tcBorders>
            <w:shd w:val="clear" w:color="auto" w:fill="CFF0FC"/>
          </w:tcPr>
          <w:p>
            <w:pPr>
              <w:jc w:val="right"/>
              <w:ind w:right="45"/>
              <w:spacing w:after="0"/>
              <w:rPr>
                <w:sz w:val="20"/>
                <w:szCs w:val="20"/>
                <w:color w:val="auto"/>
              </w:rPr>
            </w:pPr>
            <w:r>
              <w:rPr>
                <w:rFonts w:ascii="Times New Roman" w:cs="Times New Roman" w:eastAsia="Times New Roman" w:hAnsi="Times New Roman"/>
                <w:sz w:val="18"/>
                <w:szCs w:val="18"/>
                <w:b w:val="1"/>
                <w:bCs w:val="1"/>
                <w:color w:val="auto"/>
              </w:rPr>
              <w:t>15.97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6,659,546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left="780" w:hanging="772"/>
        <w:spacing w:after="0" w:line="261"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equity compensation plans, up to a maximum of 1,010,448 performance shares in respect of performance periods ending on or subsequent to December 31, 2020, 103,492 shares of restricted stock and 2,568,873 restricted stock units have been awarded. In addition, up to 38,659 shares of common stock may be issued in respect of the deferred payout of awards made under our equity compensation plans. The number of performance shares indicated assumes the maximum possible payout that may be earned during the relevant performance periods.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r>
              <w:rPr>
                <w:rFonts w:ascii="Times New Roman" w:cs="Times New Roman" w:eastAsia="Times New Roman" w:hAnsi="Times New Roman"/>
                <w:sz w:val="12"/>
                <w:szCs w:val="12"/>
                <w:b w:val="1"/>
                <w:bCs w:val="1"/>
                <w:color w:val="auto"/>
              </w:rPr>
              <w:t>(1)</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2019</w:t>
            </w:r>
            <w:r>
              <w:rPr>
                <w:rFonts w:ascii="Times New Roman" w:cs="Times New Roman" w:eastAsia="Times New Roman" w:hAnsi="Times New Roman"/>
                <w:sz w:val="12"/>
                <w:szCs w:val="12"/>
                <w:b w:val="1"/>
                <w:bCs w:val="1"/>
                <w:color w:val="auto"/>
              </w:rPr>
              <w:t>(2)</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2018</w:t>
            </w:r>
            <w:r>
              <w:rPr>
                <w:rFonts w:ascii="Times New Roman" w:cs="Times New Roman" w:eastAsia="Times New Roman" w:hAnsi="Times New Roman"/>
                <w:sz w:val="12"/>
                <w:szCs w:val="12"/>
                <w:b w:val="1"/>
                <w:bCs w:val="1"/>
                <w:color w:val="auto"/>
              </w:rPr>
              <w:t>(2)</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2017</w:t>
            </w:r>
            <w:r>
              <w:rPr>
                <w:rFonts w:ascii="Times New Roman" w:cs="Times New Roman" w:eastAsia="Times New Roman" w:hAnsi="Times New Roman"/>
                <w:sz w:val="12"/>
                <w:szCs w:val="12"/>
                <w:b w:val="1"/>
                <w:bCs w:val="1"/>
                <w:color w:val="auto"/>
              </w:rPr>
              <w:t>(2)</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2016</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12,321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14,745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15,475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15,377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15,158</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708</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Minority Shareholders’ Net Income</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63"/>
        </w:trPr>
        <w:tc>
          <w:tcPr>
            <w:tcW w:w="4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Goodyear Net Income (Loss)</w:t>
            </w:r>
          </w:p>
        </w:tc>
        <w:tc>
          <w:tcPr>
            <w:tcW w:w="3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Goodyear Net Income (Loss) — Per Share of Common Stock:</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2.92</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0"/>
        </w:trPr>
        <w:tc>
          <w:tcPr>
            <w:tcW w:w="48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16,506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17,185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16,872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17,064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16,511</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Long Term Debt and Finance Leases Due Within One Year</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 Term Debt and Finance Leases</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5,432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4,753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5,110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5,076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4,798</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Goodyear Shareholders’ Equity</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4,507</w:t>
            </w: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5,070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4,850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4,725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780" w:hanging="772"/>
        <w:spacing w:after="0" w:line="282"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“Basis of Presentation” and “Principles of Consolidation” in the Note to the Consolidated Financial Statements No. 1, Accounting Policies.</w:t>
      </w:r>
    </w:p>
    <w:p>
      <w:pPr>
        <w:spacing w:after="0" w:line="53" w:lineRule="exact"/>
        <w:rPr>
          <w:rFonts w:ascii="Times New Roman" w:cs="Times New Roman" w:eastAsia="Times New Roman" w:hAnsi="Times New Roman"/>
          <w:sz w:val="18"/>
          <w:szCs w:val="18"/>
          <w:color w:val="auto"/>
        </w:rPr>
      </w:pPr>
    </w:p>
    <w:p>
      <w:pPr>
        <w:jc w:val="both"/>
        <w:ind w:left="780" w:hanging="772"/>
        <w:spacing w:after="0" w:line="261"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2019, we adopted, using the modified retrospective adoption approach, an accounting standards update with new guidance relating to leases. Our adoption of this standards update resulted in adjustments that increased Total Assets by $873 million, increased Long Term Debt and Finance Leases by $14 million, and decreased Goodyear Shareholders’ Equity and Total Shareholders’ Equity by $23 million. Periods prior to 2019 have not been restated for the adoption of this standards update.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Goodyear Tire &amp; Rubber Company is one of the world’s leading manufacturers of tires, with one of the most recognizable brand names in the world and operations in most regions of the world. We have a broad global footprint with 46 manufacturing facilities in 21 countries, including the United States. We operate our business through three operating segments representing our regional tire businesses: Americas; Europe, Middle East and Africa; and Asia Pacific.</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management's discussion and analysis provides comparisons of material changes in the consolidated financial statements for the years ended December 31, 2020 and 2019. For a comparison of the years ended December 31, 2019 and 2018, refer to Management's Discussion and Analysis of Financial Condition and Results of Operations included in our annual report on Form 10-K for the year ended December 31, 2019.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results for 2020 were highly influenced by the severe economic disruption caused by the ongoing COVID-19 pandemic. However, based on recent favorable recovery trends, particularly in the U.S., Europe and China, the negative impacts of the pandemic on tire industry demand, auto production, miles driven and our tire volume have moderated and are expected to continue to improve. The tire industry has been negatively impacted by this evolving situation, particularly earlier in the year, which was characterized by a sudden and sharp decline in replacement tire demand and original equipment (“OE”) manufacturers suspending or severely limiting automobile production globally. This environment, which persisted throughout much of 2020, aggravated already challenging industry conditions in many of our key markets, including foreign currency headwinds due to a strong U.S. dollar, lower OE industry volume, softening demand in Europe, weak market conditions in China and economic volatility in Latin America, that were present throughout 2019.</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take actions in response to COVID-19 to protect the health and wellbeing of our associates, customers and communities, which remain our top priority, to mitigate the near- and long-term financial impacts on our operating results, and to ensure adequate liquidity and capital resources are available to maintain our operations until the auto industry and replacement tire demand fully recovers.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taken throughout 2020 included:</w:t>
      </w:r>
    </w:p>
    <w:p>
      <w:pPr>
        <w:spacing w:after="0" w:line="117" w:lineRule="exact"/>
        <w:rPr>
          <w:sz w:val="20"/>
          <w:szCs w:val="20"/>
          <w:color w:val="auto"/>
        </w:rPr>
      </w:pPr>
    </w:p>
    <w:p>
      <w:pPr>
        <w:jc w:val="both"/>
        <w:ind w:left="760" w:hanging="374"/>
        <w:spacing w:after="0" w:line="26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 xml:space="preserve">In March 2020, we announced the suspension of production in Europe and the Americas. </w:t>
      </w:r>
      <w:r>
        <w:rPr>
          <w:rFonts w:ascii="Times New Roman" w:cs="Times New Roman" w:eastAsia="Times New Roman" w:hAnsi="Times New Roman"/>
          <w:sz w:val="18"/>
          <w:szCs w:val="18"/>
          <w:color w:val="000000"/>
        </w:rPr>
        <w:t>These temporary measures were implemented in a way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that allowed us to safely and promptly resume production as public health and market conditions improved. We completed a phased restart of most of our manufacturing facilities during the second quarter of 2020, without any significant subsequent COVID-19 related disruptions.</w:t>
      </w:r>
    </w:p>
    <w:p>
      <w:pPr>
        <w:spacing w:after="0" w:line="81"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 xml:space="preserve">During parts of the first half of 2020, production was also temporarily suspended or significantly limited in several locations in Asia Pacific, most notably at our Pulandian, China manufacturing facility. Our </w:t>
      </w:r>
      <w:r>
        <w:rPr>
          <w:rFonts w:ascii="Times New Roman" w:cs="Times New Roman" w:eastAsia="Times New Roman" w:hAnsi="Times New Roman"/>
          <w:sz w:val="18"/>
          <w:szCs w:val="18"/>
          <w:color w:val="000000"/>
        </w:rPr>
        <w:t>Pulandian facility began operating with all of its workforce by the end of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first quarter.</w:t>
      </w:r>
    </w:p>
    <w:p>
      <w:pPr>
        <w:spacing w:after="0" w:line="81" w:lineRule="exact"/>
        <w:rPr>
          <w:rFonts w:ascii="Times New Roman" w:cs="Times New Roman" w:eastAsia="Times New Roman" w:hAnsi="Times New Roman"/>
          <w:sz w:val="18"/>
          <w:szCs w:val="18"/>
          <w:color w:val="auto"/>
        </w:rPr>
      </w:pPr>
    </w:p>
    <w:p>
      <w:pPr>
        <w:jc w:val="both"/>
        <w:ind w:left="760" w:hanging="374"/>
        <w:spacing w:after="0" w:line="261" w:lineRule="auto"/>
        <w:tabs>
          <w:tab w:leader="none" w:pos="760" w:val="left"/>
        </w:tabs>
        <w:numPr>
          <w:ilvl w:val="0"/>
          <w:numId w:val="1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Throughout the third quarter of 2020, we continued to ramp up tire production across our manufacturing footprint and most of our factories returned to full capacity by the end of the third quarter and remained at full capacity during the fourth quarter. Our decisions to change production levels in the future will be based on an evaluation of market demand signals, inventory and supply levels, as well as our ability to continue to safeguard the health of our associates.</w:t>
      </w:r>
    </w:p>
    <w:p>
      <w:pPr>
        <w:spacing w:after="0" w:line="85" w:lineRule="exact"/>
        <w:rPr>
          <w:rFonts w:ascii="Times New Roman" w:cs="Times New Roman" w:eastAsia="Times New Roman" w:hAnsi="Times New Roman"/>
          <w:sz w:val="18"/>
          <w:szCs w:val="18"/>
          <w:color w:val="212529"/>
        </w:rPr>
      </w:pPr>
    </w:p>
    <w:p>
      <w:pPr>
        <w:jc w:val="both"/>
        <w:ind w:left="760" w:hanging="374"/>
        <w:spacing w:after="0" w:line="261" w:lineRule="auto"/>
        <w:tabs>
          <w:tab w:leader="none" w:pos="760" w:val="left"/>
        </w:tabs>
        <w:numPr>
          <w:ilvl w:val="0"/>
          <w:numId w:val="1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As our business is deemed essential in the U.S. and most other parts of the world, in order to maintain customer service, warehouses, commercial truck service centers and retail operations remained largely operational throughout the year on a reduced staffing schedule, when necessary, and with strong social distancing practices in place. We continue to closely monitor local conditions surrounding these operations, as well as inventory and supply levels, to continue delivery of our products.</w:t>
      </w:r>
    </w:p>
    <w:p>
      <w:pPr>
        <w:spacing w:after="0" w:line="85" w:lineRule="exact"/>
        <w:rPr>
          <w:rFonts w:ascii="Times New Roman" w:cs="Times New Roman" w:eastAsia="Times New Roman" w:hAnsi="Times New Roman"/>
          <w:sz w:val="18"/>
          <w:szCs w:val="18"/>
          <w:color w:val="212529"/>
        </w:rPr>
      </w:pPr>
    </w:p>
    <w:p>
      <w:pPr>
        <w:jc w:val="both"/>
        <w:ind w:left="760" w:hanging="374"/>
        <w:spacing w:after="0" w:line="26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following guidance from the Centers for Disease Control and Prevention and have introduced a number of preventative measures at our facilities that are open, including limiting visitor access and business travel, remote working and social distancing practices, and increased frequency of disinfection.</w:t>
      </w:r>
    </w:p>
    <w:p>
      <w:pPr>
        <w:spacing w:after="0" w:line="81"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2, 2020, we announced </w:t>
      </w:r>
      <w:r>
        <w:rPr>
          <w:rFonts w:ascii="Times New Roman" w:cs="Times New Roman" w:eastAsia="Times New Roman" w:hAnsi="Times New Roman"/>
          <w:sz w:val="18"/>
          <w:szCs w:val="18"/>
          <w:color w:val="212529"/>
        </w:rPr>
        <w:t>second quarter actions to reduce our payroll costs through a combination of furloughs, temporary salary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reductions and salary deferrals covering over 9,000 of our corporate and business unit associates, including substantial salary reductions and deferrals for our CEO, officers and directors. These and other similar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40"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212529"/>
        </w:rPr>
        <w:t xml:space="preserve">actions reduced our expenses by approximately </w:t>
      </w:r>
      <w:r>
        <w:rPr>
          <w:rFonts w:ascii="Times New Roman" w:cs="Times New Roman" w:eastAsia="Times New Roman" w:hAnsi="Times New Roman"/>
          <w:sz w:val="18"/>
          <w:szCs w:val="18"/>
          <w:color w:val="000000"/>
        </w:rPr>
        <w:t>$65</w:t>
      </w:r>
      <w:r>
        <w:rPr>
          <w:rFonts w:ascii="Times New Roman" w:cs="Times New Roman" w:eastAsia="Times New Roman" w:hAnsi="Times New Roman"/>
          <w:sz w:val="18"/>
          <w:szCs w:val="18"/>
          <w:color w:val="212529"/>
        </w:rPr>
        <w:t xml:space="preserve"> million during the second quarter of 2020, while taking advantage of governmental income replacement programs to ensure our associates were supported.</w:t>
      </w:r>
    </w:p>
    <w:p>
      <w:pPr>
        <w:spacing w:after="0" w:line="67" w:lineRule="exact"/>
        <w:rPr>
          <w:sz w:val="20"/>
          <w:szCs w:val="20"/>
          <w:color w:val="auto"/>
        </w:rPr>
      </w:pPr>
    </w:p>
    <w:p>
      <w:pPr>
        <w:jc w:val="both"/>
        <w:ind w:left="760" w:hanging="374"/>
        <w:spacing w:after="0" w:line="25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9, 2020, we amended and restated our $2.0 billion first lien revolving credit facility, extending the maturity date from April 2021 to April 2025. The refinancing includes favorable adjustments to the calculation of the facility’s borrowing base, which improved our availability under the facility by approximately $230 million at December 31, 2020. In May 2020, we further strengthened our liquidity position by issuing $800 million of 9.5% senior notes due 2025, a portion of the proceeds of which were used to repay our $282 million 8.75% senior notes at maturity in August 2020. For further discussion related to these important sources of liquidity, refer to “Liquidity and Capital Resources.”</w:t>
      </w:r>
    </w:p>
    <w:p>
      <w:pPr>
        <w:spacing w:after="0" w:line="88"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16, 2020, we announced that we suspended the quarterly dividend on our common stock. Previously, these dividends totaled approximately $37 million each quarter.</w:t>
      </w:r>
    </w:p>
    <w:p>
      <w:pPr>
        <w:spacing w:after="0" w:line="67" w:lineRule="exact"/>
        <w:rPr>
          <w:rFonts w:ascii="Times New Roman" w:cs="Times New Roman" w:eastAsia="Times New Roman" w:hAnsi="Times New Roman"/>
          <w:sz w:val="18"/>
          <w:szCs w:val="18"/>
          <w:color w:val="auto"/>
        </w:rPr>
      </w:pPr>
    </w:p>
    <w:p>
      <w:pPr>
        <w:jc w:val="both"/>
        <w:ind w:left="760" w:hanging="374"/>
        <w:spacing w:after="0" w:line="25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leveraging governmental relief efforts when available to defer payroll and other tax payments, which benefited full-year cash flows by approximately $60 million in the U.S. alone. In addition, we benefited from a provision in the Coronavirus Aid, Relief, and Economic Security Act that provided for a 50 percent refundable payroll tax credit on wages, including continuing health benefits, paid to U.S. employees retained but not working due to the COVID-19 pandemic. As a result, during 2020, we recorded a benefit of $12 million as an offset to payroll tax expense.</w:t>
      </w:r>
    </w:p>
    <w:p>
      <w:pPr>
        <w:spacing w:after="0" w:line="88"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taken, and will continue to take, as necessary, other actions to reduce costs and preserve cash in order to successfully navigate the current economic environment, including limiting capital expenditures to $647 million for 2020 and reducing discretionary spending, including other selling, administrative and general expenses (“SAG”), which, in total, decreased by $131 million in 2020.</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on April 17, 2020, we reached a tentative bargaining agreement, which was ratified on May 1, 2020, and subsequently permanently closed our Gadsden, Alabama manufacturing facility (“Gadsden”) as part of our continuing strategy to strengthen the competitiveness of our manufacturing footprint by curtailing production of tires for declining, less profitable segments of the tire market. We estimate the total pre-tax charges associated with this plan to be $280 million to $295 million, of which $170 million to $180 million are expected to be cash charges. We recorded $189 million of these charges and made cash payments of $46 million during 2020. The remaining charges will be recorded and the remaining cash payments will be made primarily in 2021 and 2022. We expect the combined impact of this plan and the previously announced rationalization actions related to Gadsden will result in approximately $130 million in annual savings in 2021 when compared to 2019.</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results for 2020 reflect an 18.9% decrease in tire unit shipments compared to 2019, as industry demand was significantly affected, particularly in the second quarter of 2020, by the actions governments, businesses and consumers took to slow the spread of COVID-19. More recently, the macroeconomic impacts of the pandemic have moderated and are expected to continue to improve. Our tire unit shipments were down 17.6%, 45.5%, 9.1% and 4.9% in the first, second, third and fourth quarters of 2020, respectively, compared to 2019. Our results for 2020 include a $394 million unfavorable impact due to higher conversion costs, primarily as a result of lower factory utilization and other period costs directly related to the suspension of production and subsequent ramp up at our manufacturing facilities, partially offset by cost savings of $370 million, including raw material cost saving measures of $61 million. Cost savings for 2020 include approximately $140 million of costs eliminated in response to the COVID-19 pandemic, including through furloughs and government support programs, most of which are expected to return in 2021.</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were $12,321 million in 2020, compared to $14,745 million in 2019. Net sales decreased in 2020 primarily due to lower global tire volume, lower sales in other tire-related businesses, primarily due to lower aviation sales globally and a decrease in third-party sales of chemical products in Americas, and unfavorable foreign currency translation, primarily in Americas and EMEA. These decreases were partially offset by improvements in price and product mix, primarily in EMEA and Americas.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Goodyear net loss in 2020 was $1,254 million, or $5.35 per diluted share, compared to Goodyear net loss of $311 million, or $1.33 per diluted share, in 2019. The increase in Goodyear net loss in 2020 was primarily driven by lower segment operating income and non-cash goodwill and other asset impairment charges, partially offset by lower income tax expense.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total segment operating loss for 2020 was $14 million, compared to income of $945 million in 2019. The $959 million decrease was primarily due to lower global tire volume of $571 million, higher conversion costs of $394 million, primarily in Americas and EMEA, and lower income from other tire-related businesses of $158 million, driven by lower aviation sales globally and lower third-party chemical sales in Americas. These decreases were partially offset by lower SAG of $100 million, primarily due to lower wages and benefits and lower advertising expense reflecting actions taken as a result of the COVID-19</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pandemic, lower raw material costs of $63 million, primarily in EMEA and Asia Pacific, and improvements in price and product mix of $38 million, primarily in EMEA and Americas, partially offset by unfavorable price and product mix in Asia Pacific. Refer to "Results of Operations — Segment Information”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2020, we had $1,539 million in cash and cash equivalents as well as $3,881 million of unused availability under our various credit agreements, compared to $908 million and $3,554 million, respectively, at December 31, 2019. Cash and cash equivalents increased by $631 million from December 31, 2019 primarily due to cash flows from operating activities of $1,115 million and net borrowings of $250 million, partially offset by capital expenditures of $647 million and first quarter dividends paid of $37 million. Cash flows from operating activities reflect cash provided by working capital of $871 million. Cash flows from operating activities also reflect our net loss for the year of $1,250 million, which includes non-cash charges for depreciation and amortization of $859 million and goodwill and other asset impairments of $330 million, as well as current year changes in Balance Sheet Accounts for Other Assets and Liabilities and Compensation and Benefits totaling $290 million. Refer to "Liquidity and Capital Resources" for additional information.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caused the temporary closure of many businesses throughout the world during 2020, which limited global business activity, particularly earlier in the year. Most of our manufacturing facilities around the world suspended or significantly limited production at times during the first half of 2020 in response to the pandemic. We completed a phased restart of most of our manufacturing facilities during the second quarter of 2020, returned to full capacity by the end of the third quarter, and remained at full capacity during the fourth quarter.</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second half of 2020, tire demand in our major markets recovered faster than we anticipated. The stronger than planned volume exceeded our production. We expect to reinvest $450 million to $500 million in working capital during 2021 given the decrease in our inventory levels during 2020.</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markets have recovered considerably, we continue to face a high level of uncertainty as several governments around the globe have recently implemented, or are considering implementing, measures to slow the pandemic that have the potential to reduce economic activity and mobility. We expect volume in the first quarter of 2021 to remain below 2019 levels, reflecting lower auto production and continued softness in vehicle miles traveled.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2021, we expect our production to be approximately 3 million units higher than in the first quarter of 2020. Beyond the first quarter, our decisions to change production levels will be based on an evaluation of market demand signals, inventory and supply levels, as well as our ability to continue to safeguard the health of our associates.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other tire-related businesses have also been significantly affected by the weak economic environment. While our retail and chemical businesses largely stabilized in the second half of 2020, the decline in business and leisure travel is continuing to adversely impact our aviation business, which we expect will continue in 2021.</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full year of 2021, we expect our raw material costs to increase $125 million to $175 million, including the benefit of raw material cost saving measures, primarily in the second half of the year. Natural and synthetic rubber prices and other commodity prices historically have been volatile, and this estimate could change significantly based on fluctuations in the cost of these and other key raw materials and foreign exchange rates. We are continuing to focus on price and product mix, to substitute lower cost materials where possible, to work to identify additional substitution opportunities, to reduce the amount of material required in each tire, and to pursue alternative raw materials.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2021, we expect our capital expenditures will be approximately $850 million, which includes spending for certain items that were deferred in 2020.</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“Item 1A. Risk Factors” for a discussion of the factors that may impact our business, results of operations, financial condition or liquidity and “Forward-Looking Information – Safe Harbor Statement” for a discussion of our use of forward-looking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CONSOLIDATED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per share amounts are diluted and refer to Goodyear net income (loss).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Goodyear net loss in 2020 was $1,254 million, or $5.35 per share, compared to Goodyear net loss of $311 million, or $1.33 per share, in 2019. The increase in Goodyear net loss in 2020 was primarily driven by lower segment operating income and non-cash goodwill and other asset impairment charges, partially offset by lower income tax expense.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in 2020 of $12,321 million decreased $2,424 million, or 16.4%, compared to $14,745 million in 2019, primarily due to lower global tire volume of $2,387 million, lower sales in other tire-related businesses of $244 million, primarily due to lower aviation sales globally and a decrease in third-party sales of chemical products in Americas, and unfavorable foreign currency translation of $233 million, primarily in Americas and EMEA. These decreases were partially offset by improvements in price and product mix of $402 million, primarily in EMEA and Americas. Goodyear worldwide tire unit net sales were $10,339 million and $12,524 million in 2020 and 2019, respectively. Consumer and commercial net sales were $7,190 million and $2,636 million in 2020, respectively. Consumer and commercial net sales were $8,835 million and $2,953 million in 2019,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tire unit sales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14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540" w:type="dxa"/>
            <w:vAlign w:val="bottom"/>
            <w:vMerge w:val="continue"/>
          </w:tcPr>
          <w:p>
            <w:pPr>
              <w:spacing w:after="0"/>
              <w:rPr>
                <w:sz w:val="13"/>
                <w:szCs w:val="13"/>
                <w:color w:val="auto"/>
              </w:rPr>
            </w:pPr>
          </w:p>
        </w:tc>
        <w:tc>
          <w:tcPr>
            <w:tcW w:w="1420" w:type="dxa"/>
            <w:vAlign w:val="bottom"/>
          </w:tcPr>
          <w:p>
            <w:pPr>
              <w:jc w:val="right"/>
              <w:ind w:right="53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580" w:type="dxa"/>
            <w:vAlign w:val="bottom"/>
            <w:gridSpan w:val="2"/>
          </w:tcPr>
          <w:p>
            <w:pPr>
              <w:jc w:val="right"/>
              <w:ind w:right="53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3"/>
                <w:szCs w:val="13"/>
                <w:color w:val="auto"/>
              </w:rPr>
            </w:pPr>
          </w:p>
        </w:tc>
        <w:tc>
          <w:tcPr>
            <w:tcW w:w="1540" w:type="dxa"/>
            <w:vAlign w:val="bottom"/>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Replacement Units</w:t>
            </w:r>
          </w:p>
        </w:tc>
        <w:tc>
          <w:tcPr>
            <w:tcW w:w="1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31.4</w:t>
            </w: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63.6</w:t>
            </w:r>
          </w:p>
        </w:tc>
        <w:tc>
          <w:tcPr>
            <w:tcW w:w="1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63"/>
        </w:trPr>
        <w:tc>
          <w:tcPr>
            <w:tcW w:w="65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95.0</w:t>
            </w:r>
          </w:p>
        </w:tc>
        <w:tc>
          <w:tcPr>
            <w:tcW w:w="160" w:type="dxa"/>
            <w:vAlign w:val="bottom"/>
            <w:tcBorders>
              <w:bottom w:val="single" w:sz="8" w:color="CFF0FC"/>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115.0</w:t>
            </w:r>
          </w:p>
        </w:tc>
        <w:tc>
          <w:tcPr>
            <w:tcW w:w="160" w:type="dxa"/>
            <w:vAlign w:val="bottom"/>
            <w:tcBorders>
              <w:bottom w:val="single" w:sz="8" w:color="CFF0FC"/>
            </w:tcBorders>
          </w:tcPr>
          <w:p>
            <w:pPr>
              <w:spacing w:after="0"/>
              <w:rPr>
                <w:sz w:val="22"/>
                <w:szCs w:val="22"/>
                <w:color w:val="auto"/>
              </w:rPr>
            </w:pPr>
          </w:p>
        </w:tc>
        <w:tc>
          <w:tcPr>
            <w:tcW w:w="15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OE Units</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21.7</w:t>
            </w:r>
          </w:p>
        </w:tc>
        <w:tc>
          <w:tcPr>
            <w:tcW w:w="1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63"/>
        </w:trPr>
        <w:tc>
          <w:tcPr>
            <w:tcW w:w="65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31.0</w:t>
            </w:r>
          </w:p>
        </w:tc>
        <w:tc>
          <w:tcPr>
            <w:tcW w:w="160" w:type="dxa"/>
            <w:vAlign w:val="bottom"/>
            <w:tcBorders>
              <w:bottom w:val="single" w:sz="8" w:color="CFF0FC"/>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40.3</w:t>
            </w:r>
          </w:p>
        </w:tc>
        <w:tc>
          <w:tcPr>
            <w:tcW w:w="160" w:type="dxa"/>
            <w:vAlign w:val="bottom"/>
            <w:tcBorders>
              <w:bottom w:val="single" w:sz="8" w:color="CFF0FC"/>
            </w:tcBorders>
          </w:tcPr>
          <w:p>
            <w:pPr>
              <w:spacing w:after="0"/>
              <w:rPr>
                <w:sz w:val="22"/>
                <w:szCs w:val="22"/>
                <w:color w:val="auto"/>
              </w:rPr>
            </w:pPr>
          </w:p>
        </w:tc>
        <w:tc>
          <w:tcPr>
            <w:tcW w:w="15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0"/>
        </w:trPr>
        <w:tc>
          <w:tcPr>
            <w:tcW w:w="65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Goodyear worldwide tire units</w:t>
            </w: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126.0</w:t>
            </w:r>
          </w:p>
        </w:tc>
        <w:tc>
          <w:tcPr>
            <w:tcW w:w="1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155.3</w:t>
            </w:r>
          </w:p>
        </w:tc>
        <w:tc>
          <w:tcPr>
            <w:tcW w:w="16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worldwide tire unit sales of 29.3 million units, or 18.9%, compared to 2019, included a decrease of 20.0 million replacement tire units, or 17.4%, comprised primarily of a decrease in Americas and EMEA. OE tire units decreased by 9.3 million units, or 23.0%, primarily due to lower vehicle production globally. Consumer and commercial unit sales in 2020 were 113.8 million and 10.6 million, respectively. Consumer and commercial unit sales in 2019 were 141.9 million and 11.7 million,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 of goods sold (“CGS”) was $10,337 million in 2020, decreasing $1,265 million, or 10.9%, from $11,602 million in 2019. CGS was 83.9% of sales in 2020 compared to 78.7% of sales in 2019. CGS in 2020 decreased primarily due to lower global tire volume of $1,816 million, foreign currency translation of $208 million, primarily in Americas and EMEA, lower costs in other tire-related businesses of $86 million, driven by lower aviation sales globally and lower third-party chemical sales in Americas, and lower raw material costs of $63 million, primarily in EMEA and Asia Pacific. These decreases were partially offset by higher conversion costs of $394 million, primarily due to lower factory utilization and other period costs, and the write-off of work-in-process inventory of approximately $26 million, both as a direct result of the suspension of production and subsequent ramp up at our manufacturing facilities, primarily in Americas and EMEA, and higher costs related to product mix of $364 million, primarily in Americas and EMEA. CGS in 2020 included pension expense of $16 million compared to $14 million in 2019. CGS in 2020 and 2019 also included incremental savings from rationalization plans of $107 million and $20 million, respectively.</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CGS in 2020 included accelerated depreciation and asset write-offs of $105 million ($81 million after-tax and minority), primarily related to the permanent closure of Gadsden. CGS in 2019 included accelerated depreciation and asset write-offs of $15 million ($12 million after-tax and minority) and favorable indirect tax settlements in Brazil of $11 million ($7 million after-tax and minority) and in the U.S. of $6 million ($5 million after-tax and minority).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Administrative and General Expense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SAG was $2,192 million in 2020, decreasing $131 million, or 5.6%, from $2,323 million in 2019. SAG was 17.8% of sales in 2020 compared to 15.8% of sales in 2019. SAG decreased primarily due to lower wages and benefits of $42 million, lower advertising expense of $31 million and lower travel-related expenses of $30 million, reflecting global actions taken as a result of the COVID-19 pandemic. SAG also decreased due to foreign currency translation of $23 million, primarily in Americas. SAG in 2020 included pension expense of $18 million compared to $15 million in 2019. SAG in 2020 and 2019 also included incremental savings from rationalization plans of $6 million and $17 million,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Asset Impairments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2020, we recorded non-cash impairment charges of $182 million ($178 million after-tax and minority) related to goodwill of our EMEA reporting unit and $148 million ($113 million after-tax and minority) related to our investment in TireHub. For further information, refer to Notes to the Consolidated Financial Statements No. 11, Goodwill and Intangible Assets, and No. 12, Other Assets and Investments, in this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Rationalizations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recorded net rationalization charges of $159 million ($127 million after-tax and minority) in 2020. Net rationalization charges include $94 million in Americas, primarily related to the permanent closure of Gadsden, and $59 million in EMEA, primarily related to additional termination benefits for associates at the closed Amiens, France manufacturing facility.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net rationalization charges of $205 million ($165 million after-tax and minority) in 2019. Net rationalization charges include $115 million in EMEA, primarily related to a plan to modernize two of our manufacturing facilities in Germany, and $90 million in Americas, primarily related to the offer of voluntary buy-outs and other actions in 2019 related to Gadsden.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completion of the 2020 plans, we estimate that annual segment operating income will improve by approximately $91 million ($73 million CGS and $18 million SAG). The savings realized in 2020 from rationalization plans totaled $113 million ($107 million CGS and $6 million SAG).</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refer to the Note to the Consolidated Financial Statements No. 3, Costs Associated with Rationalization Programs, in this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was $324 million in 2020, decreasing $16 million from $340 million in 2019. The decrease was primarily due to a lower average interest rate of 4.99% in 2020 compared to 5.31% in 2019, partially offset by a higher average debt balance of $6,495 million in 2020 compared to $6,408 million in 2019.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Expense was $119 million and $98 million in 2020 and 2019, respectively. The $21 million increase was primarily due to a decrease in net gains on asset sales of $18 million, a decrease in net foreign currency exchange gains of $13 million, interest income in 2019 on favorable indirect tax settlements in Brazil of $8 million ($5 million after-tax and minority), and a net gain in 2019 on insurance recoveries of $4 million ($3 million after-tax and minority). These increases were partially offset by charges of $25 million ($25 million after-tax and minority) in 2019 related to flooding at our Beaumont, Texas chemical facility.</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Non-service related pension and other postretirement benefits expense of $110 million in 2020 includes net pension settlement and curtailment charges of $18 million ($14 million after-tax and minority). Non-service related pension and other postretirement benefits expense of $118 million in 2019 includes pension settlement charges of $5 million ($4 million after-tax and minority).</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(gains) losses on asset sales were a loss of $2 million ($2 million after-tax and minority) in 2020 as compared to a gain of $16 million ($15 million after-tax and minority) in 2019.</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in 2020 included charges of $3 million ($2 million after-tax and minority), compared to charges of $5 million ($4 million after-tax and minority) in 2019, for non-asbestos legal claims related to discontinued products. Other (Income) Expense in 2019 included a net gain of $2 million ($2 million after-tax and minority) related to an acquisition and $2 million ($2 million after-tax and minority) of favorable foreign currency translation on indirect tax items.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refer to the Note to the Consolidated Financial Statements No. 5, Other (Income) Expense, in this Form 10-K.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 expense in 2020 was $110 million on a loss before income taxes of $1,140 million. In 2020, income tax expense was unfavorably impacted by net discrete adjustments totaling $305 million ($305 million after minority interest), including the establishment of a $295 million valuation allowance on certain deferred tax assets for foreign tax credits during the first quarter of 2020 as discussed below. Discrete adjustments also reflect a net charge of $10 million, including a $15 million charge related to a U.S. valuation allowance for state loss carryforwards, a $13 million benefit to adjust our deferred tax assets in England for a third quarter enacted change in the tax rate, and various other net charges totaling $8 million.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 expense in 2019 was $474 million on income before income taxes of $177 million. In 2019, income tax expense was unfavorably impacted by net discrete adjustments totaling $386 million. Discrete adjustments were due to non-cash charges of $334 million related to an acceleration of royalty income in the U.S. from the sale of certain European royalty payments to Luxembourg and $150 million related to an increase in our valuation allowance on tax losses in Luxembourg, which were partially offset by a non-cash tax benefit of $98 million related to a reduction of our U.S. valuation allowance for foreign tax credits.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December 31, 2020, we had approximately $1.2 billion of U.S. federal, state and local deferred tax assets, net of valuation allowances totaling $368 million primarily for foreign tax credits with limited lives. Approximately $900 million of these U.S. net deferred tax assets have unlimited lives and approximately $300 million have limited lives and expire between 2025 and 2040. At December 31, 2019, we had approximately $1.2 billion of U.S. federal, state and local deferred tax assets, net of valuation allowances totaling $13 million. In the U.S., we have a cumulative loss for the three-year period ending December 31, 2020. However, as the three-year cumulative loss in the U.S. is driven by the business disruption created by the COVID-19 pandemic, in assessing our ability to utilize our deferred tax assets, we also considered objectively verifiable information including recent favorable recovery trends in the tire industry and our tire volume as well as the return to profitability of our U.S. business by the end of the fourth quarter and its expected continued improvement. While the COVID-19 related disruptions to our business are ultimately expected to be temporary, there is still considerable uncertainty around the extent and duration of these disruptions, as well as what additional actions federal, state or local governments may take to contain the pandemic. As such, an additional valuation allowance may be required against all, or a portion of, our U.S. net deferred tax assets in a future period.</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December 31, 2020 and 2019, our U.S. deferred tax assets included $133 million and $403 million of foreign tax credits with limited lives, net of valuation allowances of $328 million and $3 million, respectively, generated primarily from the receipt of foreign dividends. During the first quarter of 2020, we established a valuation allowance of $295 million against all of these foreign tax credits with expiration dates through 2024 and a portion of those expiring in 2025. In addition, during the fourth quarter of 2020, we increased our valuation allowance by $30 million with a corresponding increase to our deferred tax assets to reflect the impact of a decrease in foreign tax credits utilized on our 2019 income tax return. Due to the sudden and sharp decline in industry demand and the temporary suspension of production at our U.S. manufacturing facilities as a result of the COVID-19 pandemic, we have a significant U.S. tax loss for 2020. As loss carryforwards must be utilized prior to foreign tax credits in offsetting future income for tax purposes, we concluded that it is not more likely than not that we will be able to utilize these foreign tax credits prior to their expiration. Our earnings and forecasts of future profitability, taking into consideration recent trends, along with three significant sources of foreign income provide us sufficient positive evidence that we will be able to utilize our remaining foreign tax credits that expire between 2025 and 2030.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capitalizing research and development costs, accelerating income on cross border transactions, including sales of inventory or raw materials to our subsidiaries, and reducing U.S. interest expense by, for example, reducing intercompany loans through repatriating current year earnings of foreign subsidiaries, all of which would increase our domestic profitability.</w:t>
      </w:r>
    </w:p>
    <w:p>
      <w:pPr>
        <w:spacing w:after="0" w:line="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consider our current forecasts of future profitability in assessing our ability to realize our deferred tax assets, including our foreign tax credits. As noted above, these forecasts include the impact of recent trends, including various macroeconomic factors such as the impact of the COVID-19 pandemic, on our profitability, as well as the impact of tax planning strategies. Macroeconomic factors, including the impact of the COVID-19 pandemic, possess a high degree of volatility and can significantly impact our profitability. As such, there is a risk that future earnings will not be sufficient to fully utilize our U.S. net deferred tax assets, including our remaining foreign tax credits. However, we believe our forecasts of future profitability along with the three significant sources of foreign income described above provide us sufficient positive, objectively verifiable evidence to conclude that it is more likely than not that, at December 31, 2020, our U.S. net deferred tax assets, including our foreign tax credits, net of valuation allowances, will be fully utilized.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2020 and 2019, we had approximately $1.3 billion and $1.2 billion of foreign deferred tax assets, respectively, and valuation allowances of $1.1 billion and $1.0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$978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81" w:lineRule="exact"/>
        <w:rPr>
          <w:sz w:val="20"/>
          <w:szCs w:val="20"/>
          <w:color w:val="auto"/>
        </w:rPr>
      </w:pPr>
    </w:p>
    <w:p>
      <w:pPr>
        <w:ind w:right="40"/>
        <w:spacing w:after="0" w:line="375" w:lineRule="auto"/>
        <w:rPr>
          <w:sz w:val="20"/>
          <w:szCs w:val="20"/>
          <w:color w:val="auto"/>
        </w:rPr>
      </w:pPr>
      <w:r>
        <w:rPr>
          <w:rFonts w:ascii="Times New Roman" w:cs="Times New Roman" w:eastAsia="Times New Roman" w:hAnsi="Times New Roman"/>
          <w:sz w:val="18"/>
          <w:szCs w:val="18"/>
          <w:color w:val="auto"/>
        </w:rPr>
        <w:t xml:space="preserve">For further information, refer to "Critical Accounting Policies" and Note to the Consolidated Financial Statements No. 6, Income Taxes, in this Form 10-K. </w:t>
      </w:r>
      <w:r>
        <w:rPr>
          <w:rFonts w:ascii="Times New Roman" w:cs="Times New Roman" w:eastAsia="Times New Roman" w:hAnsi="Times New Roman"/>
          <w:sz w:val="18"/>
          <w:szCs w:val="18"/>
          <w:b w:val="1"/>
          <w:bCs w:val="1"/>
          <w:color w:val="auto"/>
        </w:rPr>
        <w:t>Minority Shareholders’ Net Income</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Minority shareholders’ net income was $4 million in 2020, compared to $14 million in 2019. The decrease primarily relates to a $17 million indirect tax benefit in EMEA during the first quarter of 2019.</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reflects our SBUs, which are organized to meet customer requirements and global competition and are segmented on a regional basis.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Segment operating income does not include net rationalization charges (credits), asset sales and certain other items.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segment operating loss in 2020 was $14 million, compared to total segment operating income of $945 million in 2019. Total segment operating margin (segment operating income (loss) divided by segment sales) in 2020 was (0.1%) compared to 6.4% in 2019.</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the Note to the Consolidated Financial Statements No. 8, Business Segments, in this Form 10-K, for further information and for a reconciliation of total segment operating income to Income (Loss) before Income Taxes.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00" w:type="dxa"/>
            <w:vAlign w:val="bottom"/>
            <w:tcBorders>
              <w:bottom w:val="single" w:sz="8" w:color="CFF0FC"/>
            </w:tcBorders>
            <w:vMerge w:val="continue"/>
          </w:tcPr>
          <w:p>
            <w:pPr>
              <w:spacing w:after="0"/>
              <w:rPr>
                <w:sz w:val="13"/>
                <w:szCs w:val="13"/>
                <w:color w:val="auto"/>
              </w:rPr>
            </w:pPr>
          </w:p>
        </w:tc>
        <w:tc>
          <w:tcPr>
            <w:tcW w:w="26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1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Tire Units</w:t>
            </w:r>
          </w:p>
        </w:tc>
        <w:tc>
          <w:tcPr>
            <w:tcW w:w="2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70.4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6,556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7,922</w:t>
            </w:r>
          </w:p>
        </w:tc>
        <w:tc>
          <w:tcPr>
            <w:tcW w:w="16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8,168</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Americas unit sales in 2020 decreased 13.7 million units, or 19.4%, to 56.7 million units. Replacement tire volume decreased 10.7 million units, or 19.3%, primarily in our consumer business in the United States, Brazil and Canada, due to lower sales resulting from the economic impacts of the COVID-19 pandemic. OE tire volume decreased 3.0 million units, or 19.8%, primarily in our consumer business in the United States, Brazil and Canada, driven by lower vehicle production as a result of pandemic-related impacts at major OE manufacturers.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2020 were $6,556 million, decreasing $1,366 million, or 17.2%, compared to $7,922 million in 2019. The decrease in net sales was driven by lower volume of $1,231 million, lower sales in other tire-related businesses of $191 million, primarily due to a decrease in third-party sales of chemical products and lower aviation and retail sales, and unfavorable foreign currency translation of $165 million, primarily related to the Brazilian real. These decreases were partially offset by improvements in price and product mix of $185 million, driven by higher proportionate sales of commercial tires, and $34 million ($26 million after-tax and minority) for a one-time legal settlement.</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income in 2020 was $9 million, decreasing $541 million, or 98.4%, from $550 million in 2019. The decrease in operating income was due to lower volume of $281 million, higher conversion costs of $215 million, primarily related to lower factory utilization and other period costs, and the write-off of work-in-process inventory of approximately $13 million, both as a direct result of the suspension of production and subsequent ramp up at our manufacturing facilities, and lower earnings in other tire-related businesses of $94 million, primarily due to a decrease in third-party sales of chemical products and lower aviation and retail sales. These decreases were partially offset by lower SAG of $37 million, primarily related to lower wages and benefits and travel-related expenses reflecting actions taken as a result of the COVID-19 pandemic, and improvements in price and product mix of $20 million. Operating income was also impacted by the $34 million one-time legal settlement noted above as well as a $13 million ($10 million after-tax and minority) charge for an environmental remediation liability at a closed facility. Conversion costs include savings from rationalization plans of $92 million in 2020, primarily related to Gadsden. Price and product mix includes TireHub equity losses of $36 million and $33 million in 2020 and 2019, respectively.</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income in 2020 excluded the TireHub non-cash impairment charge of $148 million, as well as accelerated depreciation and asset write-offs of $103 million and rationalization charges of $94 million, primarily related to the permanent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closure of Gadsden. Operating income in 2019 excluded rationalization charges of $90 million and accelerated depreciation and asset write-offs of $13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Americas' results are highly dependent upon the United States, which accounted for 82% and 81% of Americas' net sales in 2020 and 2019,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 in the United States are expected to continue to have a significant impact on Americas' future performance.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Middle East and Africa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40" w:type="dxa"/>
            <w:vAlign w:val="bottom"/>
            <w:tcBorders>
              <w:bottom w:val="single" w:sz="8" w:color="CFF0FC"/>
            </w:tcBorders>
            <w:vMerge w:val="continue"/>
          </w:tcPr>
          <w:p>
            <w:pPr>
              <w:spacing w:after="0"/>
              <w:rPr>
                <w:sz w:val="13"/>
                <w:szCs w:val="13"/>
                <w:color w:val="auto"/>
              </w:rPr>
            </w:pPr>
          </w:p>
        </w:tc>
        <w:tc>
          <w:tcPr>
            <w:tcW w:w="23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Tire Units</w:t>
            </w:r>
          </w:p>
        </w:tc>
        <w:tc>
          <w:tcPr>
            <w:tcW w:w="2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4,020</w:t>
            </w:r>
          </w:p>
        </w:tc>
        <w:tc>
          <w:tcPr>
            <w:tcW w:w="5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4,708</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5,090</w:t>
            </w: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Europe, Middle East and Africa unit sales in 2020 decreased 10.6 million units, or 19.3%, to 44.5 million units. Replacement tire volume decreased 7.5 million units, or 18.2%, primarily in our consumer business, reflecting decreased industry demand due to the economic impacts of the COVID-19 pandemic and expected declines resulting from our initiative to align distribution in Europe. OE tire volume decreased 3.1 million units, or 22.6%, primarily in our consumer business, driven by lower vehicle production as a result of pandemic-related impacts at major OE manufacturers and our continued exit of declining, less profitable market segments.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2020 were $4,020 million, decreasing $688 million, or 14.6%, compared to $4,708 million in 2019. Net sales decreased primarily due to lower volume of $825 million, unfavorable foreign currency translation of $52 million, driven by the weakening of the Turkish lira, South African rand and Russian ruble, partially offset by the strengthening of the euro, and lower sales in other tire-related businesses of $22 million, primarily due to lower aviation sales. These decreases were partially offset by improvements in price and product mix of $210 million, driven by higher proportionate sales of commercial tires and our continued focus on 17-inch and above rim size consumer tires.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loss in 2020 was $72 million, a change of $274 million, from operating income of $202 million in 2019. The change in operating income (loss) was primarily due to lower volume of $204 million, higher conversion costs of $143 million, primarily related to lower factory utilization and other period costs, and the write-off of work-in-process inventory of approximately $12 million, both as a direct result of the suspension of production and subsequent ramp up at our manufacturing facilities, lower earnings in other tire-related businesses of $27 million, primarily due to lower aviation and motorcycle sales, and higher start-up costs of $8 million, primarily related to our plant expansion projects in Europe. These decreases in operating income were partially offset by improvements in price and product mix of $58 million, lower raw material costs of $40 million, and lower SAG of $37 million, primarily related to lower advertising and travel-related expenses reflecting actions taken as a result of the COVID-19 pandemic. SAG and conversion costs included incremental savings from rationalization plans of $4 million and $15 million, respectively.</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(loss) in 2020 excluded a non-cash goodwill impairment charge of $182 million, net rationalization charges of $59 million, net losses on asset sales of $2 million, and accelerated depreciation and asset write-offs of $2 million. Operating income (loss) in 2019 excluded net rationalization charges of $115 million, net gains on asset sales of $16 million, and accelerated depreciation and asset write-offs of $2 million.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EMEA’s results are highly dependent upon Germany, which accounted for 18% and 21% of EMEA’s net sales in 2020 and 2019, respectively. Results of operations in Germany are expected to continue to have a significant impact on EMEA’s future performance.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 Pacific</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00" w:type="dxa"/>
            <w:vAlign w:val="bottom"/>
            <w:tcBorders>
              <w:bottom w:val="single" w:sz="8" w:color="CFF0FC"/>
            </w:tcBorders>
            <w:vMerge w:val="continue"/>
          </w:tcPr>
          <w:p>
            <w:pPr>
              <w:spacing w:after="0"/>
              <w:rPr>
                <w:sz w:val="13"/>
                <w:szCs w:val="13"/>
                <w:color w:val="auto"/>
              </w:rPr>
            </w:pPr>
          </w:p>
        </w:tc>
        <w:tc>
          <w:tcPr>
            <w:tcW w:w="26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1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Tire Units</w:t>
            </w:r>
          </w:p>
        </w:tc>
        <w:tc>
          <w:tcPr>
            <w:tcW w:w="2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1,745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2,115</w:t>
            </w:r>
          </w:p>
        </w:tc>
        <w:tc>
          <w:tcPr>
            <w:tcW w:w="16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Asia Pacific unit sales in 2020 decreased 5.0 million units, or 16.9%, to 24.8 million units. OE tire volume decreased 3.2 million units, or 27.8%, primarily in our consumer business in China and India, driven by </w:t>
      </w:r>
      <w:r>
        <w:rPr>
          <w:rFonts w:ascii="Times New Roman" w:cs="Times New Roman" w:eastAsia="Times New Roman" w:hAnsi="Times New Roman"/>
          <w:sz w:val="14"/>
          <w:szCs w:val="14"/>
          <w:color w:val="auto"/>
        </w:rPr>
        <w:t>l</w:t>
      </w:r>
      <w:r>
        <w:rPr>
          <w:rFonts w:ascii="Times New Roman" w:cs="Times New Roman" w:eastAsia="Times New Roman" w:hAnsi="Times New Roman"/>
          <w:sz w:val="18"/>
          <w:szCs w:val="18"/>
          <w:color w:val="auto"/>
        </w:rPr>
        <w:t>ower vehicle production at major OE manufacturers as a result of the COVID-19 pandemic and the impact of discontinued fitments in China. Replacement tire volume decreased 1.8 million units, or 10.1%, primarily in our consumer business, reflecting decreased industry demand as a result of the economic impacts of the COVID-19 pandemic.</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2020 were $1,745 million, decreasing $370 million, or 17.5%, from $2,115 million in 2019. Net sales decreased due to lower volume of $331 million, lower sales in other tire-related businesses of $31 million, primarily due to lower aviation and retail sales, and unfavorable foreign currency translation of $16 million, primarily related to the weakening of the Indian rupee. These decreases were partially offset by improvements in price and product mix of $7 million.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in 2020 was $49 million, decreasing $144 million, or 74.6%, from $193 million in 2019. Operating income decreased due to lower volume of $86 million, unfavorable price and product mix of $40 million, lower earnings in other tire-related businesses of $37 million, primarily due to lower aviation and retail sales, and higher conversion costs of $36 million, primarily due to the impact of lower factory utilization. These decreases were partially offset by lower raw material costs of $35 million and lower SAG of $26 million, primarily related to lower wages and benefits, advertising and travel-related expenses reflecting actions taken as a result of the COVID-19 pandemic.</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in 2020 excluded net rationalization charges of $4 million.</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Asia Pacific’s results are highly dependent upon Australia and China. Australia accounted for 27% of Asia Pacific’s net sales in both 2020 and 2019, respectively. China accounted for 25% and 26% of Asia Pacific's net sales in 2020 and 2019, respectively. Results of operations in Australia and China are expected to continue to have a significant impact on Asia Pacific's future performance.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related notes to the financial statements. On an ongoing basis, management reviews its estimates, based on currently available information. Changes in facts and circumstances may alter such estimates and affect our results of operations and financial position in future periods. Our critical accounting policies relate to:</w:t>
      </w:r>
    </w:p>
    <w:p>
      <w:pPr>
        <w:spacing w:after="0" w:line="72" w:lineRule="exact"/>
        <w:rPr>
          <w:sz w:val="20"/>
          <w:szCs w:val="20"/>
          <w:color w:val="auto"/>
        </w:rPr>
      </w:pPr>
    </w:p>
    <w:p>
      <w:pPr>
        <w:ind w:left="760" w:hanging="37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product liability and other litigation,</w:t>
      </w:r>
    </w:p>
    <w:p>
      <w:pPr>
        <w:spacing w:after="0" w:line="2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 valuation allowances and uncertain income tax positions, and</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pensions and other postretirement benefits.</w:t>
      </w:r>
    </w:p>
    <w:p>
      <w:pPr>
        <w:spacing w:after="0" w:line="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and Product Liability and Other Litigation. </w:t>
      </w:r>
      <w:r>
        <w:rPr>
          <w:rFonts w:ascii="Times New Roman" w:cs="Times New Roman" w:eastAsia="Times New Roman" w:hAnsi="Times New Roman"/>
          <w:sz w:val="18"/>
          <w:szCs w:val="18"/>
          <w:color w:val="auto"/>
        </w:rPr>
        <w:t>We have recorded liabilities totaling $285 million, including related legal fees expected to be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potential product liability and other tort claims, including asbestos claims, at December 31, 2020. General and product liability and other litigation liabilities are recorded based on management’s assessment that a loss arising from these matters is probable. If the loss can be reasonably estimated, we record the amount of the estimated loss. If the loss is estimated within a range and no point within the range is more probable than another, we record the minimum amount in the range. As additional information becomes available, any potential liability related to these matters is assessed and the estimates are revised, if necessary. Loss ranges are based upon the specific facts of each claim or class of claims and are determined after review by counsel. Court rulings on our cases or similar cases may impact our assessment of the probability and our estimate of the loss, which may have an impact on our reported results of operations, financial position and liquidity. We record receivables for insurance recoveries related to our litigation claims when it is probable that we will receive reimbursement from the insurer. Specifically, we are a defendant in numerous lawsuits alleging various asbestos-related personal injuries purported to result from alleged exposure to asbestos in certain products previously manufactured by us or present in certain of our facilities. Typically, these lawsuits have been brought against multiple defendants in federal and state courts.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and at least annually, update, using actuarial analyses, our existing reserves for pending claims, including a reasonable estimate of the liability associated with unasserted asbestos claims, and estimate our receivables from probable insurance recoveries. In determining the estimate of our asbestos liability, we evaluated claims over the next ten-year period. Due to the difficulties in making these estimates, analysis based on new data and/or changed circumstances arising in the future may result in an increase in the recorded obligation, and that increase may be significant. We had recorded gross liabilities for both asserted and unasserted asbestos claims, inclusive of defense costs, totaling $149 million at December 31, 2020.</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We record a receivable with respect to such policies when we determine that recovery is probable and we can reasonably estimate the amount of a particular recovery. This determination is based on consultation with our outside legal counsel and takes into consideration agreements with certain of our insurance carriers, the financial viability and legal obligations of our insurance carriers, and other relevant factors.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2020, we recorded a receivable related to asbestos claims of $90 million, and we expect that approximately 60% of asbestos claim related losses would be recoverable through insurance through the period covered by the estimated liability. Of this amount, $13 million was included in Current Assets as part of Accounts Receivable at December 31, 2020. The recorded receivable consists of an amount we expect to collect under coverage-in-place agreements with certain primary and excess insurance carriers as well as an amount we believe is probable of recovery from certain of our other excess insurance carriers. Although we believe these amounts are collectible under primary and certain excess policies today, future disputes with insurers could result in significant charges to operations.</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Workers’ Compensation. </w:t>
      </w:r>
      <w:r>
        <w:rPr>
          <w:rFonts w:ascii="Times New Roman" w:cs="Times New Roman" w:eastAsia="Times New Roman" w:hAnsi="Times New Roman"/>
          <w:sz w:val="18"/>
          <w:szCs w:val="18"/>
          <w:color w:val="auto"/>
        </w:rPr>
        <w:t>We have recorded liabilities, on a discounted basis, of $196 million for anticipated costs related to U.S. workers’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at December 31, 2020.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The liability is discounted using the risk-free rate of return.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on general and product liability and other litigation, and workers’ compensation, refer to Note to the Consolidated Financial Statements No. 19, Commitments and Contingent Liabilities, in this Form 10-K.</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is tested for impairment annually as of October 31 or more frequently if an indicator of impairment is present. Goodwill totaled $408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at December 31, 2020.</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test goodwill for impairment on at least an annual basis, with the option to perform a qualitative assessment to determine whether further impairment testing is necessary or to perform a quantitative assessment by comparing the fair value of a reporting unit to its carrying amount, including goodwill. Under the qualitative assessment, an entity is not required to calculate the fair value of a reporting unit unless the entity determines that it is more likely than not (defined as a likelihood of more than 50%) that its fair value is less than its carrying amount. If under the quantitative assessment the fair value of a reporting unit is less than its carrying amount, then an impairment charge is recorded for that difference, not to exceed the total goodwill allocated to that reporting unit. Our policy is to perform a quantitative assessment at least once every five years.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COVID-19 pandemic and the resulting decline in the macroeconomic environment, as well as a significant decrease in our market capitalization, we performed an interim impairment analysis as of March 31, 2020 utilizing a discounted cash flow model. Based on the results of this interim analysis, we recorded a non-cash impairment charge of $182 million related to our EMEA reporting unit in the first quarter of 2020. The most critical assumptions used in the calculation of the estimated fair value of our reporting units were the timing of the recovery in sales from the COVID-19 pandemic, the projected long-term operating margin and the discount rate. Since the date of our 2019 annual goodwill impairment assessment, which was conducted on a quantitative basis, the overall discount rate increased, reflecting an increase in the risk premium components of the rate partially offset by a decrease in the risk-free interest rate component, as a result of the macroeconomic environment. Also, we gave consideration to the expected near-term negative cash flow impact of the COVID-19 pandemic and subsequent recovery, based on our forecasts at that time, as well as a decrease in our market capitalization.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first quarter of 2020, our forecasts as well as our market capitalization have both improved and we have concluded that there were no additional triggering events during the remaining nine months of 2020. Likewise, our 2020 annual impairment analysis, which was also conducted on a quantitative basis, indicated no impairment and that the fair values substantially exceeded the carrying amounts for each reporting unit tested. There were no events or circumstances that indicated the quantitative impairment tests should be re-performed for any reporting unit at December 31, 2020.</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estimates of future cash flows include assumptions concerning future operating performance and economic conditions, including the impacts of the ongoing COVID-19 pandemic on our sales, and may differ from actual future cash flows. Under the discounted cash flow approach, fair value is calculated as the sum of the projected discounted cash flows of the reporting unit over the next five years and the terminal value at the end of those five years and is dependent on estimates for future sales, operating margin, capital expenditures, rationalization activities and working capital changes, as well as expected long-term growth rates for cash flows and an appropriate discount rate. The risk adjusted discount rate used is consistent with the weighted average cost of capital for companies in the tire industry and is intended to represent a rate of return that would be expected by a market participant. The projected long term operating margin utilized in our fair value estimates is consistent with the reporting unit operating plan and is dependent on the successful execution of our business plan, overall industry growth rates and the competitive environment. As a result, the long term operating margin could be adversely impacted by our ability to execute our business plan as well as by volatile macroeconomic factors such as raw material prices, industry conditions, including the ongoing impacts of the COVID-19 pandemic, or competition. Our business plan includes rationalization programs, aligned distribution actions, and recovering past raw material cost increases by improving price and product mix, including through continued focus on higher margin tires. The discount rate could be adversely impacted by changes in the macroeconomic environment and volatility in the equity and debt markets. Although management believes its estimate of fair value is reasonable, if future financial performance falls below our expectations or there are negative revisions to significant assumptions, or if our market capitalization declines further and if such a decline becomes indicative that the fair value of our reporting units has declined below their carrying values, we may need to record a material, non-cash goodwill impairment charge in a future period.</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Deferred Tax Asset Valuation Allowances and Uncertain Income Tax Positions. </w:t>
      </w:r>
      <w:r>
        <w:rPr>
          <w:rFonts w:ascii="Times New Roman" w:cs="Times New Roman" w:eastAsia="Times New Roman" w:hAnsi="Times New Roman"/>
          <w:sz w:val="18"/>
          <w:szCs w:val="18"/>
          <w:color w:val="auto"/>
        </w:rPr>
        <w:t>At December 31, 2020, our valuation allowance on certain of our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state and local deferred tax assets was $368 million, primarily related to foreign tax credits with limited lives, and our valuation allowance on our foreign deferred tax assets was $1.1 billion. At December 31, 2019, our valuation allowance on certain U.S. federal, state and local deferred tax assets was $13 million and our valuation allowance on our foreign deferred tax assets was $1.0 billion.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a reduction to the carrying amounts of deferred tax assets by recording a valuation allowance if, based on the available evidence, it is more likely than not such assets will not be realized. The valuation of deferred tax assets requires judgment in assessing future profitability, including the impact of tax planning strategies and the expiration date of the asset.</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 the appropriate character exists in the periods required in order to realize our deferred tax assets with limited lives (such as tax loss carryforwards and tax credits) prior to their expiration. We consider tax planning strategies available to accelerate taxable amounts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December 31, 2020, we had approximately $1.2 billion of U.S. federal, state and local deferred tax assets, net of valuation allowances totaling $368 million primarily for foreign tax credits with limited lives. Approximately $900 million of these U.S. net deferred tax assets have unlimited lives and approximately $300 million have limited lives and expire between 2025 and 2040. At December 31, 2019, we had approximately $1.2 billion of U.S. federal, state and local deferred tax assets, net of valuation allowances totaling $13 million. In the U.S., we have a cumulative loss for the three-year period ending December 31, 2020. However, as the three-year cumulative loss in the U.S. is driven by the business disruption created by the COVID-19 pandemic, in assessing our ability to utilize our deferred tax assets, we also considered objectively verifiable information including recent favorable recovery trends in the tire industry and our tire volume as well as the return to profitability of our U.S. business by the end of the fourth quarter and its expected continued improvement. While the COVID-19 related disruptions to our business are ultimately expected to be temporary, there is still considerable uncertainty around the extent and duration of these disruptions, as well as what additional actions federal, state or local governments may take to contain the pandemic. As such, an additional valuation allowance may be required against all, or a portion of, our U.S. net deferred tax assets in a future period.</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December 31, 2020 and 2019, our U.S. deferred tax assets included $133 million and $403 million of foreign tax credits with limited lives, net of valuation allowances of $328 million and $3 million, respectively, generated primarily from the receipt of foreign dividends. During the first quarter of 2020, we established a valuation allowance of $295 million against all of these foreign tax credits with expiration dates through 2024 and a portion of those expiring in 2025. In addition, during the fourth quarter of 2020, we increased our valuation allowance by $30 million with a corresponding increase to our deferred tax assets to reflect the impact of a decrease in foreign tax credits utilized on our 2019 income tax return. Due to the sudden and sharp decline in industry demand and the temporary suspension of production at our U.S. manufacturing facilities as a result of the COVID-19 pandemic, we have a significant U.S. tax loss for 2020. As loss carryforwards must be utilized prior to foreign tax credits in offsetting future income for tax purposes, we concluded that it is not more likely than not that we will be able to utilize these foreign tax credits prior to their expiration. Our earnings and forecasts of future profitability, taking into consideration recent trends, along with three significant sources of foreign income provide us sufficient positive evidence that we will be able to utilize our remaining foreign tax credits that expire between 2025 and 2030.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capitalizing research and development costs, accelerating income on cross border transactions, including sales of inventory or raw materials to our subsidiaries, and reducing U.S. interest expense by, for example, reducing intercompany loans through repatriating current year earnings of foreign subsidiaries, all of which would increase our domestic profitability.</w:t>
      </w:r>
    </w:p>
    <w:p>
      <w:pPr>
        <w:spacing w:after="0" w:line="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consider our current forecasts of future profitability in assessing our ability to realize our deferred tax assets, including our foreign tax credits. As noted above, these forecasts include the impact of recent trends, including various macroeconomic factors such as the impact of the COVID-19 pandemic, on our profitability, as well as the impact of tax planning strategies. Macroeconomic factors, including the impact of the COVID-19 pandemic, possess a high degree of volatility and can significantly impact our profitability. As such, there is a risk that future earnings will not be sufficient to fully utilize our U.S. net deferred tax assets, including our remaining foreign tax credits. However, we believe our forecasts of future profitability along with the three significant sources of foreign income described above provide us sufficient positive, objectively verifiable evidence to conclude that it is more likely than not that, at December 31, 2020, our U.S. net deferred tax assets, including our foreign tax credits, net of valuation allowances, will be fully utilized.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2020 and 2019, we had approximately $1.3 billion and $1.2 billion of foreign deferred tax assets, respectively, and valuation allowances of $1.1 billion and $1.0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$978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the effects of changes in tax rates and laws on deferred tax balances in the period in which legislation is enacted. We remeasure existing deferred tax assets and liabilities considering the tax rates at which they will be realized. We also consider the effects of enacted tax laws in our analysis of the need for valuation allowances.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January 1, 2018, the Tax Cuts and Jobs Act subjects a U.S. parent to current tax on its global intangible low-taxed income ("GILTI"). To the extent that we incur expense under the GILTI provisions, we will treat it as a component of income tax expense in the period incurred.</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including those for transfer pricing.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resulting in an increase in our effective tax rate in the period of resolution. To reduce our risk of an unfavorable transfer price settlement, the Company applies consistent transfer pricing policies and practices globally, supports pricing with economic studies and seeks advance pricing agreements and joint audits to the extent possible. A favorable tax settlement would be recognized as a reduction of expense to the extent the settlement amount is lower than recorded liabilities and, in the case of an income tax settlement, would result in a reduction in our effective tax rate in the period of resolution. We report interest and penalties related to uncertain income tax positions as income tax expense.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uncertain income tax positions and valuation allowances, refer to Note to the Consolidated Financial Statements No. 6, Income Taxes, in this Form 10-K.</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Pensions and Other Postretirement Benefits. </w:t>
      </w:r>
      <w:r>
        <w:rPr>
          <w:rFonts w:ascii="Times New Roman" w:cs="Times New Roman" w:eastAsia="Times New Roman" w:hAnsi="Times New Roman"/>
          <w:sz w:val="18"/>
          <w:szCs w:val="18"/>
          <w:color w:val="auto"/>
        </w:rPr>
        <w:t>We have recorded liabilities for pension and other postretirement benefits of $606 million and $236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at December 31, 2020. Our recorded liabilities and net periodic costs for pensions and other postretirement benefits are based on a number of assumptions, including:</w:t>
      </w:r>
    </w:p>
    <w:p>
      <w:pPr>
        <w:spacing w:after="0" w:line="67" w:lineRule="exact"/>
        <w:rPr>
          <w:sz w:val="20"/>
          <w:szCs w:val="20"/>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expectancies,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rates,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rates of return on plan assets,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compensation levels,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health care costs,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company-covered benefit costs.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these assumptions are determined with the assistance of independent actuaries. Assumptions about life expectancies, retirement rates, future compensation levels and future health care costs are based on past experience and anticipated future trends. The discount rate for our U.S. plans is based on a yield curve derived from a portfolio of corporate bonds from issuers rated AA or higher as of December 31 and is reviewed annually. Our expected benefit payment cash flows are discounted based on spot rates developed from the yield curve. The mortality assumption for our U.S. plans is based on actual historical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experience, an assumed long term rate of future improvement based on published actuarial tables, and current government regulations related to lump sum payment factors. The long term rate of return on U.S. plan assets is based on estimates of future long term rates of return similar to the target allocation of substantially all fixed income securities. Actual U.S. pension fund asset allocations are reviewed on a monthly basis and the pension fund is rebalanced to target ranges on an as-needed basis. These assumptions are reviewed regularly and revised when appropriate. Changes in one or more of them may affect the amount of our recorded liabilities and net periodic costs for these benefits. Other assumptions involving demographic factors such as retirement age and turnover are evaluated periodically and are updated to reflect our experience and expectations for the future. If actual experience differs from expectations, our financial position, results of operations and liquidity in future periods may be affected.</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weighted average discount rate used in estimating the total liability for our U.S. pension and other postretirement benefit plans was 2.42% and 2.34%, respectively, at December 31, 2020, compared to 3.22% and 3.14%, respectively, at December 31, 2019. The decrease in the discount rate at December 31, 2020 was due primarily to lower yields on highly rated corporate bonds. Interest cost included in our U.S. net periodic pension cost was $126 million in 2020, compared to $173 million in 2019 and $157 million in 2018. Interest cost included in our worldwide net periodic other postretirement benefits cost was $8 million in 2020, compared to $11 million in 2019 and $12 million in 2018.</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sensitivity of our U.S. projected pension benefit obligation and accumulated other postretirement benefits obligation to the indicated increase/decrease in the discount rate: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 / − Change at December 31, 2020</w:t>
            </w:r>
          </w:p>
        </w:tc>
        <w:tc>
          <w:tcPr>
            <w:tcW w:w="0" w:type="dxa"/>
            <w:vAlign w:val="bottom"/>
          </w:tcPr>
          <w:p>
            <w:pPr>
              <w:spacing w:after="0"/>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PBO/ABO</w:t>
            </w:r>
          </w:p>
        </w:tc>
        <w:tc>
          <w:tcPr>
            <w:tcW w:w="140" w:type="dxa"/>
            <w:vAlign w:val="bottom"/>
          </w:tcPr>
          <w:p>
            <w:pPr>
              <w:spacing w:after="0"/>
              <w:rPr>
                <w:sz w:val="13"/>
                <w:szCs w:val="13"/>
                <w:color w:val="auto"/>
              </w:rPr>
            </w:pPr>
          </w:p>
        </w:tc>
        <w:tc>
          <w:tcPr>
            <w:tcW w:w="1300" w:type="dxa"/>
            <w:vAlign w:val="bottom"/>
          </w:tcPr>
          <w:p>
            <w:pPr>
              <w:jc w:val="right"/>
              <w:ind w:right="196"/>
              <w:spacing w:after="0" w:line="155" w:lineRule="exact"/>
              <w:rPr>
                <w:sz w:val="20"/>
                <w:szCs w:val="20"/>
                <w:color w:val="auto"/>
              </w:rPr>
            </w:pPr>
            <w:r>
              <w:rPr>
                <w:rFonts w:ascii="Times New Roman" w:cs="Times New Roman" w:eastAsia="Times New Roman" w:hAnsi="Times New Roman"/>
                <w:sz w:val="14"/>
                <w:szCs w:val="14"/>
                <w:b w:val="1"/>
                <w:bCs w:val="1"/>
                <w:color w:val="auto"/>
              </w:rPr>
              <w:t>Annual Expense</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Assumption:</w:t>
            </w:r>
          </w:p>
        </w:tc>
        <w:tc>
          <w:tcPr>
            <w:tcW w:w="14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Pensions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+/- 0.5%</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+/- 0.5%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Changes in general interest rates and corporate (AA or better) credit spreads impact our discount rate and thereby our U.S. pension benefit obligation. Our U.S. pension plans are invested in a portfolio of substantially all fixed income securities designed to offset the impact of future discount rate movements on liabilities for these plans. If corporate (AA or better) interest rates increase or decrease in parallel (i.e., across all maturities), the investment portfolio described above is designed to mitigate a substantial portion of the expected change in our U.S. pension benefit obligation. For example, if corporate (AA or better) interest rates increased or decreased by 0.5%, the investment portfolio described above would be expected to mitigate more than 85% of the expected change in our U.S. pension benefit obligation.</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2020, our net actuarial loss included in Accumulated Other Comprehensive Loss ("AOCL") related to global pension plans was $2,989 million, $2,353 million of which related to our U.S. pension plans. The net actuarial loss included in AOCL related to our U.S. pension plans is primarily due to declines in U.S. discount rates and plan asset losses that occurred prior to 2015, plus the impact of prior increases in estimated life expectancies. For purposes of determining our 2020 U.S. pension total benefits cost, we recognized $109 million of the net actuarial losses in 2020. We will recognize approximately $110 million of net actuarial losses in 2021 U.S. net periodic pension cost. If our future experience is consistent with our assumptions as of December 31, 2020, actuarial loss recognition over the next few years will remain at an amount near that to be recognized in 2021 before it begins to gradually decline. In addition, if annual lump sum payments from a pension plan exceed annual service and interest cost for that plan, accelerated recognition of net actuarial losses will be required through a settlement in total benefits cost.</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actual rate of return on our U.S. pension fund was 13.20%, 15.90% and (1.90)% in 2020, 2019 and 2018, respectively, as compared to the expected rate of 4.22%, 5.25% and 4.58% in 2020, 2019 and 2018, respectively. We use the fair value of our pension assets in the calculation of pension expense for all of our U.S. pension plans.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amortization period for our U.S. pension plans is approximately 17 years.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Service cost of pension plans was recorded in CGS, as part of the cost of inventory sold during the period, or SAG in our Consolidated Statements of Operations, based on the specific roles (i.e., manufacturing vs. non-manufacturing) of employee groups covered by each of our pension plans. In 2020, 2019 and 2018, approximately 45% and 55% of service cost was included in CGS and SAG, respectively. Non-service related net periodic pension costs were recorded in Other (Income) Expense.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Globally, we expect our 2021 net periodic pension cost to be $80 million to $100 million, including approximately $35 million of service cost, compared to $117 million in 2020, which included $34 million of service cost. The decrease in expected net periodic pension cost is primarily due to lower interest cost for our U.S. pension plans from decreases in interest rates.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experienced a decrease in our U.S. discount rate at the end of 2020 and a large portion of the $30 million net actuarial loss included in AOCL for our worldwide other postretirement benefit plans as of December 31, 2020 is a result of the overall decline in U.S. discount rates over time. For purposes of determining 2020 worldwide net periodic other postretirement benefits cost, we recognized $4 million of net actuarial losses in 2020. We will recognize approximately $3 million of net actuarial losses in 2021. If our future experience is consistent with our assumptions as of December 31, 2020, actuarial loss recognition over the next few years will remain at an amount near that to be recognized in 2021 before it begins to gradually decline.</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on pensions and other postretirement benefits, refer to Note to the Consolidated Financial Statements No. 17, Pension, Other Postretirement Benefits and Savings Plans, in this Form 10-K.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2020, we amended and restated our $2.0 billion first lien revolving credit facility. Changes to the facility include extending the maturity to April 9, 2025 and increasing the borrowing base for the facility by increasing the amount attributable to the value of our principal trademarks and adding the value of eligible machinery and equipment, which improved our availability under the facility by approximately $230 million at December 31, 2020. The interest rate for loans under the facility increased by 50 basis points to LIBOR plus 175 basis points, based on our current liquidity, and undrawn amounts under the facility will be subject to an annual commitment fee of 25 basis points.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2020, we further enhanced our liquidity position by issuing $800 million of 9.5% senior notes due 2025. We used the net proceeds from the issuance of these notes for general corporate purposes, including the repayment of our $282 million 8.75% notes at their maturity in August 2020.</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on the other initiatives we pursued in 2020, refer to “Item 7. Management’s Discussion and Analysis of Financial Condition and Results of Operations — Overview.”</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2020, we had $1,539 million of Cash and Cash Equivalents, compared to $908 million at December 31, 2019. The increase in cash and cash equivalents of $631 million was primarily due to cash flows from operating activities of $1,115 million, driven by cash from working capital of $871 million, and cash flows from financing activities of $203 million, primarily due to net borrowings of $250 million, partially offset by cash used for first quarter dividends of $37 million. These sources of cash were partially offset by cash used by investing activities of $667 million, reflecting capital expenditures of $647 million.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2020 and 2019, we had $3,881 million and $3,554 million, respectively, of unused availability under our various credit agreements. The table below provides unused availability by our significant credit facilities as of December 31: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revolving credit facility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1,535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1,662</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European revolving credit facility</w:t>
            </w:r>
          </w:p>
        </w:tc>
        <w:tc>
          <w:tcPr>
            <w:tcW w:w="360" w:type="dxa"/>
            <w:vAlign w:val="bottom"/>
          </w:tcPr>
          <w:p>
            <w:pPr>
              <w:spacing w:after="0"/>
              <w:rPr>
                <w:sz w:val="19"/>
                <w:szCs w:val="19"/>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982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899</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Chinese credit facilities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290</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Mexican credit facilities</w:t>
            </w:r>
          </w:p>
        </w:tc>
        <w:tc>
          <w:tcPr>
            <w:tcW w:w="360" w:type="dxa"/>
            <w:vAlign w:val="bottom"/>
          </w:tcPr>
          <w:p>
            <w:pPr>
              <w:spacing w:after="0"/>
              <w:rPr>
                <w:sz w:val="19"/>
                <w:szCs w:val="19"/>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domestic and international debt facilities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338</w:t>
            </w: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Short term credit arrangements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639</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365</w:t>
            </w: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3,881</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3,554</w:t>
            </w: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borrowing base under our first lien revolving credit facility is dependent, in significant part, on our eligible accounts receivable and inventory, which have declined as a result of our lower sales and production levels due to the COVID-19 pandemic. A decline in our borrowing base would reduce our availability under the first lien revolving credit facility. Additionally, the amounts available to us from our pan-European accounts receivable securitization facility and other accounts receivable factoring programs have declined since December 31, 2019 due to the decline in our accounts receivable as a result of the impacts of the COVID-19 pandemic on our sales.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actively monitor our liquidity and took a number of actions aimed at mitigating the negative consequences of the COVID-19 pandemic on our cash flows and liquidity, such as suspending production at most of our manufacturing facilities during parts of the first half of 2020, reducing our second quarter payroll costs through a combination of furloughs, temporary salary reductions and salary deferrals, refinancing our first lien revolving credit facility to extend its maturity and increase its borrowing base, issuing $800 million of 9.5% senior notes due 2025, suspending the quarterly dividend on our common stock, reducing capital expenditures and discretionary spending, and using governmental relief efforts to defer payroll and other tax payments globally. We intend to operate the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for the next twelve months and to provide us with the ability to respond to further changes in the business environment.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and Argentinian subsidiaries, which are subject to such requirements or limitations, to be integral to our liquidity or our ability to service our debt and operational requirements. At December 31, 2020, approximately $680 million of net assets, including $185 million of cash and cash equivalents, were subject to such requirements. The requirements we must comply with to transfer funds out of China, South Africa and Argentina have not adversely impacted our ability to make transfers out of those countries.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our 2021 cash flow needs to include capital expenditures of approximately $850 million. We also expect interest expense to be $350 million to $375 million, rationalization payments to be approximately $175 million, income tax payments to be $125 million to $150 million, which include payments deferred from 2020, and contributions to our funded non-U.S. pension plans to be $25 million to $50 million. We expect working capital to be a use of cash of $450 million to $500 million in 2021. We intend to operate the business in a way that allows us to address these needs with our existing cash and available credit if they cannot be funded by cash generated from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Position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2020, significant concentrations of cash and cash equivalents held by our international subsidiaries included the following amounts:</w:t>
      </w:r>
    </w:p>
    <w:p>
      <w:pPr>
        <w:spacing w:after="0" w:line="117" w:lineRule="exact"/>
        <w:rPr>
          <w:sz w:val="20"/>
          <w:szCs w:val="20"/>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$387 million or 25% in Asia Pacific, primarily China and Japan ($337 million or 37% at December 31, 2019),</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$387 million or 25% in EMEA, primarily Belgium ($214 million or 24% at December 31, 2019),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$384 million or 25% in Americas, primarily Brazil, Canada and Chile ($190 million or 21% at December 31, 2019).</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$1,115 million in 2020, decreasing $92 million compared to net cash provided by operating activities of $1,207 million in 2019.</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net cash provided by operating activities was driven by a decrease in operating income from our SBUs of $959 million and higher cash payments for rationalizations of $127 million, primarily due to cash payments made during 2020 related to Gadsden. These uses of cash were partially offset by an increase in cash provided by working capital of $789 million and a decrease in cash income tax payments of $97 million, primarily due to our lower earnings. In addition, current year cash flows from operating activities were favorably impacted by a net year-over-year change of $109 million in Other Assets and Liabilities, Compensation and Benefits and Other Current Liabilities on the Balance Sheet, driven by governmental relief efforts to defer payroll tax payments as well as insurance proceeds related to hurricane damage suffered in previous years.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increase in cash provided by working capital includes increases in cash provided by Inventory of $707 million and Accounts Receivable of $61 million, driven by the impacts of the COVID-19 pandemic, which included lower sales volume 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740"/>
        <w:spacing w:after="0" w:line="375" w:lineRule="auto"/>
        <w:rPr>
          <w:sz w:val="20"/>
          <w:szCs w:val="20"/>
          <w:color w:val="auto"/>
        </w:rPr>
      </w:pPr>
      <w:r>
        <w:rPr>
          <w:rFonts w:ascii="Times New Roman" w:cs="Times New Roman" w:eastAsia="Times New Roman" w:hAnsi="Times New Roman"/>
          <w:sz w:val="18"/>
          <w:szCs w:val="18"/>
          <w:color w:val="auto"/>
        </w:rPr>
        <w:t xml:space="preserve">well as mitigating actions taken by us, such as the suspension of production and subsequent ramp up at our manufacturing facilities. </w:t>
      </w:r>
      <w:r>
        <w:rPr>
          <w:rFonts w:ascii="Times New Roman" w:cs="Times New Roman" w:eastAsia="Times New Roman" w:hAnsi="Times New Roman"/>
          <w:sz w:val="18"/>
          <w:szCs w:val="18"/>
          <w:b w:val="1"/>
          <w:bCs w:val="1"/>
          <w:color w:val="auto"/>
        </w:rPr>
        <w:t>Investing Activities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by investing activities was $667 million in 2020, compared to $800 million in 2019. Capital expenditures were $647 million in 2020, compared to $770 million in 2019. Beyond expenditures required to sustain our facilities, capital expenditures in 2020 and 2019 primarily related to investments in additional 17-inch and above capacity around the world.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flows provided from financing activities were $203 million in 2020, compared to net cash used by financing activities of $307 million in 2019. The $510 million year-over-year change reflects net borrowings of $250 million in 2020 in order to enhance our liquidity and cash position in light of the ongoing COVID-19 pandemic, versus net debt repayments of $119 million in 2019. In addition, cash paid for dividends decreased $111 million from $148 million in 2019 to $37 million in 2020, as a result of us suspending the quarterly dividend on our common stock on April 16, 2020.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aggregate, we had total credit arrangements of $9,707 million available at December 31, 2020, of which $3,881 million were unused, compared to $9,054 million available at December 31, 2019, of which $3,554 million were unused. At December 31, 2020, we had long term credit arrangements totaling $8,632 million, of which $3,242 million were unused, compared to $8,320 million and $3,189 million, respectively, at December 31, 2019. At December 31, 2020, we had short term committed and uncommitted credit arrangements totaling $1,075 million, of which $639 million were unused, compared to $734 million and $365 million, respectively, at December 31, 2019. The continued availability of the short term uncommitted arrangements is at the discretion of the relevant lender and may be terminated at any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Outstanding Notes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2020, we had $3,860 million of outstanding notes, compared to $3,311 million at December 31, 2019. In May 2020, we issued $800 million in aggregate principal amount of 9.5% senior notes due 2025, a portion of the proceeds of which were used to pay in full our $282 million 8.75% senior notes at maturity on August 17, 2020.</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 Billion Amended and Restated First Lien Revolving Credit Facility due 2025</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9, 2020, we amended and restated our $2.0 billion first lien revolving credit facility. Changes to the facility include extending the maturity to April 9, 2025 and increasing the borrowing base for the facility by increasing the amount attributable to the value of our principal trademarks by $100 million and adding the value of eligible machinery and equipment. The interest rate for loans under the facility increased by 50 basis points to LIBOR plus 175 basis points, based on our current liquidity, and undrawn amounts under the facility will be subject to an annual commitment fee of 25 basis points.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Availability under the facility is subject to a borrowing base, which is based on</w:t>
      </w:r>
    </w:p>
    <w:p>
      <w:pPr>
        <w:jc w:val="both"/>
        <w:ind w:firstLine="8"/>
        <w:spacing w:after="0" w:line="252" w:lineRule="auto"/>
        <w:tabs>
          <w:tab w:leader="none" w:pos="2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$200 million. To the extent that our eligible accounts receivable and inventory and other components of the borrowing base decline in value, our borrowing base will decrease and the availability under the facility may decrease below $2.0 billion. In addition, if the amount of outstanding borrowings and letters of credit under the facility exceeds the borrowing base, we are required to prepay borrowings and/or cash collateralize letters of credit sufficient to eliminate the excess. As of December 31, 2020, our borrowing base, and therefore our availability, under the facility was $454 million below the facility's stated amount of $2.0 billion.</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2020, we had no borrowings and $11 million of letters of credit issued under the revolving credit facility. At December 31, 2019, we had no borrowings and $37 million of letters of credit issued under the revolving credit facility.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2020, we had $341 million in letters of credit issued under bilateral credit agreements.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Amended and Restated Second Lien Term Loan Facility due 2025</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second lien term loan facility matures on March 7, 2025. The term loan bears interest, at our option, at (i) 200 basis points over LIBOR or (ii) 100 basis points over an alternative base rate (the higher of (a) the prime rate, (b) the federal funds effective rate or the overnight bank funding rate plus 50 basis points or (c) LIBOR plus 100 basis points).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 if the Total Leverage Ratio is equal to or less than 1.25 to 1.00, we have the option to further reduce the spreads described above by 25 basis points. "Total Leverage Ratio" has the meaning given it in the facility.</w:t>
      </w:r>
    </w:p>
    <w:p>
      <w:pPr>
        <w:spacing w:after="0" w:line="54" w:lineRule="exact"/>
        <w:rPr>
          <w:sz w:val="20"/>
          <w:szCs w:val="20"/>
          <w:color w:val="auto"/>
        </w:rPr>
      </w:pPr>
    </w:p>
    <w:p>
      <w:pPr>
        <w:ind w:right="4140"/>
        <w:spacing w:after="0" w:line="397" w:lineRule="auto"/>
        <w:rPr>
          <w:sz w:val="20"/>
          <w:szCs w:val="20"/>
          <w:color w:val="auto"/>
        </w:rPr>
      </w:pPr>
      <w:r>
        <w:rPr>
          <w:rFonts w:ascii="Times New Roman" w:cs="Times New Roman" w:eastAsia="Times New Roman" w:hAnsi="Times New Roman"/>
          <w:sz w:val="17"/>
          <w:szCs w:val="17"/>
          <w:color w:val="auto"/>
        </w:rPr>
        <w:t xml:space="preserve">At December 31, 2020 and 2019, the amounts outstanding under this facility were $400 million. </w:t>
      </w:r>
      <w:r>
        <w:rPr>
          <w:rFonts w:ascii="Times New Roman" w:cs="Times New Roman" w:eastAsia="Times New Roman" w:hAnsi="Times New Roman"/>
          <w:sz w:val="17"/>
          <w:szCs w:val="17"/>
          <w:i w:val="1"/>
          <w:iCs w:val="1"/>
          <w:u w:val="single" w:color="auto"/>
          <w:color w:val="auto"/>
        </w:rPr>
        <w:t>€800 Million Amended and Restated Senior Secured European Revolving Credit Facility due 2024</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amended and restated European revolving credit facility consists of (i) a €180 million German tranche that is available only to Goodyear Dunlop Tires Germany GmbH (“GDTG”) and (ii) a €620 million all-borrower tranche that is available to Goodyear Europe B.V. (“GEBV”), GDTG and Goodyear Dunlop Tires Operations S.A. Up to €175 million of swingline loans and €75 million in letters of credit are available for issuance under the all-borrower tranche. Amounts drawn under this facility will bear interest at LIBOR plus 150 basis points for loans denominated in U.S. dollars or pounds sterling and EURIBOR plus 150 basis points for loans denominated in euros, and undrawn amounts under the facility are subject to an annual commitment fee of 25 basis points. Subject to the consent of the lenders whose commitments are to be increased, we may request that the facility be increased by up to €200 million.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2020 and 2019, there were no borrowings and no letters of credit outstanding under the European revolving credit facility.</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2019 under the first lien facility and December 31, 2018 under the European facility.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2023. The terms of the facility provide the flexibility to designate annually the maximum amount of funding available under the facility in an amount of not less than €30 million and not more than €450 million. For the period from October 18, 2018 through October 15, 2020, the designated maximum amount of the facility was €320 million. For the period from October 16, 2020 through October 18, 2021, the designated maximum amount of the facility was decreased to €280 million.</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facility involves the ongoing daily sale of substantially all of the trade accounts receivable of certain GEBV subsidiaries. These subsidiaries retain servicing responsibilities. Utilization under this facility is based on eligible receivable balances.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September 26, 2023,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senior secured credit facilities; certain tax law changes; or certain changes to law, regulation or accounting standards), or (d) our request for early termination of the facility. The facility’s current back-up liquidity commitments will expire on October 18, 2021.</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2020, the amounts available and utilized under this program totaled $291 million (€237 million). At December 31, 2019, the amounts available and utilized under this program totaled $327 million (€291 million). The program does not qualify for sale accounting, and accordingly, these amounts are included in Long Term Debt and Finance Leases.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December 31, 2020, the gross amount of receivables sold was $451 million, compared to $548 million at December 31, 2019.</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entered into payment processing agreements with several financial institutions. Under these agreements, the financial institution acts as our paying agent with respect to accounts payable due to our suppliers. These agreements also allow our suppliers to sell their receivables to the financial institutions at the sole discretion of both the supplier and the financial institution on terms that are negotiated between them. We are not always notified when our suppliers sell receivables under these programs. </w:t>
      </w:r>
      <w:r>
        <w:rPr>
          <w:rFonts w:ascii="Times New Roman" w:cs="Times New Roman" w:eastAsia="Times New Roman" w:hAnsi="Times New Roman"/>
          <w:sz w:val="18"/>
          <w:szCs w:val="18"/>
          <w:color w:val="252525"/>
        </w:rPr>
        <w:t>Our obligations to our suppliers, including the amounts due and scheduled payment dates, are not impacted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by our suppliers' decisions to sell their receivables under the program. Agreements for such supplier financing programs totaled up to $500 million at </w:t>
      </w:r>
      <w:r>
        <w:rPr>
          <w:rFonts w:ascii="Times New Roman" w:cs="Times New Roman" w:eastAsia="Times New Roman" w:hAnsi="Times New Roman"/>
          <w:sz w:val="18"/>
          <w:szCs w:val="18"/>
          <w:color w:val="000000"/>
        </w:rPr>
        <w:t xml:space="preserve">December 31, 2020 </w:t>
      </w:r>
      <w:r>
        <w:rPr>
          <w:rFonts w:ascii="Times New Roman" w:cs="Times New Roman" w:eastAsia="Times New Roman" w:hAnsi="Times New Roman"/>
          <w:sz w:val="18"/>
          <w:szCs w:val="18"/>
          <w:color w:val="252525"/>
        </w:rPr>
        <w:t>and</w:t>
      </w:r>
      <w:r>
        <w:rPr>
          <w:rFonts w:ascii="Times New Roman" w:cs="Times New Roman" w:eastAsia="Times New Roman" w:hAnsi="Times New Roman"/>
          <w:sz w:val="18"/>
          <w:szCs w:val="18"/>
          <w:color w:val="000000"/>
        </w:rPr>
        <w:t xml:space="preserve"> 2019</w:t>
      </w:r>
      <w:r>
        <w:rPr>
          <w:rFonts w:ascii="Times New Roman" w:cs="Times New Roman" w:eastAsia="Times New Roman" w:hAnsi="Times New Roman"/>
          <w:sz w:val="18"/>
          <w:szCs w:val="18"/>
          <w:color w:val="252525"/>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Further Information</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30, 2020, the ICE Benchmark Administration, the administrator of LIBOR, with the support of the U.S. Federal Reserve Board and the U.K. Financial Conduct Authority, announced plans to consult on ceasing the publication of USD LIBOR on December 31, 2021 for only the one week and two month USD LIBOR tenors, and on June 30, 2023 for all other USD LIBOR tenors. In the United States, efforts to identify a set of alternative U.S. dollar reference interest rates include proposals by the Alternative Reference Rates Committee that has been convened by the Federal Reserve Board and the Federal Reserve Bank of New York to encourage market participants’ use of the Secured Overnight Financing Rate, known as SOFR. Additionally, the International Swaps and Derivatives Association, Inc. launched a consultation on technical issues related to new benchmark fallbacks for derivative contracts that reference certain interbank offered rates, including LIBOR. We cannot currently predict the effect of the discontinuation of, or other changes to, LIBOR or any establishment of alternative reference rates in the United States, the European Union or elsewhere on the global capital markets. The uncertainty regarding the future of LIBOR, as well as the transition from LIBOR to any alternative reference rate or rates, could have adverse impacts on floating rate obligations, loans, deposits, derivatives and other financial instruments that currently use LIBOR as a benchmark rate. We have identified and evaluated our financing obligations and other contracts that refer to LIBOR and expect to be able to transition those obligations and contracts to an alternative reference rate in the event of the discontinuation of LIBOR. Our amended and restated first lien revolving credit facility, our second lien term loan facility and our European revolving credit facility, which constitute the most significant of our LIBOR-based debt obligations, contain “fallback” provisions that address the potential discontinuation of LIBOR and facilitate the adoption of an alternate rate of interest. We have not issued any long term floating rate notes. Our amended and restated first lien revolving credit facility and second lien term loan facility also contain express provisions for the use, at our option, of an alternative base rate (the higher of (a) the prime rate, (b) the federal funds effective rate or the overnight bank funding rate plus 50 basis points or (c) LIBOR plus 100 basis points). We do not believe that the discontinuation of LIBOR, or its replacement with an alternative reference rate or rates, will have a material impact on our results of operations, financial position or liquidity.</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further description of the terms of our outstanding notes, first lien revolving credit facility, second lien term loan facility, European revolving credit facility and pan-European accounts receivable securitization facility, refer to Note to the Consolidated Financial Statements No. 15, Financing Arrangements and Derivative Financial Instruments, in this Form 10-K.</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Covenant Compliance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first and second lien credit facilities and some of the indentures governing our notes contain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These covenants are subject to significant exceptions and qualifications. Our first and second lien credit facilities and the indentures governing our notes also have customary defaults, including cross-defaults to material indebtedness of Goodyear and its subsidiaries.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additional financial covenants in our first and second lien credit facilities that are currently not applicable. We only become subject to these financial covenants when certain events occur. These financial covenants and related events are as follows:</w:t>
      </w:r>
    </w:p>
    <w:p>
      <w:pPr>
        <w:spacing w:after="0" w:line="54" w:lineRule="exact"/>
        <w:rPr>
          <w:sz w:val="20"/>
          <w:szCs w:val="20"/>
          <w:color w:val="auto"/>
        </w:rPr>
      </w:pPr>
    </w:p>
    <w:p>
      <w:pPr>
        <w:jc w:val="both"/>
        <w:ind w:left="760" w:hanging="374"/>
        <w:spacing w:after="0" w:line="277"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become subject to the financial covenant contained in our first lien revolving credit facility when the aggregate amount of our Parent Company (The Goodyear Tire &amp; Rubber Company) and guarantor subsidiaries cash and cash equivalents (“Available Cash”) plus our availability under our first lien revolving credit facility is less than $200 million. If this were to occur, our ratio of EBITDA to Consolidated Interest Expense may not be less than 2.0 to 1.0 for the most recent period of four consecutive fiscal quarters. As of December 31, 2020, our unused availability under this facility of $1,535 million plus our Available Cash of $408 million totaled $1,943 million, which is in excess of $200 million.</w:t>
      </w:r>
    </w:p>
    <w:p>
      <w:pPr>
        <w:spacing w:after="0" w:line="59" w:lineRule="exact"/>
        <w:rPr>
          <w:rFonts w:ascii="Times New Roman" w:cs="Times New Roman" w:eastAsia="Times New Roman" w:hAnsi="Times New Roman"/>
          <w:sz w:val="17"/>
          <w:szCs w:val="17"/>
          <w:color w:val="auto"/>
        </w:rPr>
      </w:pPr>
    </w:p>
    <w:p>
      <w:pPr>
        <w:jc w:val="both"/>
        <w:ind w:left="760" w:hanging="374"/>
        <w:spacing w:after="0" w:line="26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become subject to a covenant contained in our second lien credit facility upon certain asset sales. The covenant provides that, before we use cash proceeds from certain asset sales to repay any junior lien, senior unsecured or subordinated indebtedness, we must first offer to use such cash proceeds to prepay borrowings under the second lien credit facility unless our ratio of Consolidated Net Secured Indebtedness to EBITDA (Pro Forma Senior Secured Leverage Ratio) for any period of four consecutive fiscal quarters is equal to or less than 3.0 to 1.0.</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our European revolving credit facility contains non-financial covenants similar to the non-financial covenants in our first and second lien credit facilities that are described above and a financial covenant applicable only to GEBV and 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December 31, 2020, we were in compliance with this financial covenant.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Certain of our senior note indentures have substantially similar limitations on incurring debt and making restricted payments. Our credit facilities and indentures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Covenants could change based upon a refinancing or amendment of an existing facility, or additional covenants may be added in connection with the incurrence of new debt.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we were in compliance with the currently applicable material covenants imposed by our principal credit facilities and indentures.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-119380</wp:posOffset>
            </wp:positionV>
            <wp:extent cx="2540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“Available Cash,” “EBITDA,” “Consolidated Interest Expense,” “Consolidated Net Secured Indebtedness,” “Pro Forma Senior Secured Leverage Ratio,” “Consolidated Net GEBV Indebtedness” and “Consolidated GEBV EBITDA” have the meanings given them in the respective credit facilities.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Future Financings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previous financing activities,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liquidity requirements may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Common Stock Repurchase Program</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primary credit facilities and some of our note indentures, we are permitted to pay dividends on and repurchase our capital stock (which constitute restricted payments) as long as no default will have occurred and be continuing, additional indebtedness can be incurred under the credit facilities or indentures following the payment, and certain financial tests are satisfied.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2020, 2019 and 2018, we paid cash dividends of $37 million, $148 million and $138 million, respectively, on our common stock. This excludes dividends earned on stock-based compensation plans of $1 million, $2 million and $1 million for 2020, 2019 and 2018, respectively. On April 16, 2020, we announced that we have suspended the quarterly dividend on our common stock.</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repurchase shares of our common stock under programs approved by the Board of Directors. During 2020 and 2019, we did not repurchase any shares of our common stock. During 2018, we repurchased shares totaling approximately $220 million under a program that expired on December 31, 2019.</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restrictions imposed by our credit facilities and indentures did not affect our ability to pay the dividends on or repurchase our capital stock as described above, and are not expected to affect our ability to pay similar dividends or make similar repurchases in the future.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Dispositions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restrictions on asset sales imposed by our material indebtedness have not affected our ability to divest non-core businesses, and those divestitures have not affected our ability to comply with those restrictions.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subsidiaries, which are listed on Exhibit 22.1 to this Annual Report on Form 10-K and are generally holding companies or smaller operating companies, have guaranteed our obligations under the $1.0 billion outstanding principal amount of 5.125% senior notes due 2023, the $800 million outstanding principal amount of 9.5% senior notes due 2025, the $900 million outstanding principal amount of 5% senior notes due 2026 and the $700 million outstanding principal amount of 4.875% senior notes due 2027 (collectively, the “Notes”).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certain of our senior secured credit facilities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68" w:lineRule="exact"/>
        <w:rPr>
          <w:sz w:val="20"/>
          <w:szCs w:val="20"/>
          <w:color w:val="auto"/>
        </w:rPr>
      </w:pPr>
    </w:p>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insolvent or rendered insolvent by reason of the incurrence;</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engaged in a business or transaction for which its remaining assets constituted unreasonably small capital; or</w:t>
      </w:r>
    </w:p>
    <w:p>
      <w:pPr>
        <w:spacing w:after="0" w:line="11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intended to incur, or believed (or reasonably should have believed) that it would incur, debts beyond its ability to pay as those debts matured.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72" w:lineRule="exact"/>
        <w:rPr>
          <w:sz w:val="20"/>
          <w:szCs w:val="20"/>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intended to defeat, hinder, delay, defraud or prejudice creditors or others;</w:t>
      </w:r>
    </w:p>
    <w:p>
      <w:pPr>
        <w:spacing w:after="0" w:line="117" w:lineRule="exact"/>
        <w:rPr>
          <w:rFonts w:ascii="Times New Roman" w:cs="Times New Roman" w:eastAsia="Times New Roman" w:hAnsi="Times New Roman"/>
          <w:sz w:val="18"/>
          <w:szCs w:val="18"/>
          <w:color w:val="auto"/>
        </w:rPr>
      </w:pPr>
    </w:p>
    <w:p>
      <w:pPr>
        <w:jc w:val="both"/>
        <w:ind w:left="760" w:hanging="374"/>
        <w:spacing w:after="0" w:line="261"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71"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6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court canceled a Guarantee, the holders of Notes would no longer have a claim against that Subsidiary Guarantor or its assets.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Subsidiary Guarantor is a consolidated subsidiary of the Parent Company at the date of the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rPr>
              <w:t>Summarized Balance Sheet</w:t>
            </w:r>
          </w:p>
        </w:tc>
        <w:tc>
          <w:tcPr>
            <w:tcW w:w="0" w:type="dxa"/>
            <w:vAlign w:val="bottom"/>
          </w:tcPr>
          <w:p>
            <w:pPr>
              <w:spacing w:after="0"/>
              <w:rPr>
                <w:sz w:val="1"/>
                <w:szCs w:val="1"/>
                <w:color w:val="auto"/>
              </w:rPr>
            </w:pPr>
          </w:p>
        </w:tc>
      </w:tr>
      <w:tr>
        <w:trPr>
          <w:trHeight w:val="131"/>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40" w:type="dxa"/>
            <w:vAlign w:val="bottom"/>
          </w:tcPr>
          <w:p>
            <w:pPr>
              <w:jc w:val="center"/>
              <w:ind w:right="43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060" w:type="dxa"/>
            <w:vAlign w:val="bottom"/>
            <w:tcBorders>
              <w:bottom w:val="single" w:sz="8" w:color="CFF0FC"/>
            </w:tcBorders>
            <w:vMerge w:val="continue"/>
          </w:tcPr>
          <w:p>
            <w:pPr>
              <w:spacing w:after="0"/>
              <w:rPr>
                <w:sz w:val="15"/>
                <w:szCs w:val="15"/>
                <w:color w:val="auto"/>
              </w:rPr>
            </w:pPr>
          </w:p>
        </w:tc>
        <w:tc>
          <w:tcPr>
            <w:tcW w:w="292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jc w:val="center"/>
              <w:ind w:right="45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r>
              <w:rPr>
                <w:rFonts w:ascii="Times New Roman" w:cs="Times New Roman" w:eastAsia="Times New Roman" w:hAnsi="Times New Roman"/>
                <w:sz w:val="15"/>
                <w:szCs w:val="15"/>
                <w:color w:val="auto"/>
              </w:rPr>
              <w:t>(1)</w:t>
            </w:r>
          </w:p>
        </w:tc>
        <w:tc>
          <w:tcPr>
            <w:tcW w:w="29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8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5,426</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3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9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7,538</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right="3040" w:hanging="5532"/>
        <w:spacing w:after="0" w:line="532" w:lineRule="auto"/>
        <w:tabs>
          <w:tab w:leader="none" w:pos="78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receivables due from Non-Guarantor Subsidiaries of $2,428 million as of December 31, 2020.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tc>
        <w:tc>
          <w:tcPr>
            <w:tcW w:w="2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8"/>
        </w:trPr>
        <w:tc>
          <w:tcPr>
            <w:tcW w:w="56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Summarized Statement of Operations</w:t>
            </w:r>
          </w:p>
        </w:tc>
        <w:tc>
          <w:tcPr>
            <w:tcW w:w="0" w:type="dxa"/>
            <w:vAlign w:val="bottom"/>
          </w:tcPr>
          <w:p>
            <w:pPr>
              <w:spacing w:after="0"/>
              <w:rPr>
                <w:sz w:val="1"/>
                <w:szCs w:val="1"/>
                <w:color w:val="auto"/>
              </w:rPr>
            </w:pPr>
          </w:p>
        </w:tc>
      </w:tr>
      <w:tr>
        <w:trPr>
          <w:trHeight w:val="50"/>
        </w:trPr>
        <w:tc>
          <w:tcPr>
            <w:tcW w:w="56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0" w:type="dxa"/>
            <w:vAlign w:val="bottom"/>
          </w:tcPr>
          <w:p>
            <w:pPr>
              <w:jc w:val="center"/>
              <w:ind w:right="274"/>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620" w:type="dxa"/>
            <w:vAlign w:val="bottom"/>
            <w:tcBorders>
              <w:bottom w:val="single" w:sz="8" w:color="CFF0FC"/>
            </w:tcBorders>
            <w:vMerge w:val="continue"/>
          </w:tcPr>
          <w:p>
            <w:pPr>
              <w:spacing w:after="0"/>
              <w:rPr>
                <w:sz w:val="15"/>
                <w:szCs w:val="15"/>
                <w:color w:val="auto"/>
              </w:rPr>
            </w:pPr>
          </w:p>
        </w:tc>
        <w:tc>
          <w:tcPr>
            <w:tcW w:w="23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3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6,114</w:t>
            </w: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5,277</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Rationalizations</w:t>
            </w:r>
          </w:p>
        </w:tc>
        <w:tc>
          <w:tcPr>
            <w:tcW w:w="2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3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3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r>
              <w:rPr>
                <w:rFonts w:ascii="Times New Roman" w:cs="Times New Roman" w:eastAsia="Times New Roman" w:hAnsi="Times New Roman"/>
                <w:sz w:val="15"/>
                <w:szCs w:val="15"/>
                <w:color w:val="auto"/>
              </w:rPr>
              <w:t>(2)</w:t>
            </w:r>
          </w:p>
        </w:tc>
        <w:tc>
          <w:tcPr>
            <w:tcW w:w="23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Goodyear Net Income (Loss)</w:t>
            </w:r>
          </w:p>
        </w:tc>
        <w:tc>
          <w:tcPr>
            <w:tcW w:w="26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80" w:hanging="772"/>
        <w:spacing w:after="0" w:line="282"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intercompany transactions with Non-Guarantor Subsidiaries of $527 million for the year ended December 31, 2020, primarily from royalties, dividends, interest and intercompany product sales.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contractual obligations and commitments to make future payments as of December 31,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7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Beyond</w:t>
            </w:r>
          </w:p>
        </w:tc>
        <w:tc>
          <w:tcPr>
            <w:tcW w:w="0" w:type="dxa"/>
            <w:vAlign w:val="bottom"/>
          </w:tcPr>
          <w:p>
            <w:pPr>
              <w:spacing w:after="0"/>
              <w:rPr>
                <w:sz w:val="1"/>
                <w:szCs w:val="1"/>
                <w:color w:val="auto"/>
              </w:rPr>
            </w:pPr>
          </w:p>
        </w:tc>
      </w:tr>
      <w:tr>
        <w:trPr>
          <w:trHeight w:val="173"/>
        </w:trPr>
        <w:tc>
          <w:tcPr>
            <w:tcW w:w="4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15"/>
                <w:szCs w:val="15"/>
                <w:color w:val="auto"/>
              </w:rPr>
              <w:t>(1)</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5,769</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1,696</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15"/>
                <w:szCs w:val="15"/>
                <w:color w:val="auto"/>
              </w:rPr>
              <w:t>(2)</w:t>
            </w:r>
          </w:p>
        </w:tc>
        <w:tc>
          <w:tcPr>
            <w:tcW w:w="16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Payments</w:t>
            </w:r>
            <w:r>
              <w:rPr>
                <w:rFonts w:ascii="Times New Roman" w:cs="Times New Roman" w:eastAsia="Times New Roman" w:hAnsi="Times New Roman"/>
                <w:sz w:val="15"/>
                <w:szCs w:val="15"/>
                <w:color w:val="auto"/>
              </w:rPr>
              <w:t>(3)</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15"/>
                <w:szCs w:val="15"/>
                <w:color w:val="auto"/>
              </w:rPr>
              <w:t>(4)</w:t>
            </w:r>
          </w:p>
        </w:tc>
        <w:tc>
          <w:tcPr>
            <w:tcW w:w="16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Benefits</w:t>
            </w:r>
            <w:r>
              <w:rPr>
                <w:rFonts w:ascii="Times New Roman" w:cs="Times New Roman" w:eastAsia="Times New Roman" w:hAnsi="Times New Roman"/>
                <w:sz w:val="15"/>
                <w:szCs w:val="15"/>
                <w:color w:val="auto"/>
              </w:rPr>
              <w:t>(5)</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Postretirement Benefits</w:t>
            </w:r>
            <w:r>
              <w:rPr>
                <w:rFonts w:ascii="Times New Roman" w:cs="Times New Roman" w:eastAsia="Times New Roman" w:hAnsi="Times New Roman"/>
                <w:sz w:val="15"/>
                <w:szCs w:val="15"/>
                <w:color w:val="auto"/>
              </w:rPr>
              <w:t>(6)</w:t>
            </w:r>
          </w:p>
        </w:tc>
        <w:tc>
          <w:tcPr>
            <w:tcW w:w="16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Workers’ Compensation</w:t>
            </w:r>
            <w:r>
              <w:rPr>
                <w:rFonts w:ascii="Times New Roman" w:cs="Times New Roman" w:eastAsia="Times New Roman" w:hAnsi="Times New Roman"/>
                <w:sz w:val="15"/>
                <w:szCs w:val="15"/>
                <w:color w:val="auto"/>
              </w:rPr>
              <w:t>(7)</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Binding Commitments</w:t>
            </w:r>
            <w:r>
              <w:rPr>
                <w:rFonts w:ascii="Times New Roman" w:cs="Times New Roman" w:eastAsia="Times New Roman" w:hAnsi="Times New Roman"/>
                <w:sz w:val="15"/>
                <w:szCs w:val="15"/>
                <w:color w:val="auto"/>
              </w:rPr>
              <w:t>(8)</w:t>
            </w:r>
          </w:p>
        </w:tc>
        <w:tc>
          <w:tcPr>
            <w:tcW w:w="16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Uncertain Income Tax Positions</w:t>
            </w:r>
            <w:r>
              <w:rPr>
                <w:rFonts w:ascii="Times New Roman" w:cs="Times New Roman" w:eastAsia="Times New Roman" w:hAnsi="Times New Roman"/>
                <w:sz w:val="15"/>
                <w:szCs w:val="15"/>
                <w:color w:val="auto"/>
              </w:rPr>
              <w:t>(9)</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11,671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2,499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1,253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2,366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616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1,655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3,282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780" w:hanging="772"/>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obligations include Notes Payable and Overdrafts, and excludes the impact of deferred financing fees and unamortized discounts.</w:t>
      </w:r>
    </w:p>
    <w:p>
      <w:pPr>
        <w:spacing w:after="0" w:line="27" w:lineRule="exact"/>
        <w:rPr>
          <w:rFonts w:ascii="Times New Roman" w:cs="Times New Roman" w:eastAsia="Times New Roman" w:hAnsi="Times New Roman"/>
          <w:sz w:val="18"/>
          <w:szCs w:val="18"/>
          <w:color w:val="auto"/>
        </w:rPr>
      </w:pPr>
    </w:p>
    <w:p>
      <w:pPr>
        <w:ind w:left="780" w:hanging="772"/>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lease payments for finance lease obligations are $796 million.</w:t>
      </w:r>
    </w:p>
    <w:p>
      <w:pPr>
        <w:spacing w:after="0" w:line="9" w:lineRule="exact"/>
        <w:rPr>
          <w:rFonts w:ascii="Times New Roman" w:cs="Times New Roman" w:eastAsia="Times New Roman" w:hAnsi="Times New Roman"/>
          <w:sz w:val="18"/>
          <w:szCs w:val="18"/>
          <w:color w:val="auto"/>
        </w:rPr>
      </w:pPr>
    </w:p>
    <w:p>
      <w:pPr>
        <w:jc w:val="both"/>
        <w:ind w:left="780" w:hanging="772"/>
        <w:spacing w:after="0" w:line="250" w:lineRule="auto"/>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future interest payments related to our existing debt obligations and finance leases based on fixed and variable interest rates specified in the associated debt and lease agreements. The amounts provided relate only to existing debt obligations and do not assume the refinancing or replacement of such debt or future changes in variable interest rates.</w:t>
      </w:r>
    </w:p>
    <w:p>
      <w:pPr>
        <w:spacing w:after="0" w:line="1" w:lineRule="exact"/>
        <w:rPr>
          <w:rFonts w:ascii="Times New Roman" w:cs="Times New Roman" w:eastAsia="Times New Roman" w:hAnsi="Times New Roman"/>
          <w:sz w:val="18"/>
          <w:szCs w:val="18"/>
          <w:color w:val="auto"/>
        </w:rPr>
      </w:pPr>
    </w:p>
    <w:p>
      <w:pPr>
        <w:jc w:val="both"/>
        <w:ind w:left="780" w:hanging="772"/>
        <w:spacing w:after="0" w:line="250" w:lineRule="auto"/>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obligations have not been reduced by minimum sublease rentals of $10 million, $8 million, $6 million, $4 million, $2 million and $4 million in each of the periods above, respectively, for a total of $34 million. Payments, net of minimum sublease rentals, total $1,117 million. The present value of the net operating lease payments, including sublease rentals, is $853 million. The operating leases relate to, among other things, real estate, vehicles, data processing equipment and miscellaneous other assets. No asset is leased from any related party.</w:t>
      </w:r>
    </w:p>
    <w:p>
      <w:pPr>
        <w:spacing w:after="0" w:line="1" w:lineRule="exact"/>
        <w:rPr>
          <w:rFonts w:ascii="Times New Roman" w:cs="Times New Roman" w:eastAsia="Times New Roman" w:hAnsi="Times New Roman"/>
          <w:sz w:val="18"/>
          <w:szCs w:val="18"/>
          <w:color w:val="auto"/>
        </w:rPr>
      </w:pPr>
    </w:p>
    <w:p>
      <w:pPr>
        <w:jc w:val="both"/>
        <w:ind w:left="780" w:hanging="772"/>
        <w:spacing w:after="0" w:line="255" w:lineRule="auto"/>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related to pension benefits is actuarially determined and is reflective of obligations as of December 31, 2020. Although subject to change, the amounts set forth in the table represent the mid-point of the range of our expected contributions for funded U.S. and non-U.S. pension plans, plus expected cash funding of direct participant payments to our U.S. and non-U.S. pension plans.</w:t>
      </w:r>
    </w:p>
    <w:p>
      <w:pPr>
        <w:spacing w:after="0" w:line="77" w:lineRule="exact"/>
        <w:rPr>
          <w:rFonts w:ascii="Times New Roman" w:cs="Times New Roman" w:eastAsia="Times New Roman" w:hAnsi="Times New Roman"/>
          <w:sz w:val="18"/>
          <w:szCs w:val="18"/>
          <w:color w:val="auto"/>
        </w:rPr>
      </w:pPr>
    </w:p>
    <w:p>
      <w:pPr>
        <w:jc w:val="both"/>
        <w:ind w:left="7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significant contributions to fully fund our U.S. pension plans in 2013 and 2014. We have no minimum funding requirements for our funded U.S. pension plans under current ERISA law or the provisions of our USW collective bargaining agreement, which requires us to maintain an annual ERISA funded status for the hourly U.S. pension plan of at least 97%.</w:t>
      </w:r>
    </w:p>
    <w:p>
      <w:pPr>
        <w:spacing w:after="0" w:line="67" w:lineRule="exact"/>
        <w:rPr>
          <w:rFonts w:ascii="Times New Roman" w:cs="Times New Roman" w:eastAsia="Times New Roman" w:hAnsi="Times New Roman"/>
          <w:sz w:val="18"/>
          <w:szCs w:val="18"/>
          <w:color w:val="auto"/>
        </w:rPr>
      </w:pPr>
    </w:p>
    <w:p>
      <w:pPr>
        <w:jc w:val="both"/>
        <w:ind w:left="7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U.S. pension contributions will be affected by our ability to offset changes in future interest rates with asset returns from our fixed income portfolio and any changes to ERISA law. For further information on the U.S. pension investment strategy, refer to Note to the Consolidated Financial Statements No. 17, Pension, Other Postretirement Benefits and Savings Plans, in this Form 10-K.</w:t>
      </w:r>
    </w:p>
    <w:p>
      <w:pPr>
        <w:spacing w:after="0" w:line="6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non-U.S. contributions are affected by factors such as:</w:t>
      </w:r>
    </w:p>
    <w:p>
      <w:pPr>
        <w:spacing w:after="0" w:line="117" w:lineRule="exact"/>
        <w:rPr>
          <w:rFonts w:ascii="Times New Roman" w:cs="Times New Roman" w:eastAsia="Times New Roman" w:hAnsi="Times New Roman"/>
          <w:sz w:val="18"/>
          <w:szCs w:val="18"/>
          <w:color w:val="auto"/>
        </w:rPr>
      </w:pPr>
    </w:p>
    <w:p>
      <w:pPr>
        <w:ind w:left="1340" w:hanging="374"/>
        <w:spacing w:after="0"/>
        <w:tabs>
          <w:tab w:leader="none" w:pos="13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interest rate levels,</w:t>
      </w:r>
    </w:p>
    <w:p>
      <w:pPr>
        <w:spacing w:after="0" w:line="117" w:lineRule="exact"/>
        <w:rPr>
          <w:rFonts w:ascii="Times New Roman" w:cs="Times New Roman" w:eastAsia="Times New Roman" w:hAnsi="Times New Roman"/>
          <w:sz w:val="18"/>
          <w:szCs w:val="18"/>
          <w:color w:val="auto"/>
        </w:rPr>
      </w:pPr>
    </w:p>
    <w:p>
      <w:pPr>
        <w:ind w:left="1340" w:hanging="374"/>
        <w:spacing w:after="0"/>
        <w:tabs>
          <w:tab w:leader="none" w:pos="13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asset returns, and</w:t>
      </w:r>
    </w:p>
    <w:p>
      <w:pPr>
        <w:spacing w:after="0" w:line="117" w:lineRule="exact"/>
        <w:rPr>
          <w:rFonts w:ascii="Times New Roman" w:cs="Times New Roman" w:eastAsia="Times New Roman" w:hAnsi="Times New Roman"/>
          <w:sz w:val="18"/>
          <w:szCs w:val="18"/>
          <w:color w:val="auto"/>
        </w:rPr>
      </w:pPr>
    </w:p>
    <w:p>
      <w:pPr>
        <w:ind w:left="1340" w:hanging="374"/>
        <w:spacing w:after="0"/>
        <w:tabs>
          <w:tab w:leader="none" w:pos="13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contributions in excess of the minimum requirements could impact the amount and timing of future contributions.</w:t>
      </w:r>
    </w:p>
    <w:p>
      <w:pPr>
        <w:spacing w:after="0" w:line="27" w:lineRule="exact"/>
        <w:rPr>
          <w:rFonts w:ascii="Times New Roman" w:cs="Times New Roman" w:eastAsia="Times New Roman" w:hAnsi="Times New Roman"/>
          <w:sz w:val="18"/>
          <w:szCs w:val="18"/>
          <w:color w:val="auto"/>
        </w:rPr>
      </w:pPr>
    </w:p>
    <w:p>
      <w:pPr>
        <w:jc w:val="both"/>
        <w:ind w:left="780" w:hanging="772"/>
        <w:spacing w:after="0" w:line="255" w:lineRule="auto"/>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presented above are expected payments for the next 10 years. The payments for other postretirement benefits reflect the estimated benefit payments of the plans using the provisions currently in effect. Under the relevant summary plan descriptions or plan documents we have the right to modify or terminate the plans. The obligation related to other postretirement benefits is actuarially determined on an annual basis.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40" w:lineRule="exact"/>
        <w:rPr>
          <w:sz w:val="20"/>
          <w:szCs w:val="20"/>
          <w:color w:val="auto"/>
        </w:rPr>
      </w:pPr>
    </w:p>
    <w:p>
      <w:pPr>
        <w:ind w:left="780" w:right="20" w:hanging="772"/>
        <w:spacing w:after="0" w:line="261"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for workers’ compensation obligations are based upon recent historical payment patterns on claims. The present value of anticipated claims payments for workers’ compensation is $196 million.</w:t>
      </w:r>
    </w:p>
    <w:p>
      <w:pPr>
        <w:jc w:val="both"/>
        <w:ind w:left="780" w:hanging="772"/>
        <w:spacing w:after="0" w:line="250"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commitments are for raw materials, capital expenditures, utilities, and various other types of contracts. The obligations to purchase raw materials include supply contracts at both fixed and variable prices. Those with variable prices are based on index rates for those commodities at December 31, 2020.</w:t>
      </w:r>
    </w:p>
    <w:p>
      <w:pPr>
        <w:spacing w:after="0" w:line="1" w:lineRule="exact"/>
        <w:rPr>
          <w:rFonts w:ascii="Times New Roman" w:cs="Times New Roman" w:eastAsia="Times New Roman" w:hAnsi="Times New Roman"/>
          <w:sz w:val="18"/>
          <w:szCs w:val="18"/>
          <w:color w:val="auto"/>
        </w:rPr>
      </w:pPr>
    </w:p>
    <w:p>
      <w:pPr>
        <w:ind w:left="780" w:right="20" w:hanging="772"/>
        <w:spacing w:after="0" w:line="260"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primarily represent expected payments with interest for uncertain income tax positions as of December 31, 2020. We have reflected them in the period in which we believe they will be ultimately settled based upon our experience with these matters.</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other long term liabilities include items such as general and product liabilities, environmental liabilities and miscellaneous other long term liabilities. These other liabilities are not contractual obligations by nature. We cannot, with any degree of reliability, determine the years in which these liabilities might ultimately be settled. Accordingly, these other long term liabilities are not included in the above table.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pursuant to certain long term agreements, we will purchase varying amounts of certain raw materials and finished goods at agreed upon base prices that may be subject to periodic adjustments for changes in raw material costs and market price adjustments, or in quantities that may be subject to periodic adjustments for changes in our or our suppliers' production levels. These contingent contractual obligations, the amounts of which cannot be estimated, are not included in the table above.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engage in the trading of commodity contracts or any related derivative contracts. We generally purchase raw materials and energy through short term, intermediate and long term supply contracts at fixed prices or at formula prices related to market prices or negotiated prices. We may, however, from time to time, enter into contracts to hedge our energy costs.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2020, we had an agreement to provide a revolving loan commitment to TireHub of up to $100 million. As of December 31, 2020, $14 million was drawn on this commitment.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off-balance sheet arrangement is any transaction, agreement or other contractual arrangement involving an unconsolidated entity under which a company has:</w:t>
      </w:r>
    </w:p>
    <w:p>
      <w:pPr>
        <w:spacing w:after="0" w:line="54" w:lineRule="exact"/>
        <w:rPr>
          <w:sz w:val="20"/>
          <w:szCs w:val="20"/>
          <w:color w:val="auto"/>
        </w:rPr>
      </w:pPr>
    </w:p>
    <w:p>
      <w:pPr>
        <w:ind w:left="760" w:hanging="37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guarantees,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retained or held a contingent interest in transferred assets,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undertaken an obligation under certain derivative instruments, or</w:t>
      </w:r>
    </w:p>
    <w:p>
      <w:pPr>
        <w:spacing w:after="0" w:line="11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undertaken any obligation arising out of a material variable interest in an unconsolidated entity that provides financing, liquidity, market risk or credit risk support to the company, or that engages in leasing, hedging or research and development arrangements with the company.</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entered into certain arrangements under which we have provided guarantees that are off-balance sheet arrangements. Those guarantees totaled $73 million at December 31, 2020. For further information about our guarantees, refer to Note to the Consolidated Financial Statements No. 19, Commitments and Contingent Liabilities, in this Form 10-K.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 — SAFE HARBOR STATEMENT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in this Annual Report on Form 10-K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Annual Report on Form 10-K.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79" w:lineRule="exact"/>
        <w:rPr>
          <w:sz w:val="20"/>
          <w:szCs w:val="20"/>
          <w:color w:val="auto"/>
        </w:rPr>
      </w:pPr>
    </w:p>
    <w:p>
      <w:pPr>
        <w:ind w:left="760" w:hanging="374"/>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financial condition and liquidity are expected to be adversely impacted by the COVID-19 pandemic, and that impact may be material;</w:t>
      </w:r>
    </w:p>
    <w:p>
      <w:pPr>
        <w:spacing w:after="0" w:line="53"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implement our strategic initiatives, our operating results, financial condition and liquidity may be materially adversely affected;</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global competition and our market share could decline;</w:t>
      </w:r>
    </w:p>
    <w:p>
      <w:pPr>
        <w:spacing w:after="0" w:line="11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and energy costs may materially adversely affect our operating results and financial condition;</w:t>
      </w:r>
    </w:p>
    <w:p>
      <w:pPr>
        <w:spacing w:after="0" w:line="11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 labor strike, work stoppage or other similar event our business, results of operations, financial condition and liquidity could be materially adversely affected;</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have certain risks that may materially adversely affect our operating results, financial condition and liquidity;</w:t>
      </w:r>
    </w:p>
    <w:p>
      <w:pPr>
        <w:spacing w:after="0" w:line="11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foreign currency translation and transaction risks that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 term ability to meet our obligations, to repay maturing indebtedness or to implement strategic initiatives may be dependent on our ability to access capital markets in the future and to improve our operating results;</w:t>
      </w:r>
    </w:p>
    <w:p>
      <w:pPr>
        <w:spacing w:after="0" w:line="53"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work stoppages, supply disruptions or economic conditions affecting our major OE customers, dealers or suppliers could harm our business;</w:t>
      </w:r>
    </w:p>
    <w:p>
      <w:pPr>
        <w:spacing w:after="0" w:line="53"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may not be adequate to maintain our competitive position and may not be implemented in a timely or cost-effective manner;</w:t>
      </w:r>
    </w:p>
    <w:p>
      <w:pPr>
        <w:spacing w:after="0" w:line="53"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which could restrict our growth, place us at a competitive disadvantage or otherwise materially adversely affect our financial health;</w:t>
      </w:r>
    </w:p>
    <w:p>
      <w:pPr>
        <w:spacing w:after="0" w:line="53"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be in compliance with any material provision or covenant of our debt instruments, or a material reduction in the borrowing base under our revolving credit facility, could have a material adverse effect on our liquidity and operations;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 which could cause our debt service obligations to increase significantly;</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fixed costs and, as a result, our operating income fluctuates disproportionately with changes in our net sales;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costs in connection with our contingent liabilities and tax matters;</w:t>
      </w:r>
    </w:p>
    <w:p>
      <w:pPr>
        <w:spacing w:after="0" w:line="11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regulations that may materially adversely affect our operating results;</w:t>
      </w:r>
    </w:p>
    <w:p>
      <w:pPr>
        <w:spacing w:after="0" w:line="11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760" w:hanging="374"/>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key personnel, our business could be materially adversely affected; and</w:t>
      </w:r>
    </w:p>
    <w:p>
      <w:pPr>
        <w:spacing w:after="0" w:line="11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economic and supply disruptions associated with events beyond our control, such as war, acts of terror, political unrest, public health concerns, labor disputes or natural disasters.</w:t>
      </w:r>
    </w:p>
    <w:p>
      <w:pPr>
        <w:spacing w:after="0" w:line="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raw materials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continuously monitor our fixed and floating rate debt mix. Within defined limitations, we manage the mix using refinancing. At December 31, 2020, 24% of our debt was at variable interest rates averaging 2.79% compared to 32% at an average rate of 3.81% at December 31, 2019.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long term fixed rate debt, excluding finance leases, at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4,094</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3,434</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Fair value — liability</w:t>
            </w:r>
          </w:p>
        </w:tc>
        <w:tc>
          <w:tcPr>
            <w:tcW w:w="3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4,283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3,558</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 forma fair value — liability</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4,353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3,629</w:t>
            </w:r>
          </w:p>
        </w:tc>
      </w:tr>
    </w:tbl>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information assumes an 100 basis point decrease in market interest rates at December 31 of each year, and reflects the estimated fair value of fixed rate debt outstanding at that date under that assumption. The sensitivity of our fixed rate debt to changes in interest rates was determined using current market pricing models.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foreign currency derivative information at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 asset (liability)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 forma decrease in fair value</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maturities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1/21-12/21</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1/20-12/21</w:t>
            </w:r>
          </w:p>
        </w:tc>
      </w:tr>
    </w:tbl>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decrease in fair value assumes a 10% adverse change in underlying foreign exchange rates at December 31 of each year,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are recognized on the Consolidated Balance Sheets at December 31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6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asset (liability):</w:t>
            </w:r>
          </w:p>
        </w:tc>
        <w:tc>
          <w:tcPr>
            <w:tcW w:w="2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29"/>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9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Long term asset (liability):</w:t>
            </w:r>
          </w:p>
        </w:tc>
        <w:tc>
          <w:tcPr>
            <w:tcW w:w="2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29"/>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2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on foreign currency contracts, refer to Note to the Consolidated Financial Statements No. 15, Financing Arrangements and Derivative Financial Instruments, in this Form 10-K.</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“Management’s Discussion and Analysis of Financial Condition and Results of Operations — Liquidity and Capital Resources” for a discussion of our management of counterparty risk.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1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580" w:type="dxa"/>
            <w:vAlign w:val="bottom"/>
          </w:tcPr>
          <w:p>
            <w:pPr>
              <w:spacing w:after="0"/>
              <w:rPr>
                <w:sz w:val="16"/>
                <w:szCs w:val="16"/>
                <w:color w:val="auto"/>
              </w:rPr>
            </w:pPr>
          </w:p>
        </w:tc>
        <w:tc>
          <w:tcPr>
            <w:tcW w:w="6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99"/>
        </w:trPr>
        <w:tc>
          <w:tcPr>
            <w:tcW w:w="10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Management's Report on Internal Control over Financial Reporting</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57"/>
        </w:trPr>
        <w:tc>
          <w:tcPr>
            <w:tcW w:w="10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Report of Independent Registered Public Accounting Firm</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29"/>
        </w:trPr>
        <w:tc>
          <w:tcPr>
            <w:tcW w:w="10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Consolidated Financial Statements of The Goodyear Tire &amp; Rubber Company:</w:t>
            </w:r>
          </w:p>
        </w:tc>
        <w:tc>
          <w:tcPr>
            <w:tcW w:w="660" w:type="dxa"/>
            <w:vAlign w:val="bottom"/>
          </w:tcPr>
          <w:p>
            <w:pPr>
              <w:spacing w:after="0"/>
              <w:rPr>
                <w:sz w:val="19"/>
                <w:szCs w:val="19"/>
                <w:color w:val="auto"/>
              </w:rPr>
            </w:pPr>
          </w:p>
        </w:tc>
      </w:tr>
      <w:tr>
        <w:trPr>
          <w:trHeight w:val="303"/>
        </w:trPr>
        <w:tc>
          <w:tcPr>
            <w:tcW w:w="10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Consolidated Statements of Operations for each of the three years ended December 31, 2020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37"/>
        </w:trPr>
        <w:tc>
          <w:tcPr>
            <w:tcW w:w="10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Consolidated Statements of Comprehensive Income (Loss) for each of the three years ended December 31, 2020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76"/>
        </w:trPr>
        <w:tc>
          <w:tcPr>
            <w:tcW w:w="10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Consolidated Balance Sheets at December 31, 2020 and December 31, 2019</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37"/>
        </w:trPr>
        <w:tc>
          <w:tcPr>
            <w:tcW w:w="10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Consolidated Statements of Shareholders’ Equity for each of the three years ended December 31, 2020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76"/>
        </w:trPr>
        <w:tc>
          <w:tcPr>
            <w:tcW w:w="10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Consolidated Statements of Cash Flows for each of the three years ended December 31, 2020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37"/>
        </w:trPr>
        <w:tc>
          <w:tcPr>
            <w:tcW w:w="10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Notes to Consolidated 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57"/>
        </w:trPr>
        <w:tc>
          <w:tcPr>
            <w:tcW w:w="10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Supplementary Data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29"/>
        </w:trPr>
        <w:tc>
          <w:tcPr>
            <w:tcW w:w="10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Financial Statement Schedule:</w:t>
            </w:r>
          </w:p>
        </w:tc>
        <w:tc>
          <w:tcPr>
            <w:tcW w:w="660" w:type="dxa"/>
            <w:vAlign w:val="bottom"/>
          </w:tcPr>
          <w:p>
            <w:pPr>
              <w:spacing w:after="0"/>
              <w:rPr>
                <w:sz w:val="19"/>
                <w:szCs w:val="19"/>
                <w:color w:val="auto"/>
              </w:rPr>
            </w:pPr>
          </w:p>
        </w:tc>
      </w:tr>
      <w:tr>
        <w:trPr>
          <w:trHeight w:val="249"/>
        </w:trPr>
        <w:tc>
          <w:tcPr>
            <w:tcW w:w="10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The following consolidated financial statement schedule of The Goodyear Tire &amp; Rubber Company is filed as part of this Annual Report on Form 10-K and</w:t>
            </w:r>
          </w:p>
        </w:tc>
        <w:tc>
          <w:tcPr>
            <w:tcW w:w="660" w:type="dxa"/>
            <w:vAlign w:val="bottom"/>
          </w:tcPr>
          <w:p>
            <w:pPr>
              <w:spacing w:after="0"/>
              <w:rPr>
                <w:sz w:val="21"/>
                <w:szCs w:val="21"/>
                <w:color w:val="auto"/>
              </w:rPr>
            </w:pPr>
          </w:p>
        </w:tc>
      </w:tr>
      <w:tr>
        <w:trPr>
          <w:trHeight w:val="210"/>
        </w:trPr>
        <w:tc>
          <w:tcPr>
            <w:tcW w:w="10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should be read in conjunction with the Consolidated Financial Statements of The Goodyear Tire &amp; Rubber Company:</w:t>
            </w:r>
          </w:p>
        </w:tc>
        <w:tc>
          <w:tcPr>
            <w:tcW w:w="660" w:type="dxa"/>
            <w:vAlign w:val="bottom"/>
          </w:tcPr>
          <w:p>
            <w:pPr>
              <w:spacing w:after="0"/>
              <w:rPr>
                <w:sz w:val="18"/>
                <w:szCs w:val="18"/>
                <w:color w:val="auto"/>
              </w:rPr>
            </w:pPr>
          </w:p>
        </w:tc>
      </w:tr>
      <w:tr>
        <w:trPr>
          <w:trHeight w:val="229"/>
        </w:trPr>
        <w:tc>
          <w:tcPr>
            <w:tcW w:w="105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Schedule II – Valuation and Qualifying Accounts for each of the three years ended December 31, 2020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FS-2</w:t>
            </w:r>
          </w:p>
        </w:tc>
      </w:tr>
    </w:tbl>
    <w:p>
      <w:pPr>
        <w:spacing w:after="0" w:line="13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since they are not applicable or are not required, or the information required to be set forth therein is included in the Consolidated Financial Statements or Notes thereto.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under Rule 13a-15(f) promulgated under the Securities Exchange Act of 1934, as amended.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the Company’s consolidated financial statements for external purposes in accordance with generally accepted accounting principles.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consolidated financial statements in accordance with generally accepted accounting principles, and that receipts and expenditures of the Company are being made only in accordance with appropriate authorizations of management and directors of the Company; and (iii) provide reasonable assurance regarding prevention or timely detection of unauthorized acquisition, use or disposition of the Company’s assets that could have a material effect on the consolidated financial statements.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Management conducted an assessment of the Company’s internal control over financial reporting as of December 31, 2020 using the framework specified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published by the Committee of Sponsoring Organizations of the Treadway Commission. Based on such assessment, management has concluded that the Company’s internal control over financial reporting was effective as of December 31, 2020.</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2020 has been audited by PricewaterhouseCoopers LLP, an independent registered public accounting firm, as stated in their report which is presented in this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right="4900"/>
        <w:spacing w:after="0" w:line="397" w:lineRule="auto"/>
        <w:rPr>
          <w:sz w:val="20"/>
          <w:szCs w:val="20"/>
          <w:color w:val="auto"/>
        </w:rPr>
      </w:pPr>
      <w:r>
        <w:rPr>
          <w:rFonts w:ascii="Times New Roman" w:cs="Times New Roman" w:eastAsia="Times New Roman" w:hAnsi="Times New Roman"/>
          <w:sz w:val="17"/>
          <w:szCs w:val="17"/>
          <w:color w:val="auto"/>
        </w:rPr>
        <w:t xml:space="preserve">To the Board of Directors and Shareholders of The Goodyear Tire &amp; Rubber Company </w:t>
      </w: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consolidated financial statements, including the related notes and financial statement schedule, of The Goodyear Tire &amp; Rubber Company and its subsidiaries (the “Company”) as listed in the index appearing under Item 8 (collectively referred to as the “consolidated financial statements”). We also have audited the Company's internal control over financial reporting as of December 31, 2020, based on criteria established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(2013) issued by the</w:t>
      </w:r>
      <w:r>
        <w:rPr>
          <w:rFonts w:ascii="Times New Roman" w:cs="Times New Roman" w:eastAsia="Times New Roman" w:hAnsi="Times New Roman"/>
          <w:sz w:val="18"/>
          <w:szCs w:val="18"/>
          <w:i w:val="1"/>
          <w:iCs w:val="1"/>
          <w:color w:val="auto"/>
        </w:rPr>
        <w:t xml:space="preserve"> Committee of Sponsoring Organizations of the Treadway Commission </w:t>
      </w:r>
      <w:r>
        <w:rPr>
          <w:rFonts w:ascii="Times New Roman" w:cs="Times New Roman" w:eastAsia="Times New Roman" w:hAnsi="Times New Roman"/>
          <w:sz w:val="18"/>
          <w:szCs w:val="18"/>
          <w:color w:val="auto"/>
        </w:rPr>
        <w:t>(“COSO”).</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changed the manner in which it accounts for leases as of January 1, 2019.</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 EMEA Reporting Unit</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Notes 1 and 11 to the consolidated financial statements, the Company’s consolidated goodwill balance was $408 million as of December 31, 2020, and the goodwill associated with the Europe, Middle East and Africa (“EMEA”) reporting unit was $250 million. Goodwill is assessed for impairment annually with the option to perform a qualitative assessment to determine whether further impairment testing is necessary or to perform a quantitative assessment by comparing the fair value of the reporting unit to its carrying amount. In addition to annual testing, impairment testing is conducted when events occur or circumstances change that would more likely than not reduce the fair value of the asset below its carrying amount. As a result of the COVID-19 pandemic and the resulting decline in the macroeconomic environment, as well as a significant decrease in the Company’s market capitalization, management performed an interim impairment analysis as of March 31, 2020 utilizing a discounted cash flow model. Based on the results of management’s interim quantitative assessment, management recorded a non-cash impairment charge of $182 million for the EMEA reporting unit during the first quarter of 2020. The most critical assumptions used in the calculation of the estimated fair value of the Company’s EMEA reporting unit are the timing of the recovery in sales from the COVID-19 pandemic, the projected long term operating margin, and the discount rate.</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goodwill impairment of the EMEA reporting unit is a critical audit matter are (i) the significant judgment by management when developing the fair value measurement of the reporting unit; (ii) a high degree of auditor judgment, subjectivity, and effort in performing procedures and evaluating audit evidence relating to management’s significant assumptions for the timing of the recovery in sales from the COVID-19 pandemic, the projected long term operating margin, and the discount rate; and (iii) the audit effort involved the use of professionals with specialized skill and knowledge.</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Company’s EMEA reporting unit. These procedures also included, among others (i) testing management’s process for developing the fair value of the EMEA reporting unit, (ii) evaluating the appropriateness of the discounted cash flow model, (iii) testing the completeness and accuracy of underlying data used in the model, and (iv) evaluating the significant assumptions used by management related to the timing of the recovery in sales from the COVID-19 pandemic, the projected long term operating margin, and the discount rate. Evaluating management’s assumptions related to the timing of the recovery in sales from the COVID-19 pandemic and the projected long term operating margin involved evaluating whether the assumptions used by management were reasonable considering (i) the current and past performance of the reporting unit, (ii) the consistency with external market and industry data, and (iii) whether these assumptions were consistent with evidence obtained in other areas of the audit. Professionals with specialized skill and knowledge were used to assist in the evaluation of the Company’s discounted cash flow model and the discount rate assumption.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 Valuation of U.S. Deferred Tax Assets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Notes 1 and 6 to the consolidated financial statements, as of December 31, 2020, the Company has approximately $1.2 billion of U.S. federal, state and local deferred tax assets, net of valuation allowances totaling $368 million primarily for foreign tax credits with limited lives. Approximately $900 million of these U.S. net deferred tax assets have unlimited lives and approximately $300 million have limited lives and expire between 2025 and 2040. Management records valuation allowances unless it is more likely than not that all or a portion of the deferred tax assets will be realized. As disclosed by management, the valuation of deferred tax assets requires judgment in assessing future profitability, including the impact of tax planning strategies and the expiration date of the asset. During the first quarter of 2020, management established a valuation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allowance of $295 million against all of the foreign tax credits with expiration dates through 2024 and a portion of those expiring in 2025 due to the significant U.S. tax loss in 2020 driven by the impact of the COVID-19 pandemic, including the temporary suspension of production at the Company’s U.S. manufacturing facilities. As loss carryforwards must be utilized prior to foreign tax credits in offsetting future income for tax purposes, management concluded that it was no longer more likely than not that they will be able to utilize these foreign tax credits prior to their expiration. During 2020, the Company’s U.S. business went into a cumulative three-year loss position due to the significant impact of the COVID-19 pandemic on the Company’s 2020 results. Management concluded that the Company’s future taxable income provides positive, objectively verifiable information to conclude that it is more likely than not that the Company will be able to utilize the remaining deferred tax assets expiring from 2025 onward.</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income taxes - valuation of U.S. deferred tax assets is a critical audit matter are the significant judgment by management in determining whether the net deferred tax assets are more likely than not to be realized in the future, which in turn led to a high degree of auditor judgment and effort in performing procedures and evaluating audit evidence relating to management’s assessment of the realization of net deferred tax assets.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the realization of net deferred tax assets, including controls over projected taxable income. These procedures also included, among others, evaluating the positive and negative evidence available in management’s assessment of the realization of net deferred tax assets, testing the completeness and accuracy of underlying data used in management’s assessment, and evaluating the reasonableness of management’s assumption related to projected taxable income. Evaluating management’s assumption related to projected taxable income involved evaluating whether the assumption used by management was reasonable considering (i) the current and past performance of the Company’s U.S. business, (ii) the consistency with external market and industry data, (iii) evaluating whether tax planning strategies are prudent and feasible, and (iv) whether the assumption was consistent with evidence obtained in other areas of the audit.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1898.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0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660" w:type="dxa"/>
            <w:vAlign w:val="bottom"/>
            <w:tcBorders>
              <w:bottom w:val="single" w:sz="8" w:color="CFF0FC"/>
            </w:tcBorders>
            <w:vMerge w:val="continue"/>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 (Note 2)</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12,321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14,745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15,475</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10,337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11,961</w:t>
            </w: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2,192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2,323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Asset Impairments (Notes 11 and 12)</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Rationalizations (Note 3)</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(Note 4)</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10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 and Foreign Tax Expense (Note 6)</w:t>
            </w:r>
          </w:p>
        </w:tc>
        <w:tc>
          <w:tcPr>
            <w:tcW w:w="10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Minority Shareholders’ Net Income</w:t>
            </w:r>
          </w:p>
        </w:tc>
        <w:tc>
          <w:tcPr>
            <w:tcW w:w="10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63"/>
        </w:trPr>
        <w:tc>
          <w:tcPr>
            <w:tcW w:w="5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Goodyear Net Income (Loss)</w:t>
            </w:r>
          </w:p>
        </w:tc>
        <w:tc>
          <w:tcPr>
            <w:tcW w:w="10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(1,254)</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693</w:t>
            </w: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Goodyear Net Income (Loss) — Per Share of Common Stock</w:t>
            </w: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14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2.92</w:t>
            </w:r>
          </w:p>
        </w:tc>
        <w:tc>
          <w:tcPr>
            <w:tcW w:w="0" w:type="dxa"/>
            <w:vAlign w:val="bottom"/>
          </w:tcPr>
          <w:p>
            <w:pPr>
              <w:spacing w:after="0"/>
              <w:rPr>
                <w:sz w:val="1"/>
                <w:szCs w:val="1"/>
                <w:color w:val="auto"/>
              </w:rPr>
            </w:pPr>
          </w:p>
        </w:tc>
      </w:tr>
      <w:tr>
        <w:trPr>
          <w:trHeight w:val="210"/>
        </w:trPr>
        <w:tc>
          <w:tcPr>
            <w:tcW w:w="566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(Note 7)</w:t>
            </w:r>
          </w:p>
        </w:tc>
        <w:tc>
          <w:tcPr>
            <w:tcW w:w="10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6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14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2.89</w:t>
            </w:r>
          </w:p>
        </w:tc>
        <w:tc>
          <w:tcPr>
            <w:tcW w:w="0" w:type="dxa"/>
            <w:vAlign w:val="bottom"/>
          </w:tcPr>
          <w:p>
            <w:pPr>
              <w:spacing w:after="0"/>
              <w:rPr>
                <w:sz w:val="1"/>
                <w:szCs w:val="1"/>
                <w:color w:val="auto"/>
              </w:rPr>
            </w:pPr>
          </w:p>
        </w:tc>
      </w:tr>
      <w:tr>
        <w:trPr>
          <w:trHeight w:val="210"/>
        </w:trPr>
        <w:tc>
          <w:tcPr>
            <w:tcW w:w="566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(Note 7)</w:t>
            </w:r>
          </w:p>
        </w:tc>
        <w:tc>
          <w:tcPr>
            <w:tcW w:w="10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560" w:type="dxa"/>
            <w:vAlign w:val="bottom"/>
            <w:tcBorders>
              <w:bottom w:val="single" w:sz="8" w:color="CFF0FC"/>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2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net of tax of $4 in 2020 ($4 in 2019, ($10) in 2018)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9"/>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Defined benefit plans: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5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prior service cost and unrecognized gains and losses included in</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benefit cost, net of tax of $35 in 2020 ($33 in 2019, $34 in 2018)</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1"/>
        </w:trPr>
        <w:tc>
          <w:tcPr>
            <w:tcW w:w="6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(Increase)/decrease in net actuarial losses, net of tax of ($10) in 2020 (($42) in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2019, $1 in 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1"/>
        </w:trPr>
        <w:tc>
          <w:tcPr>
            <w:tcW w:w="65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Immediate recognition of prior service cost and unrecognized gains and losses due</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 curtailments, settlements, and divestitures, net of tax of $7 in 2020 ($2 in 2019,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$5 in 2018)</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1"/>
        </w:trPr>
        <w:tc>
          <w:tcPr>
            <w:tcW w:w="6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Prior service credit (cost) from plan amendments, net of tax of ($1) in 2020 ($1 in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2019, ($3) in 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6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derivative gains (losses), net of tax of $0 in 2020 ($0 in 2019, $3 in 2018)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1"/>
        </w:trPr>
        <w:tc>
          <w:tcPr>
            <w:tcW w:w="6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Reclassification adjustment for amounts recognized in income, net of tax of $0 in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2020 ($0 in 2019, $0 in 2018)</w:t>
            </w:r>
          </w:p>
        </w:tc>
        <w:tc>
          <w:tcPr>
            <w:tcW w:w="1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589</w:t>
            </w:r>
          </w:p>
        </w:tc>
        <w:tc>
          <w:tcPr>
            <w:tcW w:w="0" w:type="dxa"/>
            <w:vAlign w:val="bottom"/>
          </w:tcPr>
          <w:p>
            <w:pPr>
              <w:spacing w:after="0"/>
              <w:rPr>
                <w:sz w:val="1"/>
                <w:szCs w:val="1"/>
                <w:color w:val="auto"/>
              </w:rPr>
            </w:pPr>
          </w:p>
        </w:tc>
      </w:tr>
      <w:tr>
        <w:trPr>
          <w:trHeight w:val="229"/>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Comprehensive Income (Loss) Attributable to Minority Shareholders</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Goodyear Comprehensive Income (Loss)</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593</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5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180" w:type="dxa"/>
            <w:vAlign w:val="bottom"/>
            <w:tcBorders>
              <w:bottom w:val="single" w:sz="8" w:color="CFF0FC"/>
            </w:tcBorders>
            <w:vMerge w:val="continue"/>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7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7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 (Note 1)</w:t>
            </w:r>
          </w:p>
        </w:tc>
        <w:tc>
          <w:tcPr>
            <w:tcW w:w="90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1,539</w:t>
            </w:r>
          </w:p>
        </w:tc>
        <w:tc>
          <w:tcPr>
            <w:tcW w:w="620" w:type="dxa"/>
            <w:vAlign w:val="bottom"/>
            <w:gridSpan w:val="2"/>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(Note 9)</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1,941</w:t>
            </w: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 (Note 10)</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2,153</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2,851</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3"/>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5,620</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5,934</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Goodwill (Note 11)</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(Note 11)</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(Note 6)</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1,467</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1,527</w:t>
            </w: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 (Note 12)</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952</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(Note 14)</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(Note 13)</w:t>
            </w:r>
          </w:p>
        </w:tc>
        <w:tc>
          <w:tcPr>
            <w:tcW w:w="5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7,073</w:t>
            </w:r>
          </w:p>
        </w:tc>
        <w:tc>
          <w:tcPr>
            <w:tcW w:w="1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7,208</w:t>
            </w:r>
          </w:p>
        </w:tc>
        <w:tc>
          <w:tcPr>
            <w:tcW w:w="0" w:type="dxa"/>
            <w:vAlign w:val="bottom"/>
          </w:tcPr>
          <w:p>
            <w:pPr>
              <w:spacing w:after="0"/>
              <w:rPr>
                <w:sz w:val="1"/>
                <w:szCs w:val="1"/>
                <w:color w:val="auto"/>
              </w:rPr>
            </w:pPr>
          </w:p>
        </w:tc>
      </w:tr>
      <w:tr>
        <w:trPr>
          <w:trHeight w:val="263"/>
        </w:trPr>
        <w:tc>
          <w:tcPr>
            <w:tcW w:w="7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16,506</w:t>
            </w:r>
          </w:p>
        </w:tc>
        <w:tc>
          <w:tcPr>
            <w:tcW w:w="18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17,185</w:t>
            </w:r>
          </w:p>
        </w:tc>
        <w:tc>
          <w:tcPr>
            <w:tcW w:w="0" w:type="dxa"/>
            <w:vAlign w:val="bottom"/>
          </w:tcPr>
          <w:p>
            <w:pPr>
              <w:spacing w:after="0"/>
              <w:rPr>
                <w:sz w:val="1"/>
                <w:szCs w:val="1"/>
                <w:color w:val="auto"/>
              </w:rPr>
            </w:pPr>
          </w:p>
        </w:tc>
      </w:tr>
      <w:tr>
        <w:trPr>
          <w:trHeight w:val="21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 Trade</w:t>
            </w:r>
          </w:p>
        </w:tc>
        <w:tc>
          <w:tcPr>
            <w:tcW w:w="90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2,945</w:t>
            </w:r>
          </w:p>
        </w:tc>
        <w:tc>
          <w:tcPr>
            <w:tcW w:w="620" w:type="dxa"/>
            <w:vAlign w:val="bottom"/>
            <w:gridSpan w:val="2"/>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2,908</w:t>
            </w:r>
          </w:p>
        </w:tc>
        <w:tc>
          <w:tcPr>
            <w:tcW w:w="0" w:type="dxa"/>
            <w:vAlign w:val="bottom"/>
          </w:tcPr>
          <w:p>
            <w:pPr>
              <w:spacing w:after="0"/>
              <w:rPr>
                <w:sz w:val="1"/>
                <w:szCs w:val="1"/>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and Benefits (Notes 17 and 18)</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540</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865</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Payable and Overdrafts (Note 15)</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due Within One Year (Note 14)</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Long Term Debt and Finance Leases due Within One Year (Notes 14 and 15)</w:t>
            </w:r>
          </w:p>
        </w:tc>
        <w:tc>
          <w:tcPr>
            <w:tcW w:w="5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23"/>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5,106</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5,287</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(Note 14)</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 Term Debt and Finance Leases (Notes 14 and 15)</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5,432</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4,753</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 (Notes 17 and 18)</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1,470</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 (Note 6)</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5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471</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23"/>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13,247</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12,640</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19)</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Goodyear Shareholders’ Equity:</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Authorized, 450 million shares, Outstanding shares — 233 million (233 million in 2019)</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 Surplus</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2,171</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4,809</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6,113</w:t>
            </w: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(Note 21)</w:t>
            </w:r>
          </w:p>
        </w:tc>
        <w:tc>
          <w:tcPr>
            <w:tcW w:w="5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0" w:type="dxa"/>
            <w:vAlign w:val="bottom"/>
          </w:tcPr>
          <w:p>
            <w:pPr>
              <w:spacing w:after="0"/>
              <w:rPr>
                <w:sz w:val="1"/>
                <w:szCs w:val="1"/>
                <w:color w:val="auto"/>
              </w:rPr>
            </w:pPr>
          </w:p>
        </w:tc>
      </w:tr>
      <w:tr>
        <w:trPr>
          <w:trHeight w:val="223"/>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Goodyear Shareholders’ Equity</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3,078</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4,351</w:t>
            </w: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Minority Shareholders’ Equity — Nonredeemable</w:t>
            </w:r>
          </w:p>
        </w:tc>
        <w:tc>
          <w:tcPr>
            <w:tcW w:w="5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5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3,259</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4,545</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5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16,506</w:t>
            </w:r>
          </w:p>
        </w:tc>
        <w:tc>
          <w:tcPr>
            <w:tcW w:w="1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17,185</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3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60" w:type="dxa"/>
            <w:vAlign w:val="bottom"/>
            <w:gridSpan w:val="2"/>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Equity —</w:t>
            </w:r>
          </w:p>
        </w:tc>
        <w:tc>
          <w:tcPr>
            <w:tcW w:w="10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300" w:type="dxa"/>
            <w:vAlign w:val="bottom"/>
            <w:tcBorders>
              <w:bottom w:val="single" w:sz="8" w:color="auto"/>
            </w:tcBorders>
            <w:gridSpan w:val="3"/>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Non-</w:t>
            </w: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40" w:type="dxa"/>
            <w:vAlign w:val="bottom"/>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104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4"/>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Surplus</w:t>
            </w:r>
          </w:p>
        </w:tc>
        <w:tc>
          <w:tcPr>
            <w:tcW w:w="7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3"/>
                <w:szCs w:val="13"/>
                <w:color w:val="auto"/>
              </w:rPr>
            </w:pPr>
          </w:p>
        </w:tc>
        <w:tc>
          <w:tcPr>
            <w:tcW w:w="880" w:type="dxa"/>
            <w:vAlign w:val="bottom"/>
          </w:tcPr>
          <w:p>
            <w:pPr>
              <w:jc w:val="center"/>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3"/>
                <w:szCs w:val="13"/>
                <w:color w:val="auto"/>
              </w:rPr>
            </w:pPr>
          </w:p>
        </w:tc>
        <w:tc>
          <w:tcPr>
            <w:tcW w:w="980" w:type="dxa"/>
            <w:vAlign w:val="bottom"/>
            <w:gridSpan w:val="2"/>
          </w:tcPr>
          <w:p>
            <w:pPr>
              <w:jc w:val="center"/>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374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2017</w:t>
            </w:r>
          </w:p>
        </w:tc>
        <w:tc>
          <w:tcPr>
            <w:tcW w:w="9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(after deducting 38,308,825 common treasury shares)</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240,154,602</w:t>
            </w:r>
          </w:p>
        </w:tc>
        <w:tc>
          <w:tcPr>
            <w:tcW w:w="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2,295</w:t>
            </w:r>
          </w:p>
        </w:tc>
        <w:tc>
          <w:tcPr>
            <w:tcW w:w="1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6,044</w:t>
            </w:r>
          </w:p>
        </w:tc>
        <w:tc>
          <w:tcPr>
            <w:tcW w:w="120" w:type="dxa"/>
            <w:vAlign w:val="bottom"/>
          </w:tcPr>
          <w:p>
            <w:pPr>
              <w:spacing w:after="0"/>
              <w:rPr>
                <w:sz w:val="14"/>
                <w:szCs w:val="14"/>
                <w:color w:val="auto"/>
              </w:rPr>
            </w:pPr>
          </w:p>
        </w:tc>
        <w:tc>
          <w:tcPr>
            <w:tcW w:w="180" w:type="dxa"/>
            <w:vAlign w:val="bottom"/>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(3,976)</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4,603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247</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4,850</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708</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(net of tax of ($10))</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39"/>
        </w:trPr>
        <w:tc>
          <w:tcPr>
            <w:tcW w:w="374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Amortization of prior service cost and unrecognized gains</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and losses included</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71"/>
        </w:trPr>
        <w:tc>
          <w:tcPr>
            <w:tcW w:w="3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 total benefit cost (net of tax of $34)</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Decrease in net actuarial losses (net of tax of $1)</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39"/>
        </w:trPr>
        <w:tc>
          <w:tcPr>
            <w:tcW w:w="374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Immediate recognition of prior service cost and</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unrecognized gains and losses</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due to curtailments, settlements and divestitures (net of</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1"/>
        </w:trPr>
        <w:tc>
          <w:tcPr>
            <w:tcW w:w="3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tax of $5)</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74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Prior service cost from plan amendments (net of tax of</w:t>
            </w: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3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($3))</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derivative gains (net of tax of $3)</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39"/>
        </w:trPr>
        <w:tc>
          <w:tcPr>
            <w:tcW w:w="3740" w:type="dxa"/>
            <w:vAlign w:val="bottom"/>
            <w:shd w:val="clear" w:color="auto" w:fill="CFF0FC"/>
          </w:tcPr>
          <w:p>
            <w:pPr>
              <w:ind w:left="380"/>
              <w:spacing w:after="0" w:line="139" w:lineRule="exact"/>
              <w:rPr>
                <w:sz w:val="20"/>
                <w:szCs w:val="20"/>
                <w:color w:val="auto"/>
              </w:rPr>
            </w:pPr>
            <w:r>
              <w:rPr>
                <w:rFonts w:ascii="Times New Roman" w:cs="Times New Roman" w:eastAsia="Times New Roman" w:hAnsi="Times New Roman"/>
                <w:sz w:val="14"/>
                <w:szCs w:val="14"/>
                <w:color w:val="auto"/>
              </w:rPr>
              <w:t>Reclassification adjustment for amounts recognized in</w:t>
            </w: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1"/>
        </w:trPr>
        <w:tc>
          <w:tcPr>
            <w:tcW w:w="3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income (net of tax of $0)</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40" w:type="dxa"/>
            <w:vAlign w:val="bottom"/>
            <w:tcBorders>
              <w:bottom w:val="single" w:sz="8" w:color="CFF0FC"/>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9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(100)</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(119)</w:t>
            </w:r>
          </w:p>
        </w:tc>
        <w:tc>
          <w:tcPr>
            <w:tcW w:w="0" w:type="dxa"/>
            <w:vAlign w:val="bottom"/>
          </w:tcPr>
          <w:p>
            <w:pPr>
              <w:spacing w:after="0"/>
              <w:rPr>
                <w:sz w:val="1"/>
                <w:szCs w:val="1"/>
                <w:color w:val="auto"/>
              </w:rPr>
            </w:pPr>
          </w:p>
        </w:tc>
      </w:tr>
      <w:tr>
        <w:trPr>
          <w:trHeight w:val="156"/>
        </w:trPr>
        <w:tc>
          <w:tcPr>
            <w:tcW w:w="3740" w:type="dxa"/>
            <w:vAlign w:val="bottom"/>
            <w:shd w:val="clear" w:color="auto" w:fill="CFF0FC"/>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593</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589</w:t>
            </w: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Adoption of new accounting standard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(8,936,302)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952,743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Purchase of minority shares</w:t>
            </w:r>
          </w:p>
        </w:tc>
        <w:tc>
          <w:tcPr>
            <w:tcW w:w="96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55"/>
        </w:trPr>
        <w:tc>
          <w:tcPr>
            <w:tcW w:w="37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2018</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(after deducting 46,292,384 common treasury shares)</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232,171,043</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232</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2,111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6,597</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(4,076)</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4,864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206</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5,070</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declared and paid cash dividends of $0.58 per common share for the year ended December 31, 2018.</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 (Continued)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Equity —</w:t>
            </w: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280" w:type="dxa"/>
            <w:vAlign w:val="bottom"/>
            <w:tcBorders>
              <w:bottom w:val="single" w:sz="8" w:color="auto"/>
            </w:tcBorders>
            <w:gridSpan w:val="3"/>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w:t>
            </w: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780" w:type="dxa"/>
            <w:vAlign w:val="bottom"/>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104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6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Surplus</w:t>
            </w:r>
          </w:p>
        </w:tc>
        <w:tc>
          <w:tcPr>
            <w:tcW w:w="6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3"/>
                <w:szCs w:val="13"/>
                <w:color w:val="auto"/>
              </w:rPr>
            </w:pPr>
          </w:p>
        </w:tc>
        <w:tc>
          <w:tcPr>
            <w:tcW w:w="98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80" w:type="dxa"/>
            <w:vAlign w:val="bottom"/>
            <w:gridSpan w:val="3"/>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60" w:type="dxa"/>
            <w:vAlign w:val="bottom"/>
          </w:tcPr>
          <w:p>
            <w:pPr>
              <w:spacing w:after="0"/>
              <w:rPr>
                <w:sz w:val="13"/>
                <w:szCs w:val="13"/>
                <w:color w:val="auto"/>
              </w:rPr>
            </w:pPr>
          </w:p>
        </w:tc>
        <w:tc>
          <w:tcPr>
            <w:tcW w:w="780" w:type="dxa"/>
            <w:vAlign w:val="bottom"/>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78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2018</w:t>
            </w:r>
          </w:p>
        </w:tc>
        <w:tc>
          <w:tcPr>
            <w:tcW w:w="9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(after deducting 46,292,384 common treasury shares)</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232,171,043</w:t>
            </w:r>
          </w:p>
        </w:tc>
        <w:tc>
          <w:tcPr>
            <w:tcW w:w="10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232</w:t>
            </w: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2,111</w:t>
            </w:r>
          </w:p>
        </w:tc>
        <w:tc>
          <w:tcPr>
            <w:tcW w:w="1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6,597</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(4,076)</w:t>
            </w:r>
          </w:p>
        </w:tc>
        <w:tc>
          <w:tcPr>
            <w:tcW w:w="1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4,864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206</w:t>
            </w:r>
          </w:p>
        </w:tc>
        <w:tc>
          <w:tcPr>
            <w:tcW w:w="1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5,070</w:t>
            </w: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income (loss)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(net of tax of $4)</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39"/>
        </w:trPr>
        <w:tc>
          <w:tcPr>
            <w:tcW w:w="378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Amortization of prior service cost and unrecognized gains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and losses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71"/>
        </w:trPr>
        <w:tc>
          <w:tcPr>
            <w:tcW w:w="3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included in total benefit cost (net of tax of $33)</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Increase in net actuarial losses (net of tax of ($42))</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39"/>
        </w:trPr>
        <w:tc>
          <w:tcPr>
            <w:tcW w:w="378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Immediate recognition of prior service cost and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unrecognized gains and losses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due to curtailments, settlements and divestitures (net of tax</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3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of $2)</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78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Prior service credit from plan amendments (net of tax of</w:t>
            </w: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derivative gains (net of tax of $0)</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39"/>
        </w:trPr>
        <w:tc>
          <w:tcPr>
            <w:tcW w:w="3780" w:type="dxa"/>
            <w:vAlign w:val="bottom"/>
            <w:shd w:val="clear" w:color="auto" w:fill="CFF0FC"/>
          </w:tcPr>
          <w:p>
            <w:pPr>
              <w:ind w:left="380"/>
              <w:spacing w:after="0" w:line="139" w:lineRule="exact"/>
              <w:rPr>
                <w:sz w:val="20"/>
                <w:szCs w:val="20"/>
                <w:color w:val="auto"/>
              </w:rPr>
            </w:pPr>
            <w:r>
              <w:rPr>
                <w:rFonts w:ascii="Times New Roman" w:cs="Times New Roman" w:eastAsia="Times New Roman" w:hAnsi="Times New Roman"/>
                <w:sz w:val="14"/>
                <w:szCs w:val="14"/>
                <w:color w:val="auto"/>
              </w:rPr>
              <w:t>Reclassification adjustment for amounts recognized in</w:t>
            </w: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3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income (net of tax of $0)</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Borders>
              <w:bottom w:val="single" w:sz="8" w:color="CFF0FC"/>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9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(60)</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(59)</w:t>
            </w:r>
          </w:p>
        </w:tc>
        <w:tc>
          <w:tcPr>
            <w:tcW w:w="0" w:type="dxa"/>
            <w:vAlign w:val="bottom"/>
          </w:tcPr>
          <w:p>
            <w:pPr>
              <w:spacing w:after="0"/>
              <w:rPr>
                <w:sz w:val="1"/>
                <w:szCs w:val="1"/>
                <w:color w:val="auto"/>
              </w:rPr>
            </w:pPr>
          </w:p>
        </w:tc>
      </w:tr>
      <w:tr>
        <w:trPr>
          <w:trHeight w:val="155"/>
        </w:trPr>
        <w:tc>
          <w:tcPr>
            <w:tcW w:w="3780" w:type="dxa"/>
            <w:vAlign w:val="bottom"/>
            <w:shd w:val="clear" w:color="auto" w:fill="CFF0FC"/>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(371)</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15</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(356)</w:t>
            </w: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Adoption of new accounting standard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479,275</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Purchase of minority shares</w:t>
            </w: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56"/>
        </w:trPr>
        <w:tc>
          <w:tcPr>
            <w:tcW w:w="378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2019</w:t>
            </w: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(after deducting 45,813,109 common treasury shares)</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232,650,318</w:t>
            </w:r>
          </w:p>
        </w:tc>
        <w:tc>
          <w:tcPr>
            <w:tcW w:w="10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233</w:t>
            </w: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2,141</w:t>
            </w:r>
          </w:p>
        </w:tc>
        <w:tc>
          <w:tcPr>
            <w:tcW w:w="1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6,113</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(4,136)</w:t>
            </w:r>
          </w:p>
        </w:tc>
        <w:tc>
          <w:tcPr>
            <w:tcW w:w="1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4,351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194</w:t>
            </w:r>
          </w:p>
        </w:tc>
        <w:tc>
          <w:tcPr>
            <w:tcW w:w="1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4,545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declared and paid cash dividends of $0.64 per common share for the year ended December 31, 2019.</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 (Continued)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6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Equity —</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280" w:type="dxa"/>
            <w:vAlign w:val="bottom"/>
            <w:tcBorders>
              <w:bottom w:val="single" w:sz="8" w:color="auto"/>
            </w:tcBorders>
            <w:gridSpan w:val="3"/>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102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4"/>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Surplus</w:t>
            </w:r>
          </w:p>
        </w:tc>
        <w:tc>
          <w:tcPr>
            <w:tcW w:w="6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40" w:type="dxa"/>
            <w:vAlign w:val="bottom"/>
            <w:gridSpan w:val="3"/>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60" w:type="dxa"/>
            <w:vAlign w:val="bottom"/>
          </w:tcPr>
          <w:p>
            <w:pPr>
              <w:spacing w:after="0"/>
              <w:rPr>
                <w:sz w:val="13"/>
                <w:szCs w:val="13"/>
                <w:color w:val="auto"/>
              </w:rPr>
            </w:pPr>
          </w:p>
        </w:tc>
        <w:tc>
          <w:tcPr>
            <w:tcW w:w="820" w:type="dxa"/>
            <w:vAlign w:val="bottom"/>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92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2019</w:t>
            </w:r>
          </w:p>
        </w:tc>
        <w:tc>
          <w:tcPr>
            <w:tcW w:w="96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(after deducting 45,813,109 common treasury shares)</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232,650,318</w:t>
            </w:r>
          </w:p>
        </w:tc>
        <w:tc>
          <w:tcPr>
            <w:tcW w:w="6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233</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2,141</w:t>
            </w:r>
          </w:p>
        </w:tc>
        <w:tc>
          <w:tcPr>
            <w:tcW w:w="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6,113</w:t>
            </w:r>
          </w:p>
        </w:tc>
        <w:tc>
          <w:tcPr>
            <w:tcW w:w="2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(4,136)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4,351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194</w:t>
            </w:r>
          </w:p>
        </w:tc>
        <w:tc>
          <w:tcPr>
            <w:tcW w:w="6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4,545</w:t>
            </w: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(net of tax of $4)</w:t>
            </w:r>
          </w:p>
        </w:tc>
        <w:tc>
          <w:tcPr>
            <w:tcW w:w="9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39"/>
        </w:trPr>
        <w:tc>
          <w:tcPr>
            <w:tcW w:w="392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Amortization of prior service cost and unrecognized gains and</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losses included</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71"/>
        </w:trPr>
        <w:tc>
          <w:tcPr>
            <w:tcW w:w="3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 total benefit cost (net of tax of $35)</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Increase in net actuarial losses (net of tax of ($10))</w:t>
            </w:r>
          </w:p>
        </w:tc>
        <w:tc>
          <w:tcPr>
            <w:tcW w:w="9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39"/>
        </w:trPr>
        <w:tc>
          <w:tcPr>
            <w:tcW w:w="392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Immediate recognition of prior service cost and unrecognized</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gains and losses</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due to curtailments, settlements and divestitures (net of tax of</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1"/>
        </w:trPr>
        <w:tc>
          <w:tcPr>
            <w:tcW w:w="3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$7)</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Prior service cost from plan amendments (net of tax of ($1))</w:t>
            </w:r>
          </w:p>
        </w:tc>
        <w:tc>
          <w:tcPr>
            <w:tcW w:w="9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2"/>
        </w:trPr>
        <w:tc>
          <w:tcPr>
            <w:tcW w:w="3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derivative gains (net of tax of $0)</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39"/>
        </w:trPr>
        <w:tc>
          <w:tcPr>
            <w:tcW w:w="3920" w:type="dxa"/>
            <w:vAlign w:val="bottom"/>
            <w:shd w:val="clear" w:color="auto" w:fill="CFF0FC"/>
          </w:tcPr>
          <w:p>
            <w:pPr>
              <w:ind w:left="380"/>
              <w:spacing w:after="0" w:line="139" w:lineRule="exact"/>
              <w:rPr>
                <w:sz w:val="20"/>
                <w:szCs w:val="20"/>
                <w:color w:val="auto"/>
              </w:rPr>
            </w:pPr>
            <w:r>
              <w:rPr>
                <w:rFonts w:ascii="Times New Roman" w:cs="Times New Roman" w:eastAsia="Times New Roman" w:hAnsi="Times New Roman"/>
                <w:sz w:val="14"/>
                <w:szCs w:val="14"/>
                <w:color w:val="auto"/>
              </w:rPr>
              <w:t>Reclassification adjustment for amounts recognized in</w:t>
            </w:r>
          </w:p>
        </w:tc>
        <w:tc>
          <w:tcPr>
            <w:tcW w:w="9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3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income (net of tax of $0)</w:t>
            </w:r>
          </w:p>
        </w:tc>
        <w:tc>
          <w:tcPr>
            <w:tcW w:w="9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20" w:type="dxa"/>
            <w:vAlign w:val="bottom"/>
            <w:tcBorders>
              <w:bottom w:val="single" w:sz="8" w:color="CFF0FC"/>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9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w:t>
            </w: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w:t>
            </w:r>
          </w:p>
        </w:tc>
        <w:tc>
          <w:tcPr>
            <w:tcW w:w="0" w:type="dxa"/>
            <w:vAlign w:val="bottom"/>
          </w:tcPr>
          <w:p>
            <w:pPr>
              <w:spacing w:after="0"/>
              <w:rPr>
                <w:sz w:val="1"/>
                <w:szCs w:val="1"/>
                <w:color w:val="auto"/>
              </w:rPr>
            </w:pPr>
          </w:p>
        </w:tc>
      </w:tr>
      <w:tr>
        <w:trPr>
          <w:trHeight w:val="155"/>
        </w:trPr>
        <w:tc>
          <w:tcPr>
            <w:tcW w:w="3920" w:type="dxa"/>
            <w:vAlign w:val="bottom"/>
            <w:shd w:val="clear" w:color="auto" w:fill="CFF0FC"/>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(1,253)</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w:t>
            </w: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(1,256)</w:t>
            </w:r>
          </w:p>
        </w:tc>
        <w:tc>
          <w:tcPr>
            <w:tcW w:w="0" w:type="dxa"/>
            <w:vAlign w:val="bottom"/>
          </w:tcPr>
          <w:p>
            <w:pPr>
              <w:spacing w:after="0"/>
              <w:rPr>
                <w:sz w:val="1"/>
                <w:szCs w:val="1"/>
                <w:color w:val="auto"/>
              </w:rPr>
            </w:pPr>
          </w:p>
        </w:tc>
      </w:tr>
      <w:tr>
        <w:trPr>
          <w:trHeight w:val="162"/>
        </w:trPr>
        <w:tc>
          <w:tcPr>
            <w:tcW w:w="3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Adoption of new accounting standard (Note 1)</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62"/>
        </w:trPr>
        <w:tc>
          <w:tcPr>
            <w:tcW w:w="3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569,780</w:t>
            </w:r>
          </w:p>
        </w:tc>
        <w:tc>
          <w:tcPr>
            <w:tcW w:w="6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55"/>
        </w:trPr>
        <w:tc>
          <w:tcPr>
            <w:tcW w:w="39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(after deducting 45,243,329 common treasury shares)</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233,220,098</w:t>
            </w: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233</w:t>
            </w: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2,171</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4,809</w:t>
            </w:r>
          </w:p>
        </w:tc>
        <w:tc>
          <w:tcPr>
            <w:tcW w:w="2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(4,135)</w:t>
            </w: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3,078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181</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3,259</w:t>
            </w: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declared and paid cash dividends of $0.16 per common share for the year ended December 31, 2020.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780" w:type="dxa"/>
            <w:vAlign w:val="bottom"/>
            <w:tcBorders>
              <w:bottom w:val="single" w:sz="8" w:color="CFF0FC"/>
            </w:tcBorders>
            <w:vMerge w:val="continue"/>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1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(1,250)</w:t>
            </w:r>
          </w:p>
        </w:tc>
        <w:tc>
          <w:tcPr>
            <w:tcW w:w="16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(297)</w:t>
            </w:r>
          </w:p>
        </w:tc>
        <w:tc>
          <w:tcPr>
            <w:tcW w:w="16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708</w:t>
            </w:r>
          </w:p>
        </w:tc>
        <w:tc>
          <w:tcPr>
            <w:tcW w:w="0" w:type="dxa"/>
            <w:vAlign w:val="bottom"/>
          </w:tcPr>
          <w:p>
            <w:pPr>
              <w:spacing w:after="0"/>
              <w:rPr>
                <w:sz w:val="1"/>
                <w:szCs w:val="1"/>
                <w:color w:val="auto"/>
              </w:rPr>
            </w:pPr>
          </w:p>
        </w:tc>
      </w:tr>
      <w:tr>
        <w:trPr>
          <w:trHeight w:val="218"/>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(Loss) to Cash Flows from Operating Activities:</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778</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 and Write-Off of Debt Issuance Costs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Goodwill and Other Asset Impairments (Notes 11 and 12)</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Provision for Deferred Income Taxes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Pension Curtailments and Settlements (Note 17)</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Rationalization Charges (Note 3)</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Rationalization Payments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(Gains) Losses on Asset Sales (Note 5)</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Gain on TireHub transaction, net of transaction costs (Note 5)</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Operating Lease Expense (Note 14)</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 Lease Payments (Note 14)</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Pension Contributions and Direct Payments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 Net of Asset Acquisitions and Dispositions: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Inventories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Payable — Trade</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8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195</w:t>
            </w:r>
          </w:p>
        </w:tc>
        <w:tc>
          <w:tcPr>
            <w:tcW w:w="1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2"/>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Cash Flows from Operating Activities</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1,115</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1,207</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916</w:t>
            </w:r>
          </w:p>
        </w:tc>
        <w:tc>
          <w:tcPr>
            <w:tcW w:w="0" w:type="dxa"/>
            <w:vAlign w:val="bottom"/>
          </w:tcPr>
          <w:p>
            <w:pPr>
              <w:spacing w:after="0"/>
              <w:rPr>
                <w:sz w:val="1"/>
                <w:szCs w:val="1"/>
                <w:color w:val="auto"/>
              </w:rPr>
            </w:pPr>
          </w:p>
        </w:tc>
      </w:tr>
      <w:tr>
        <w:trPr>
          <w:trHeight w:val="214"/>
        </w:trPr>
        <w:tc>
          <w:tcPr>
            <w:tcW w:w="6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0" w:type="dxa"/>
            <w:vAlign w:val="bottom"/>
          </w:tcPr>
          <w:p>
            <w:pPr>
              <w:spacing w:after="0"/>
              <w:rPr>
                <w:sz w:val="1"/>
                <w:szCs w:val="1"/>
                <w:color w:val="auto"/>
              </w:rPr>
            </w:pPr>
          </w:p>
        </w:tc>
      </w:tr>
      <w:tr>
        <w:trPr>
          <w:trHeight w:val="21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Dispositions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Short Term Securities Acquired</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 Term Securities Redeemed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Notes Receivable</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Other Transactions</w:t>
            </w:r>
          </w:p>
        </w:tc>
        <w:tc>
          <w:tcPr>
            <w:tcW w:w="8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Cash Flows from Investing Activities</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(667)</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(800)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(867)</w:t>
            </w:r>
          </w:p>
        </w:tc>
        <w:tc>
          <w:tcPr>
            <w:tcW w:w="0" w:type="dxa"/>
            <w:vAlign w:val="bottom"/>
          </w:tcPr>
          <w:p>
            <w:pPr>
              <w:spacing w:after="0"/>
              <w:rPr>
                <w:sz w:val="1"/>
                <w:szCs w:val="1"/>
                <w:color w:val="auto"/>
              </w:rPr>
            </w:pPr>
          </w:p>
        </w:tc>
      </w:tr>
      <w:tr>
        <w:trPr>
          <w:trHeight w:val="214"/>
        </w:trPr>
        <w:tc>
          <w:tcPr>
            <w:tcW w:w="6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Short Term Debt and Overdrafts Incurred</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1,651</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1,880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1,944</w:t>
            </w:r>
          </w:p>
        </w:tc>
        <w:tc>
          <w:tcPr>
            <w:tcW w:w="0" w:type="dxa"/>
            <w:vAlign w:val="bottom"/>
          </w:tcPr>
          <w:p>
            <w:pPr>
              <w:spacing w:after="0"/>
              <w:rPr>
                <w:sz w:val="1"/>
                <w:szCs w:val="1"/>
                <w:color w:val="auto"/>
              </w:rPr>
            </w:pPr>
          </w:p>
        </w:tc>
      </w:tr>
      <w:tr>
        <w:trPr>
          <w:trHeight w:val="21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 Term Debt and Overdrafts Paid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Long Term Debt Incurred</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6,251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5,942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6,455</w:t>
            </w:r>
          </w:p>
        </w:tc>
        <w:tc>
          <w:tcPr>
            <w:tcW w:w="0" w:type="dxa"/>
            <w:vAlign w:val="bottom"/>
          </w:tcPr>
          <w:p>
            <w:pPr>
              <w:spacing w:after="0"/>
              <w:rPr>
                <w:sz w:val="1"/>
                <w:szCs w:val="1"/>
                <w:color w:val="auto"/>
              </w:rPr>
            </w:pPr>
          </w:p>
        </w:tc>
      </w:tr>
      <w:tr>
        <w:trPr>
          <w:trHeight w:val="21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 Term Debt Paid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(6,469)</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Common Stock Issued</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Repurchased (Note 20)</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Common Stock Dividends Paid (Note 20)</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1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Transactions with Minority Interests in Subsidiaries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Debt Related Costs and Other Transactions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8"/>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Cash Flows from Financing Activities</w:t>
            </w:r>
          </w:p>
        </w:tc>
        <w:tc>
          <w:tcPr>
            <w:tcW w:w="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203</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(307)</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(243)</w:t>
            </w:r>
          </w:p>
        </w:tc>
        <w:tc>
          <w:tcPr>
            <w:tcW w:w="0" w:type="dxa"/>
            <w:vAlign w:val="bottom"/>
          </w:tcPr>
          <w:p>
            <w:pPr>
              <w:spacing w:after="0"/>
              <w:rPr>
                <w:sz w:val="1"/>
                <w:szCs w:val="1"/>
                <w:color w:val="auto"/>
              </w:rPr>
            </w:pPr>
          </w:p>
        </w:tc>
      </w:tr>
      <w:tr>
        <w:trPr>
          <w:trHeight w:val="218"/>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8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8"/>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(237)</w:t>
            </w:r>
          </w:p>
        </w:tc>
        <w:tc>
          <w:tcPr>
            <w:tcW w:w="0" w:type="dxa"/>
            <w:vAlign w:val="bottom"/>
          </w:tcPr>
          <w:p>
            <w:pPr>
              <w:spacing w:after="0"/>
              <w:rPr>
                <w:sz w:val="1"/>
                <w:szCs w:val="1"/>
                <w:color w:val="auto"/>
              </w:rPr>
            </w:pPr>
          </w:p>
        </w:tc>
      </w:tr>
      <w:tr>
        <w:trPr>
          <w:trHeight w:val="218"/>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8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974</w:t>
            </w:r>
          </w:p>
        </w:tc>
        <w:tc>
          <w:tcPr>
            <w:tcW w:w="1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873</w:t>
            </w:r>
          </w:p>
        </w:tc>
        <w:tc>
          <w:tcPr>
            <w:tcW w:w="1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1,110</w:t>
            </w:r>
          </w:p>
        </w:tc>
        <w:tc>
          <w:tcPr>
            <w:tcW w:w="0" w:type="dxa"/>
            <w:vAlign w:val="bottom"/>
          </w:tcPr>
          <w:p>
            <w:pPr>
              <w:spacing w:after="0"/>
              <w:rPr>
                <w:sz w:val="1"/>
                <w:szCs w:val="1"/>
                <w:color w:val="auto"/>
              </w:rPr>
            </w:pPr>
          </w:p>
        </w:tc>
      </w:tr>
      <w:tr>
        <w:trPr>
          <w:trHeight w:val="208"/>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880" w:type="dxa"/>
            <w:vAlign w:val="bottom"/>
          </w:tcPr>
          <w:p>
            <w:pPr>
              <w:spacing w:after="0"/>
              <w:rPr>
                <w:sz w:val="18"/>
                <w:szCs w:val="18"/>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1,624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974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873</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Accounting Policies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significant accounting policies used in the preparation of the accompanying consolidated financial statements follows: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robust business continuity plan to adequately respond to situations such as the COVID-19 pandemic, including a framework for remote work arrangements, in order to effectively maintain operations, including financial reporting systems, internal control over financial reporting and disclosure controls and procedures.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1, 2020, we early adopted, as permitted, SEC amendments to the financial disclosure requirements for registered debt securities with subsidiary guarantees. The amendments replace the condensed consolidating financial information with summarized financial information of the issuers and guarantors, require expanded qualitative disclosures with respect to information about guarantors, the terms and conditions of guarantees and the factors that may affect payment, and permit these disclosures to be provided outside the footnotes to the parent company’s audited annual and interim consolidated financial statements. We have elected to provide this information in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Standards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1, 2020, we adopted an accounting standards update with new guidance on accounting for credit losses on financial instruments. The new guidance includes an impairment model for estimating credit losses that is based on expected losses, rather than incurred losses. As a result of using the modified retrospective adoption approach, $12 million was recorded as a cumulative effect adjustment to decrease Retained Earnings, with Accounts Receivable decreasing by $15 million and Deferred Income Taxes increasing by $3 million.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 of allowances for credit losses, which represents our allowance for doubtful accounts associated with accounts receivable, and the changes during the year ended December 31, 2020:</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3"/>
                <w:szCs w:val="13"/>
                <w:color w:val="auto"/>
              </w:rPr>
            </w:pPr>
          </w:p>
        </w:tc>
        <w:tc>
          <w:tcPr>
            <w:tcW w:w="1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7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&amp; Africa</w:t>
            </w: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2020</w:t>
            </w: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38</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78</w:t>
            </w:r>
          </w:p>
        </w:tc>
        <w:tc>
          <w:tcPr>
            <w:tcW w:w="1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126</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provision</w:t>
            </w:r>
          </w:p>
        </w:tc>
        <w:tc>
          <w:tcPr>
            <w:tcW w:w="26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Translation</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42</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92</w:t>
            </w:r>
          </w:p>
        </w:tc>
        <w:tc>
          <w:tcPr>
            <w:tcW w:w="1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January 1, 2020, we adopted an accounting standards update with new guidance requiring a customer in a cloud computing arrangement that is a service contract to follow existing internal-use software guidance to determine which implementation costs to capitalize as an asset. The adoption of this standards update did not impact our consolidated financial statements.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April 1, 2020, we early adopted, as permitted, an accounting standards update with new guidance that changes the accounting for certain income tax transactions. The adoption of this standards update did not have a material impact on our consolidated financial statements.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Standards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2020, the Financial Accounting Standards Board issued an accounting standards update which eliminates differences in practice among fair value accounting for investments in equity securities, equity method investments and certain derivative instruments. The new standard is expected to increase comparability of the accounting for these items. The standards update is effective prospectively for fiscal years and interim periods beginning after December 15, 2020, with early adoption permitted. The adoption of this standards update will not have a material impact on our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carried at cost. All intercompany balances and transactions have been eliminated in consolidation.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related notes to the consolidated financial statements. Actual results could differ from those estimates. On an ongoing basis, management reviews its estimates, including those related to:</w:t>
      </w:r>
    </w:p>
    <w:p>
      <w:pPr>
        <w:spacing w:after="0" w:line="68" w:lineRule="exact"/>
        <w:rPr>
          <w:sz w:val="20"/>
          <w:szCs w:val="20"/>
          <w:color w:val="auto"/>
        </w:rPr>
      </w:pPr>
    </w:p>
    <w:p>
      <w:pPr>
        <w:ind w:left="760" w:hanging="374"/>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product liabilities and other litigation,</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intangibles and other long-lived assets,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 valuation allowances and uncertain income tax positions,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and other postretirement benefits,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operating allowances and accruals, based on currently available information.</w:t>
      </w:r>
    </w:p>
    <w:p>
      <w:pPr>
        <w:spacing w:after="0" w:line="117" w:lineRule="exact"/>
        <w:rPr>
          <w:sz w:val="20"/>
          <w:szCs w:val="20"/>
          <w:color w:val="auto"/>
        </w:rPr>
      </w:pPr>
    </w:p>
    <w:p>
      <w:pPr>
        <w:ind w:right="1720"/>
        <w:spacing w:after="0" w:line="375" w:lineRule="auto"/>
        <w:rPr>
          <w:sz w:val="20"/>
          <w:szCs w:val="20"/>
          <w:color w:val="auto"/>
        </w:rPr>
      </w:pPr>
      <w:r>
        <w:rPr>
          <w:rFonts w:ascii="Times New Roman" w:cs="Times New Roman" w:eastAsia="Times New Roman" w:hAnsi="Times New Roman"/>
          <w:sz w:val="18"/>
          <w:szCs w:val="18"/>
          <w:color w:val="auto"/>
        </w:rPr>
        <w:t xml:space="preserve">Changes in facts and circumstances may alter such estimates and affect results of operations and financial position in future periods. </w:t>
      </w:r>
      <w:r>
        <w:rPr>
          <w:rFonts w:ascii="Times New Roman" w:cs="Times New Roman" w:eastAsia="Times New Roman" w:hAnsi="Times New Roman"/>
          <w:sz w:val="18"/>
          <w:szCs w:val="18"/>
          <w:b w:val="1"/>
          <w:bCs w:val="1"/>
          <w:i w:val="1"/>
          <w:iCs w:val="1"/>
          <w:color w:val="auto"/>
        </w:rPr>
        <w:t>Revenue Recognition and Accounts Receivable Valuation</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are recognized when obligations under the terms of a contract are satisfied and control is transferred. This generally occurs with shipment or delivery, depending on the terms of the underlying contract, or when services have been rendered. Sales are measured as the amount of consideration we expect to receive in exchange for transferring goods or providing services. The amount of consideration we receive and sales we recognize can vary due to changes in sales incentives, rebates, rights of return or other items we offer our customers, for which we estimate the expected amounts based on an analysis of historical experience, or as the most likely amount in a range of possible outcomes. Payment terms with customers vary by region and customer, but are generally 30-90 days or at the point of sale for our consumer retail locations. Net sales exclude sales, value added and other taxes. Costs to obtain contracts are generally expensed as incurred due to the short term nature of individual contracts. Incidental items that are immaterial in the context of the contract are recognized as expense as incurred. We have elected to recognize the costs incurred for transportation of products to customers as a component of cost of goods sold ("CGS").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Appropriate provisions are made for uncollectible accounts based on historical loss experience, portfolio duration, economic conditions and credit risk, considering both expected future losses as well as current incurred losses. The adequacy of the allowances are assessed quarterly.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costs include, among other things, materials, equipment, compensation and contract services. These costs are expensed as incurred and included as a component of CGS. Research and development expenditures were $390 million, $430 million and $424 million in 2020,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-287655</wp:posOffset>
            </wp:positionV>
            <wp:extent cx="2540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Warranties are provided on the sale of certain of our products and services and an accrual for estimated future claims is recorded at the time revenue is recognized. Tire replacement under most of the warranties we offer is on a prorated basis. Warranty reserves are based on past claims experience, sales history and other considerations. Refer to Note to the Consolidated Financial Statements No. 19, Commitments and Contingent Liabilities.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Cleanup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expense environmental costs related to existing conditions resulting from past or current operations and from which no current or future benefit is discernible. Expenditures that extend the life of the related property or mitigate or prevent future environmental contamination are capitalized. We determine our liability on a site by site basis and record a liability at the time when it is probable and can be reasonably estimated. Our estimated liability is reduced to reflect the anticipated participation of other potentially responsible parties in those instances where it is probable that such parties are legally responsible and financially capable of paying their respective shares of the relevant costs. Our estimated liability is not discounted or reduced for possible recoveries from insurance carriers. Refer to Note to the Consolidated Financial Statements No. 19, Commitments and Contingent Liabilities.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Costs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record a liability for estimated legal and defense costs related to pending general and product liability claims, environmental matters and workers’ compensation claims. Refer to Note to the Consolidated Financial Statements No. 19, Commitments and Contingent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incurred for producing and communicating advertising are generally expensed when incurred as a component of selling, administrative and general expense ("SAG"). Costs incurred under our cooperative advertising programs with dealers and franchisees are generally recorded as reductions of sales as related revenues are recognized. Advertising costs, including costs for our cooperative advertising programs with dealers and franchisees, were $304 million, $353 million and $345 million in 2020, 2019 and 2018,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Rationalizations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record costs for rationalization actions implemented to reduce excess and high-cost manufacturing capacity and operating and administrative costs. Associate-related costs include severance, supplemental unemployment compensation and benefits, medical benefits, pension curtailments, postretirement benefits, and other termination benefits. For ongoing benefit arrangements, a liability is recognized when it is probable that employees will be entitled to benefits and the amount can be reasonably estimated. For one-time benefit arrangements, a liability is incurred and must be accrued at the date the plan is communicated to employees, unless they will be retained beyond a minimum retention period. In this case, the liability is calculated at the date the plan is communicated to employees and is accrued ratably over the future service period. For voluntary benefit arrangements, a liability is not estimable and is not recognized until eligible associates apply for the benefit and we accept the applications. Other costs generally include non-cancelable lease, contract termination and relocation costs. A liability for these costs is recognized in the period in which the liability is incurred. Rationalization charges related to accelerated depreciation and asset impairments are recorded in CGS or SAG. Refer to Note to the Consolidated Financial Statements No. 3, Costs Associated with Rationalization Programs.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Income taxes are recognized during the year in which transactions enter into the determination of financial statement income, with deferred taxes being provided for temporary differences between carrying values of assets and liabilities for financial reporting purposes and such carrying values as measured under applicable tax laws. The effect on deferred tax assets or liabilities of a change in the tax law or tax rate is recognized in the period the change is enacted. Valuation allowances are recorded to reduce net deferred tax assets to the amount that is more likely than not to be realized. The calculation of our tax liabilities also involves considering uncertainties in the application of complex tax regulations. We recognize liabilities for uncertain income tax positions based on our estimate of whether it is more likely than not that additional taxes will be required and we report related interest and penalties as income taxes. To the extent that we incur expense under the global intangible low-taxed income provisions we will treat it as a component of income tax expense in the period incurred. Refer to Note to the Consolidated Financial Statements No. 6, Income Taxes.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 Consolidated Statements of Cash Flows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on hand and marketable securities with original maturities of three months or less. Substantially all of our cash and short-term investment securities are held with investment grade rated counterparties. At December 31, 2020, our cash investments with any single counterparty did not exceed approximately $345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flows associated with derivative financial instruments designated as hedges of identifiable transactions or events are classified in the same category as the cash flows from the related hedged items. Cash flows associated with derivative financial instruments not designated as hedges are classified as operating activities. Bank overdrafts, if any, are recorded within Notes Payable and Overdrafts. Cash flows associated with bank overdrafts are classified as financing activities.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Customer prepayments for products and government grants received that predominately relate to operations are reported as operating activities. Government grants received that are predominately related to capital expenditures are reported as investing activities. The Consolidated Statements of Cash Flows are presented net of finance leases of $3 million, $36 million and $6 million originating in the years ended December 31, 2020, 2019 and 2018, respectively, and accrued capital expenditures financed with extended terms of $15 million in 2020. Cash flows from investing activities in 2020 exclude $224 million of accrued capital expenditures remaining unpaid at December 31, 2020, and include payment for $243 million of capital expenditures that were accrued and unpaid at December 31, 2019. Cash flows from investing activities in 2019 exclude $243 million of accrued capital expenditures remaining unpaid at December 31, 2019, and include payment for $266 million of capital expenditures that were accrued and unpaid at December 31, 2018. Cash flows from investing activities in 2018 exclude $266 million of accrued capital expenditures remaining unpaid at December 31, 2018, and include payment for $265 million of capital expenditures that were accrued and unpaid at December 31, 2017.</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reported within the Consolidated Statements of Cash Flows: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60" w:type="dxa"/>
            <w:vAlign w:val="bottom"/>
            <w:tcBorders>
              <w:bottom w:val="single" w:sz="8" w:color="CFF0FC"/>
            </w:tcBorders>
            <w:vMerge w:val="continue"/>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1,539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908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4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1,624</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974</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873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Cash, which is included in Prepaid Expenses and Other Current Assets in the Consolidated Balance Sheets, primarily represents amounts required to be set aside in connection with accounts receivable factoring programs. The restrictions lapse when cash from factored accounts receivable is remitted to the purchaser of those receivables.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Net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countries where we operate, transfers of funds into or out of such countries by way of dividends, loans or advances are generally or periodically subject to various governmental regulations. In addition, certain of our credit agreements and other debt instruments limit the ability of foreign subsidiaries to make cash distributions. At December 31, 2020, approximately $680 million of net assets were subject to such regulations or limitations.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the first-in, first-out or the average cost method. Costs include direct material, direct labor and applicable manufacturing and engineering overhead. We allocate fixed manufacturing overheads based on normal production capacity and recognize abnormal manufacturing costs as period costs. We determine a provision for excess and obsolete inventory based on management’s review of inventories on hand compared to estimated future usage and sales. Refer to Note to the Consolidated Financial Statements No. 10, Inventories.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is recorded when the cost of acquired businesses exceeds the fair value of the identifiable net assets acquired. Goodwill and intangible assets with indefinite useful lives are not amortized but are assessed for impairment annually with the option to perform a qualitative assessment to determine whether further impairment testing is necessary or to perform a quantitative assessment by comparing the fair value of the reporting unit or indefinite-lived intangible to its carrying amount. Under the qualitative assessment, an entity is not required to calculate the fair value unless the entity determines that it is more likely than not that the fair value is less than the carrying amount. If under the quantitative assessment the fair value is less than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then an impairment loss will be recorded for the difference between the carrying value and the fair value. We perform a quantitative assessment at least once every five years.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annual testing, impairment testing is conducted when events occur or circumstances change that would more likely than not reduce the fair value of the asset below its carrying amount. Goodwill and intangible assets with indefinite useful lives would be written down to fair value if considered impaired. Intangible assets with finite useful lives are amortized to their estimated residual values over such finite lives, and reviewed for impairment whenever events or circumstances warrant such a review. Refer to Note to the Consolidated Financial Statements No. 11, Goodwill and Intangible Assets.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in marketable securities are stated at fair value. Fair value is determined using quoted market prices at the end of the reporting period and, when appropriate, exchange rates at that date. Unrealized gains and losses on marketable equity securities are recorded in earnings. Unrealized gains and losses on marketable debt securities classified as available-for-sale are recorded in Accumulated Other Comprehensive Income (Loss) (“AOCL”), net of tax. Our investment in TireHub, LLC (“TireHub”), a distribution joint venture in the U.S., is accounted for under the equity method.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regularly review our investments to determine whether a decline in fair value below their recorded amount is other than temporary. If the decline in fair value is judged to be other than temporary, the investment is written down to fair value and the amount of the write-down is included in the Consolidated Statements of Operations. Refer to Notes to the Consolidated Financial Statements No. 12, Other Assets and Investments, No. 16, Fair Value Measurements, and No. 21, Reclassifications out of Accumulated Other Comprehensive Loss.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plant and equipment are stated at cost. Depreciation is computed using the straight-line method. Additions and improvements that substantially extend the useful life of property, plant and equipment, and interest costs incurred during the construction period of major projects are capitalized. Government grants to us that are predominately related to capital expenditures are recorded as reductions of the cost of the associated assets. Repair and maintenance costs are expensed as incurred. Property, plant and equipment are depreciated to their estimated residual values over their estimated useful lives, and reviewed for impairment whenever events or circumstances warrant such a review. Depreciation expense for property, plant and equipment was $857 million, $793 million and $776 million in 2020, 2019 and 2018, respectively. Refer to Notes to the Consolidated Financial Statements No. 4, Interest Expense, and No. 13, Property, Plant and Equipment.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1, 2019, we adopted, using the modified retrospective adoption approach, an accounting standards update with new guidance relating to leases. Our adoption of this standards update resulted in adjustments that increased Total Assets by $873 million, increased Long Term Debt and Finance Leases by $14 million, and decreased Goodyear Shareholders’ Equity and Total Shareholders’ Equity by $23 million. Periods prior to 2019 have not been restated for the adoption of this standards update.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determine if an arrangement is or contains a lease at inception. We enter into leases primarily for our distribution facilities, manufacturing equipment, administrative offices, retail stores, vehicles and data processing equipment under varying terms and conditions. Our leases have remaining lease terms of less than 1 year to approximately 50 years. Most of our leases include options to extend the lease, with renewal terms ranging from 1 to 50 years or more, and some include options to terminate the lease within 1 year. If it is reasonably certain that an option to extend or terminate a lease will be exercised, that option is considered in the lease term. Leases with an initial term of 12 months or less are not recorded on the balance sheet, and we recognize short-term lease expense for these leases on a straight-line basis over the lease term.</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lease agreements include variable lease payments, generally based on consumer price indices. Variable lease payments that are assigned to an index are determined based on the initial index at commencement, and the variability based on changes in the index is accounted for as it changes. The variable portion of payments is not included in the initial measurement of the right-of-use asset or lease liability due to the uncertainty of the payment amount and are recorded as lease expense in the period incurred. Our lease agreements do not contain any material residual value guarantees or material restrictive covenants. We have lease agreements with lease and non-lease components, which are accounted for separately.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(“ROU”) Assets, Operating Lease Liabilities due Within One Year and Operating Lease Liabilities on our Consolidated Balance Sheets. Finance leases are included in Property, Plant and Equipment, Long Term Debt and Finance Leases due Within One Year, and Long Term Debt and Finance Leases on our Consolidated Balance Sheets.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Generally, we use our incremental borrowing rate based on the information available at the commencement date in determining the present value of lease payments, unless there is a rate stated in the lease agreement. Operating lease expense is recognized on a straight-line basis over the lease term. Refer to Note to the Consolidated Financial Statements No. 14, Leases.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functional currency for most subsidiaries outside the United States is the local currency. Financial statements of these subsidiaries are translated into U.S. dollars using the exchange rate at each balance sheet date for assets and liabilities and a weighted average exchange rate for each period for revenues, expenses, gains and losses. The U.S. dollar is used as the functional currency in countries with a history of high inflation and in countries that predominantly sell into the U.S. dollar export market. For all operations, gains or losses from remeasuring foreign currency transactions into the functional currency are included in Other (Income) Expense. Translation adjustments are recorded in AOCL. Income taxes are generally not provided for foreign currency translation adjustments.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 and Hedging Activities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qualify for hedge accounting, hedging instruments must be designated as hedges and meet defined correlation and effectiveness criteria. These criteria require that the anticipated cash flows and/or changes in fair value of the hedging instrument substantially offset those of the position being hedged.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Derivative contracts are reported at fair value on the Consolidated Balance Sheets as Accounts Receivable, Other Assets, Other Current Liabilities or Other Long Term Liabilities. Deferred gains and losses on contracts designated as cash flow hedges are recorded net of tax in AOCL.</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Contracts — </w:t>
      </w:r>
      <w:r>
        <w:rPr>
          <w:rFonts w:ascii="Times New Roman" w:cs="Times New Roman" w:eastAsia="Times New Roman" w:hAnsi="Times New Roman"/>
          <w:sz w:val="18"/>
          <w:szCs w:val="18"/>
          <w:color w:val="auto"/>
        </w:rPr>
        <w:t>Gains and losses on contracts designated as cash flow hedges are initially deferred and recorded in AOCL. Amounts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from AOCL and recognized in income as Interest Expense in the same period that the hedged item is recognized in income. Gains and losses on contracts designated as fair value hedges are recognized in income in the current period as Interest Expense. Gains and losses on contracts with no hedging designation are recorded in the current period in Other (Income) Expense.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Foreign Currency Contracts — </w:t>
      </w:r>
      <w:r>
        <w:rPr>
          <w:rFonts w:ascii="Times New Roman" w:cs="Times New Roman" w:eastAsia="Times New Roman" w:hAnsi="Times New Roman"/>
          <w:sz w:val="18"/>
          <w:szCs w:val="18"/>
          <w:color w:val="auto"/>
        </w:rPr>
        <w:t>Gains and losses on contracts designated as cash flow hedges are initially deferred and recorded in AOCL. Amounts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from AOCL and recognized in income in the same period and on the same line that the hedged item is recognized in income. Gains and losses on contracts designated as fair value hedges, excluding premiums and discounts, are recorded in Other (Income) Expense in the current period. Gains and losses on contracts with no hedging designation are also recorded in Other (Income) Expense in the current period. We do not include premiums or discounts on forward currency contracts in our assessment of hedge effectiveness. Premiums and discounts on contracts designated as hedges are recorded in AOCL. The amounts are recognized in the Statement of Operations on a straight-line basis over the life of the contract on the same line that the hedged item is recognized in the Statement of Operations.</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Investment Hedging — </w:t>
      </w:r>
      <w:r>
        <w:rPr>
          <w:rFonts w:ascii="Times New Roman" w:cs="Times New Roman" w:eastAsia="Times New Roman" w:hAnsi="Times New Roman"/>
          <w:sz w:val="18"/>
          <w:szCs w:val="18"/>
          <w:color w:val="auto"/>
        </w:rPr>
        <w:t>Nonderivative instruments denominated in foreign currencies are used from time to time to hedge net investments in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Gains and losses on these instruments are deferred and recorded in AOCL as Foreign Currency Translation Adjustments. These gains and losses are only recognized in income upon the complete or partial sale of the related investment or the complete liquidation of the investment.</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of Contracts — </w:t>
      </w:r>
      <w:r>
        <w:rPr>
          <w:rFonts w:ascii="Times New Roman" w:cs="Times New Roman" w:eastAsia="Times New Roman" w:hAnsi="Times New Roman"/>
          <w:sz w:val="18"/>
          <w:szCs w:val="18"/>
          <w:color w:val="auto"/>
        </w:rPr>
        <w:t>Gains and losses (including deferred gains and losses in AOCL) are recognized in Other (Income) Expense when contracts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concurrently with the termination of the hedged position. To the extent that such position remains outstanding, gains and losses are amortized to Interest Expense or to Other (Income) Expense over the remaining life of that position. Gains and losses on contracts that we temporarily continue to hold after the early termination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a hedged position, or that otherwise no longer qualify for hedge accounting, are recognized in Other (Income) Expense. Refer to Note to the Consolidated Financial Statements No. 15, Financing Arrangements and Derivative Financial Instruments.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measure compensation cost arising from the grant of stock-based awards to employees at fair value and recognize such cost in income over the period during which the service is provided, usually the vesting period. We recognize compensation expense using the straight-line approach.</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awards to employees include grants of performance share units, restricted stock units and stock options. We measure the fair value of grants of performance share units and restricted stock units based primarily on the closing market price of a share of our common stock on the date of the grant, modified as appropriate to take into account the features of such grants.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the fair value of stock options using the Black-Scholes valuation model. Assumptions used to estimate compensation expense are determined as follows:</w:t>
      </w:r>
    </w:p>
    <w:p>
      <w:pPr>
        <w:spacing w:after="0" w:line="54" w:lineRule="exact"/>
        <w:rPr>
          <w:sz w:val="20"/>
          <w:szCs w:val="20"/>
          <w:color w:val="auto"/>
        </w:rPr>
      </w:pPr>
    </w:p>
    <w:p>
      <w:pPr>
        <w:ind w:left="760" w:hanging="374"/>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represents the period of time that options granted are expected to be outstanding based on our historical experience of option exercises;</w:t>
      </w:r>
    </w:p>
    <w:p>
      <w:pPr>
        <w:spacing w:after="0" w:line="53"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measured using the weighted average of historical daily changes in the market price of our common stock over the expected term of the award and implied volatility calculated for our exchange traded options with an expiration date greater than one year;</w:t>
      </w:r>
    </w:p>
    <w:p>
      <w:pPr>
        <w:spacing w:after="0" w:line="53"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is equivalent to the implied yield on zero-coupon U.S. Treasury bonds with a remaining maturity equal to the expected term of the awards; and</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Forfeitures are based substantially on the history of cancellations of similar awards granted in prior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to the Consolidated Financial Statements No. 18, Stock Compensation Plans.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of Common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primarily reflects the dilutive impact of outstanding stock options and other stock based awards. All earnings per share amounts in these notes to the consolidated financial statements are diluted, unless otherwise noted. Refer to Note to the Consolidated Financial Statements No. 7, Earnings Per Share.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Hierarchy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using the following hierarchy, which is based upon the transparency of inputs to the valuation as of the measurement date.</w:t>
      </w:r>
    </w:p>
    <w:p>
      <w:pPr>
        <w:spacing w:after="0" w:line="54" w:lineRule="exact"/>
        <w:rPr>
          <w:sz w:val="20"/>
          <w:szCs w:val="20"/>
          <w:color w:val="auto"/>
        </w:rPr>
      </w:pPr>
    </w:p>
    <w:p>
      <w:pPr>
        <w:ind w:left="760" w:hanging="374"/>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quoted prices (unadjusted) for identical assets or liabilities in active markets.</w:t>
      </w:r>
    </w:p>
    <w:p>
      <w:pPr>
        <w:spacing w:after="0" w:line="11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quoted prices for similar assets and liabilities in active markets, or other inputs that are observable for the asset or liability, either directly or indirectly, for substantially the full term of the financial instrument.</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based upon other unobservable inputs that are significant to the fair value measurement.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 Valuation methodologies used for assets and liabilities measured at fair value are as follows: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 quoted prices are available in an active market, investments are classified within Level 1 of the valuation hierarchy. Level 1 securities include highly liquid government bonds, certain mortgage products and exchange-traded equities. If quoted market prices are not available, fair values are estimated using quoted prices of securities with similar characteristics or inputs other than quoted prices that are observable for the security, and would be classified within Level 2 of the valuation hierarchy.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certain cases where there is limited activity or less transparency around inputs to the valuation, securities would be classified within Level 3 of the valuation hierarchy.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Exchange-traded derivative financial instruments that are valued using quoted prices would be classified within Level 1 of the valuation hierarchy. Derivative financial instruments valued using internally-developed models that use as their basis readily observable market parameters are classified within Level 2 of the valuation hierarchy. Derivative financial instruments that are valued based upon models with significant unobservable market parameters, and that are normally traded less actively, would be classified within Level 3 of the valuation hierarchy. Refer to Notes to the Consolidated Financial Statements No. 15, Financing Arrangements and Derivative Financial Instruments, and No. 16, Fair Value Measurements.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 and Adjustments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Net Sales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disaggregated net sales from contracts with customers by major source for the year ended December 31,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3"/>
                <w:szCs w:val="13"/>
                <w:color w:val="auto"/>
              </w:rPr>
            </w:pPr>
          </w:p>
        </w:tc>
        <w:tc>
          <w:tcPr>
            <w:tcW w:w="16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40" w:type="dxa"/>
            <w:vAlign w:val="bottom"/>
          </w:tcPr>
          <w:p>
            <w:pPr>
              <w:spacing w:after="0"/>
              <w:rPr>
                <w:sz w:val="13"/>
                <w:szCs w:val="13"/>
                <w:color w:val="auto"/>
              </w:rPr>
            </w:pPr>
          </w:p>
        </w:tc>
        <w:tc>
          <w:tcPr>
            <w:tcW w:w="102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Tire unit sales</w:t>
            </w:r>
            <w:r>
              <w:rPr>
                <w:rFonts w:ascii="Times New Roman" w:cs="Times New Roman" w:eastAsia="Times New Roman" w:hAnsi="Times New Roman"/>
                <w:sz w:val="15"/>
                <w:szCs w:val="15"/>
                <w:color w:val="auto"/>
              </w:rPr>
              <w:t>(1)</w:t>
            </w: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5,138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3,611</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1,590</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10,339</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18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Chemical sales</w:t>
            </w:r>
          </w:p>
        </w:tc>
        <w:tc>
          <w:tcPr>
            <w:tcW w:w="18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6,556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4,020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1,745</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12,321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780" w:hanging="772"/>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tire unit sales for 2020 include a gain of $34 million for a one-time legal settlement.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disaggregated net sales from contracts with customers by major source for the year ended December 31,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3"/>
                <w:szCs w:val="13"/>
                <w:color w:val="auto"/>
              </w:rPr>
            </w:pPr>
          </w:p>
        </w:tc>
        <w:tc>
          <w:tcPr>
            <w:tcW w:w="16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40" w:type="dxa"/>
            <w:vAlign w:val="bottom"/>
          </w:tcPr>
          <w:p>
            <w:pPr>
              <w:spacing w:after="0"/>
              <w:rPr>
                <w:sz w:val="13"/>
                <w:szCs w:val="13"/>
                <w:color w:val="auto"/>
              </w:rPr>
            </w:pPr>
          </w:p>
        </w:tc>
        <w:tc>
          <w:tcPr>
            <w:tcW w:w="102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Tire unit sales</w:t>
            </w: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6,300</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4,300</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1,924</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12,524</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18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Chemical sales</w:t>
            </w:r>
          </w:p>
        </w:tc>
        <w:tc>
          <w:tcPr>
            <w:tcW w:w="18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7,922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4,708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2,115</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14,745</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disaggregated net sales from contracts with customers by major source for the year ended December 31,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3"/>
                <w:szCs w:val="13"/>
                <w:color w:val="auto"/>
              </w:rPr>
            </w:pP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3"/>
                <w:szCs w:val="13"/>
                <w:color w:val="auto"/>
              </w:rPr>
            </w:pPr>
          </w:p>
        </w:tc>
        <w:tc>
          <w:tcPr>
            <w:tcW w:w="16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40" w:type="dxa"/>
            <w:vAlign w:val="bottom"/>
          </w:tcPr>
          <w:p>
            <w:pPr>
              <w:spacing w:after="0"/>
              <w:rPr>
                <w:sz w:val="13"/>
                <w:szCs w:val="13"/>
                <w:color w:val="auto"/>
              </w:rPr>
            </w:pPr>
          </w:p>
        </w:tc>
        <w:tc>
          <w:tcPr>
            <w:tcW w:w="102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Tire unit sales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6,381</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4,670</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2,009</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13,060</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1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Chemical sales</w:t>
            </w:r>
          </w:p>
        </w:tc>
        <w:tc>
          <w:tcPr>
            <w:tcW w:w="1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8,168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5,090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2,217</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15,475</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Tire unit sales consist of consumer, commercial, farm and off-the-road tire sales, including the sale of new Company-branded tires through Company-owned retail channels.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$23 million at December 31, 2020 and 2019. Deferred revenue included in Other Long Term Liabilities in the Consolidated Balance Sheets totaled $27 million and $31 million at December 31, 2020 and 2019, respectively. We recognize deferred revenue after we have transferred control of the goods or services to the customer and all revenue recognition criteria are met.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balances of deferred revenue related to contracts with customers, and changes during the years ended December 31:</w:t>
      </w:r>
    </w:p>
    <w:p>
      <w:pPr>
        <w:spacing w:after="0" w:line="35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78</w:t>
            </w:r>
          </w:p>
        </w:tc>
      </w:tr>
      <w:tr>
        <w:trPr>
          <w:trHeight w:val="22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Revenue deferred during period</w:t>
            </w:r>
          </w:p>
        </w:tc>
        <w:tc>
          <w:tcPr>
            <w:tcW w:w="28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 during period</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6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50</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54</w:t>
            </w: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Costs Associated with Rationalization Programs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order to maintain our global competitiveness, we have implemented rationalization actions over the past several years to reduce high-cost and excess manufacturing capacity and operating and administrative costs.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roll-forward of the liability balance between periods: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3"/>
                <w:szCs w:val="13"/>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Associate-</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10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2017</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210</w:t>
            </w:r>
          </w:p>
        </w:tc>
        <w:tc>
          <w:tcPr>
            <w:tcW w:w="1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213</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2018 charges</w:t>
            </w:r>
            <w:r>
              <w:rPr>
                <w:rFonts w:ascii="Times New Roman" w:cs="Times New Roman" w:eastAsia="Times New Roman" w:hAnsi="Times New Roman"/>
                <w:sz w:val="15"/>
                <w:szCs w:val="15"/>
                <w:color w:val="auto"/>
              </w:rPr>
              <w:t>(1)</w:t>
            </w:r>
          </w:p>
        </w:tc>
        <w:tc>
          <w:tcPr>
            <w:tcW w:w="16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Incurred, net of foreign currency translation of $(3) million and $0 million, respectively</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80</w:t>
            </w:r>
          </w:p>
        </w:tc>
        <w:tc>
          <w:tcPr>
            <w:tcW w:w="1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81</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2019 charges</w:t>
            </w:r>
            <w:r>
              <w:rPr>
                <w:rFonts w:ascii="Times New Roman" w:cs="Times New Roman" w:eastAsia="Times New Roman" w:hAnsi="Times New Roman"/>
                <w:sz w:val="15"/>
                <w:szCs w:val="15"/>
                <w:color w:val="auto"/>
              </w:rPr>
              <w:t>(1)</w:t>
            </w:r>
          </w:p>
        </w:tc>
        <w:tc>
          <w:tcPr>
            <w:tcW w:w="16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Incurred, net of foreign currency translation of $(2) million and $0 million, respectively</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220</w:t>
            </w:r>
          </w:p>
        </w:tc>
        <w:tc>
          <w:tcPr>
            <w:tcW w:w="1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220</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2020 charges</w:t>
            </w:r>
            <w:r>
              <w:rPr>
                <w:rFonts w:ascii="Times New Roman" w:cs="Times New Roman" w:eastAsia="Times New Roman" w:hAnsi="Times New Roman"/>
                <w:sz w:val="15"/>
                <w:szCs w:val="15"/>
                <w:color w:val="auto"/>
              </w:rPr>
              <w:t>(1)</w:t>
            </w:r>
          </w:p>
        </w:tc>
        <w:tc>
          <w:tcPr>
            <w:tcW w:w="16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Incurred, net of foreign currency translation of $12 million and $0 million, respectively</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200</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780" w:right="20" w:hanging="772"/>
        <w:spacing w:after="0" w:line="282" w:lineRule="auto"/>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of $156 million, $204 million and $64 million in 2020, 2019 and 2018, respectively, exclude $5 million, $5 million and $(1) million, respectively, of benefit plan curtailments and settlements recorded in Rationalizations in the Statements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17, 2020, we reached a tentative bargaining agreement, which was ratified on May 1, 2020, and subsequently permanently closed our Gadsden, Alabama tire manufacturing facility (“Gadsden”) as part of our continuing strategy to strengthen the competitiveness of our manufacturing footprint by curtailing production of tires for declining, less profitable segments of the tire market. The plan will result in approximately 470 job reductions. We have $32 million accrued related to this plan at December 31, 2020, which is expected to be substantially paid through 2021.</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first quarter of 2019, we approved a plan to modernize two of our tire manufacturing facilities in Germany. We have $89 million accrued related to this plan at December 31, 2020, which is expected to be substantially paid through 2022.</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remainder of the accrual balance at December 31, 2020 is expected to be substantially utilized in the next 12 months and includes $35 million related to the closed Amiens, France tire manufacturing facility, $11 million related to global plans to reduce SAG headcount, $9 million related to plans to reduce manufacturing headcount and improve operating efficiency in EMEA, and $7 million related to a plan primarily to offer voluntary buy-outs to certain associates at Gadsden.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net rationalization charges included in Income (Loss) before Income Taxes: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Year Plans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plan curtailment and special termination benefits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exit and non-cancelable lease costs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Current Year Plans - Net Charges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Prior Year Plans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Benefit plan curtailment and special termination benefits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exit and non-cancelable lease costs</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Prior Year Plans - Net Charges</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57</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Total Net Charges</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159</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205</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44</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 write-off and accelerated depreciation charges</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the new charges in 2020 related to future cash outflows. Net current year plan charges for the year ended December 31, 2020 primarily related to the permanent closure of Gadsden.</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year plan charges recognized in the year ended December 31, 2020 include $30 million related to additional termination benefits for associates at the closed Amiens, France manufacturing facility. Refer to Note to the Consolidated Financial Statements No. 19, Commitments and Contingent Liabilities. In addition, prior year plan charges for the year ended December 31, 2020 include $19 million related to the plan to modernize two of our manufacturing facilities in Germany, $5 million related to a plan primarily to offer voluntary buy-outs to certain associates at Gadsden, a curtailment credit of $4 million for a postretirement benefit plan related to the exit of employees under an approved rationalization plan, and $3 million related to the closure of our tire manufacturing facility in Philippsburg, Germany. Prior year plan charges for the year ended December 31, 2020 also include reversals of $2 million for actions no longer needed for their originally intended purposes.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Ongoing rationalization plans had approximately $990 million in charges through 2020 and approximately $80 million is expected to be incurred in future periods.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800 associates will be released under new plans initiated in 2020, of which approximately 600 were released through December 31, 2020, primarily related to the permanent closure of Gadsden. In 2020, approximately 1,200 associates were released under plans initiated in prior years. Approximately 450 associates remain to be released under all ongoing rationalization plans.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Rationalization activities initiated in 2019 include current year charges of $105 million related to the plan to modernize two of our manufacturing facilities in Germany, $76 million related to the Gadsden voluntary buy-out plan, and $18 million related to separate plans to reduce manufacturing headcount and improve operating efficiency in Americas and EMEA. Prior year plan charges recognized in the year ended December 31, 2019 include $10 million primarily related to EMEA manufacturing plans. Prior year plan charges for the year ended December 31, 2019 also include reversals of $4 million for actions no longer needed for their originally intended purposes.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Rationalization activities initiated in 2018 include current year charges of $28 million related to a global plan to reduce SAG headcount and $13 million related to plans to reduce manufacturing headcount and improve operating efficiency in EMEA. Current year plan charges for the year ended December 31, 2018 also include reversals of $1 million for actions no longer needed for their originally intended purposes. Prior year plan charges recognized in the year ended December 31, 2018 include charges of $15 million related to the closure of our tire manufacturing facility in Philippsburg, Germany, $3 million related to a plan to reduce manufacturing headcount in EMEA, and $3 million related to a global plan to reduce SAG headcount. Prior year plan charges for the year ended December 31, 2018 also include reversals of $18 million for actions no longer needed for their originally intended purposes.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 write-off and accelerated depreciation charges in 2020 and 2019 primarily related to Gadsden. Asset write-off and accelerated depreciation charges in 2018 primarily related to the closure of our tire manufacturing facility in Philippsburg, Germany. Asset write-off and accelerated depreciation charges for all periods were recorded in CGS.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Interest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includes interest and the amortization of deferred financing fees and debt discounts, less amounts capitalized,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before capitalization</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66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324</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340</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321</w:t>
            </w: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payments for interest, net of amounts capitalized, were $315 million, $324 million and $331 million in 2020, 2019 and 2018,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Other (Income) Expense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TireHub transaction, net of transaction costs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Non-service related pension and other postretirement benefits costs</w:t>
            </w: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on indirect tax settlements in Brazil</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Financing fees and financial instruments expense</w:t>
            </w: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foreign currency exchange (gains) losses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product liability expense - discontinued products</w:t>
            </w: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Royalty income</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Miscellaneous (income) expense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66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119</w:t>
            </w: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 on TireHub transaction represented the difference between the initial fair value of the equity interest received and the net book value of the assets and liabilities contributed in connection with the formation of TireHub in 2018, net of transaction costs. For the year ended December 31, 2018, we recognized a gain of $286 million and incurred transaction costs of $14 million.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Non-service related pension and other postretirement benefits cost included net pension settlement and curtailment charges of $18 million, $6 million and $21 million in 2020, 2019 and 2018, respectively. For further information, refer to Note to the Consolidated Financial Statements No. 17, Pension, Other Postretirement Benefits and Savings Plans.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previously filed claims with the Brazilian tax authorities challenging the legality of the calculation of certain indirect taxes for the years 2001 through 2018. During 2018, we received favorable rulings related to these claims. As a result of the rulings, we recorded a gain of $53 million in CGS and related interest income of $38 million in Other (Income) Expense for the year ended December 31, 2018. During 2019, there were additional favorable rulings related to these claims. As a result, we recorded an additional gain of $11 million in CGS and related interest income of $8 million in Other (Income) Expense.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Miscellaneous expense for the year ended December 31, 2019 includes expenses of $25 million incurred by the Company as a direct result of flooding at our Beaumont, Texas chemical facility during the third quarter of 2019. Miscellaneous expense in 2018 includes $12 million related to expenses incurred by the Company as a direct result of hurricanes Harvey and Irma during 2017.</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also includes financing fees and financial instruments expense which consists of commitment fees and charges incurred in connection with financing transactions; net foreign currency exchange (gains) and losses; general and product liability expense - discontinued products, which consists of charges for claims against us related primarily to asbestos personal injury claims, net of probable insurance recoveries; royalty income which is derived primarily from licensing arrangements; net (gains) and losses on asset sales, and interest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(Loss) before Income Taxes follow: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4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13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(1,140)</w:t>
            </w: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1,011</w:t>
            </w:r>
          </w:p>
        </w:tc>
        <w:tc>
          <w:tcPr>
            <w:tcW w:w="0" w:type="dxa"/>
            <w:vAlign w:val="bottom"/>
          </w:tcPr>
          <w:p>
            <w:pPr>
              <w:spacing w:after="0"/>
              <w:rPr>
                <w:sz w:val="1"/>
                <w:szCs w:val="1"/>
                <w:color w:val="auto"/>
              </w:rPr>
            </w:pPr>
          </w:p>
        </w:tc>
      </w:tr>
      <w:tr>
        <w:trPr>
          <w:trHeight w:val="20"/>
        </w:trPr>
        <w:tc>
          <w:tcPr>
            <w:tcW w:w="6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 reconciliation of income taxes at the U.S. statutory rate to United States and Foreign Tax Expense follows: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40" w:type="dxa"/>
            <w:vAlign w:val="bottom"/>
            <w:tcBorders>
              <w:bottom w:val="single" w:sz="8" w:color="CFF0FC"/>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income tax expense (benefit) at the statutory rate of 21%</w:t>
            </w:r>
          </w:p>
        </w:tc>
        <w:tc>
          <w:tcPr>
            <w:tcW w:w="13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establishment (release) of U.S. valuation allowances</w:t>
            </w: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foreign losses (income) with no tax due to valuation allowances</w:t>
            </w:r>
          </w:p>
        </w:tc>
        <w:tc>
          <w:tcPr>
            <w:tcW w:w="1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impact of enacted tax rate and law changes</w:t>
            </w:r>
          </w:p>
        </w:tc>
        <w:tc>
          <w:tcPr>
            <w:tcW w:w="1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U.S. federal benefit</w:t>
            </w: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1"/>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charges (benefits) related to foreign tax credits, R&amp;D and foreign</w:t>
            </w:r>
          </w:p>
        </w:tc>
        <w:tc>
          <w:tcPr>
            <w:tcW w:w="13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derived intangible deduction</w:t>
            </w:r>
          </w:p>
        </w:tc>
        <w:tc>
          <w:tcPr>
            <w:tcW w:w="13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foreign income taxed at different rates</w:t>
            </w: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establishment of uncertain tax positions</w:t>
            </w:r>
          </w:p>
        </w:tc>
        <w:tc>
          <w:tcPr>
            <w:tcW w:w="1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Federal and state tax on accelerated royalty income transaction</w:t>
            </w: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establishment (release) of foreign valuation allowances</w:t>
            </w:r>
          </w:p>
        </w:tc>
        <w:tc>
          <w:tcPr>
            <w:tcW w:w="1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United States and Foreign Tax Expense</w:t>
            </w:r>
          </w:p>
        </w:tc>
        <w:tc>
          <w:tcPr>
            <w:tcW w:w="13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110</w:t>
            </w: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474</w:t>
            </w: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303</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4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3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United States and Foreign Tax Expense by taxing jurisdiction, follow: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66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172</w:t>
            </w: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6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323</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131</w:t>
            </w:r>
          </w:p>
        </w:tc>
      </w:tr>
      <w:tr>
        <w:trPr>
          <w:trHeight w:val="223"/>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United States and Foreign Tax Expense</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110</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474</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303</w:t>
            </w: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 expense in 2020 was $110 million on a loss before income taxes of $1,140 million. In 2020, income tax expense was unfavorably impacted by net discrete adjustments totaling $305 million, including the establishment of a $295 million valuation allowance on certain deferred tax assets for foreign tax credits during the first quarter of 2020 as discussed below. Discrete adjustments also reflect a net charge of $10 million, including a $15 million charge related to a U.S. valuation allowance for state loss carryforwards, a $13 million benefit to adjust our deferred tax assets in England for a third quarter enacted change in the tax rate, and various other net charges totaling $8 million.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2019, income tax expense of $474 million was unfavorably impacted by net discrete adjustments totaling $386 million. Discrete adjustments were due to non-cash charges of $334 million related to an acceleration of royalty income in the U.S. from the sale of certain European royalty payments to Luxembourg and $150 million related to an increase in our valuation allowance on tax losses in Luxembourg, which were partially offset by a non-cash tax benefit of $98 million related to a reduction of our U.S. valuation allowance for foreign tax credits.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2018, income tax expense of $303 million was unfavorably impacted by net discrete adjustments of $65 million. Discrete adjustments were primarily due to charges totaling $135 million related to deferred tax assets for foreign tax credits, including the establishment of a valuation allowance on foreign tax credits of $98 million, partially offset by a tax benefit of $88 million related to a worthless stock deduction created by permanently ceasing operations of our Venezuelan subsidiary during the fourth quarter of 2018. Income tax expense in 2018 also included net charges of $18 million for various other discrete tax adjustments, including those related to finalizing our accounting for certain provisional items related to the Tax Cuts and Jobs Act.</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 the appropriate character exists in the periods required in order to realize our deferred tax assets with limited lives (such as tax loss carryforwards and tax credits) prior to their expiration. We consider tax planning strategies available to accelerate taxable amounts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2020, we had approximately $1.2 billion of U.S. federal, state and local deferred tax assets, net of valuation allowances totaling $368 million primarily for foreign tax credits with limited lives. Approximately $900 million of these U.S. net deferred tax assets have unlimited lives and approximately $300 million have limited lives and expire between 2025 and 2040. At December 31, 2019, we had approximately $1.2 billion of U.S. federal, state and local deferred tax assets, net of valuation allowances totaling $13 million. In the U.S., we have a cumulative loss for the three-year period ending December 31, 2020. However, as the three-year cumulative loss in the U.S. is driven by the business disruption created by the COVID-19 pandemic, in assessing our ability to utilize our deferred tax assets, we also considered objectively verifiable information including recent favorable recovery trends in the tire industry and our tire volume as well as the return to profitability of our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business by the end of the fourth quarter and its expected continued improvement. While the COVID-19 related disruptions to our business are ultimately expected to be temporary, there is still considerable uncertainty around the extent and duration of these disruptions, as well as what additional actions federal, state or local governments may take to contain the pandemic. As such, an additional valuation allowance may be required against all, or a portion of, our U.S. net deferred tax assets in a future period.</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December 31, 2020 and 2019, our U.S. deferred tax assets included $133 million and $403 million of foreign tax credits with limited lives, net of valuation allowances of $328 million and $3 million, respectively, generated primarily from the receipt of foreign dividends. During the first quarter of 2020, we established a valuation allowance of $295 million against all of these foreign tax credits with expiration dates through 2024 and a portion of those expiring in 2025. In addition, during the fourth quarter of 2020, we increased our valuation allowance by $30 million with a corresponding increase to our deferred tax assets to reflect the impact of a decrease in foreign tax credits utilized on our 2019 income tax return. Due to the sudden and sharp decline in industry demand and the temporary suspension of production at our U.S. manufacturing facilities as a result of the COVID-19 pandemic, we have a significant U.S. tax loss for 2020. As loss carryforwards must be utilized prior to foreign tax credits in offsetting future income for tax purposes, we concluded that it is not more likely than not that we will be able to utilize these foreign tax credits prior to their expiration. Our earnings and forecasts of future profitability, taking into consideration recent trends, along with three significant sources of foreign income provide us sufficient positive evidence that we will be able to utilize our remaining foreign tax credits that expire between 2025 and 2030.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capitalizing research and development costs, accelerating income on cross border transactions, including sales of inventory or raw materials to our subsidiaries, and reducing U.S. interest expense by, for example, reducing intercompany loans through repatriating current year earnings of foreign subsidiaries, all of which would increase our domestic profitability.</w:t>
      </w:r>
    </w:p>
    <w:p>
      <w:pPr>
        <w:spacing w:after="0" w:line="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consider our current forecasts of future profitability in assessing our ability to realize our deferred tax assets, including our foreign tax credits. As noted above, these forecasts include the impact of recent trends, including various macroeconomic factors such as the impact of the COVID-19 pandemic, on our profitability, as well as the impact of tax planning strategies. Macroeconomic factors, including the impact of the COVID-19 pandemic, possess a high degree of volatility and can significantly impact our profitability. As such, there is a risk that future earnings will not be sufficient to fully utilize our U.S. net deferred tax assets, including our remaining foreign tax credits. However, we believe our forecasts of future profitability along with the three significant sources of foreign income described above provide us sufficient positive, objectively verifiable evidence to conclude that it is more likely than not that, at December 31, 2020, our U.S. net deferred tax assets, including our foreign tax credits, net of valuation allowances, will be fully utilized.</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2020 and 2019, we had approximately $1.3 billion and $1.2 billion of foreign deferred tax assets, respectively, and valuation allowances of $1.1 billion and $1.0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$978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Temporary differences and carryforwards giving rise to deferred tax assets and liabilities at December 31 follow: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loss carryforwards and credits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1,570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1,159</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Prepaid royalty income</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576</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research and development expenditures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421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416</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deductible as paid</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347</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Postretirement benefits and pensions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Rationalizations and other provisions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Vacation and sick pay</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3,348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2,961</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1,879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1,979</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basis differences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on undistributed earnings of subsidiaries</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deferred tax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1,383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1,437</w:t>
            </w: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2020, we had $704 million of tax assets for net operating loss, capital loss and tax credit carryforwards related to certain foreign subsidiaries. These carryforwards are primarily from countries with unlimited carryforward periods, but include $69 million of tax credit carryforwards in various European countries that are subject to expiration from 2021 to 2030. A valuation allowance totaling $1,101 million has been recorded against these and other deferred tax assets where recovery of the asset or carryforward is uncertain. In addition, we had $767 million of federal and $99 million of state tax assets for net operating loss and tax credit carryforwards. The federal carryforwards include $461 million of foreign tax credits that are subject to expiration from 2022 to 2030 and $92 million of tax assets related to research and development credits and other federal credits that are subject to expiration from 2030 to 2040. The state carryforwards include $87 million that are subject to expiration from 2021 to 2040. A valuation allowance of $368 million has been recorded against federal and state deferred tax assets where recovery is uncertain.</w:t>
      </w:r>
    </w:p>
    <w:p>
      <w:pPr>
        <w:spacing w:after="0" w:line="8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At December 31, 2020, we had unrecognized tax benefits of $85 million that if recognized, would have a favorable impact on our tax expense of $58 million. We had accrued interest of $2 million as of December 31, 2020. If not favorably settled, $9</w:t>
      </w:r>
      <w:r>
        <w:rPr>
          <w:sz w:val="1"/>
          <w:szCs w:val="1"/>
          <w:color w:val="auto"/>
        </w:rPr>
        <w:drawing>
          <wp:inline distT="0" distB="0" distL="0" distR="0">
            <wp:extent cx="34290" cy="12890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Times New Roman" w:cs="Times New Roman" w:eastAsia="Times New Roman" w:hAnsi="Times New Roman"/>
          <w:sz w:val="18"/>
          <w:szCs w:val="18"/>
          <w:color w:val="auto"/>
        </w:rPr>
        <w:t>million of the unrecognized tax benefits and all the accrued interest would require the use of our cash. We do not expect changes during 2021 to our unrecognized tax benefits to have a significant impact on our financial position or results of operations. A summary of our unrecognized tax benefits and changes during the year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impact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3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85</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71</w:t>
            </w: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open to examination in the U.S. for 2020 and in Germany from 2018 onward. Generally, for our remaining tax jurisdictions, years from 2015 onward are still open to examination.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undistributed earnings and profits of our foreign subsidiaries totaling approximately $2.3 billion at December 31, 2020. We have concluded that no provision for tax in the U.S. is required because substantially all of the remaining undistributed earnings and profits have been or will be reinvested in property, plant and equipment and working capital outside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U.S. A foreign withholding tax charge of approximately $85 million (net of foreign tax credits) would be required if these earnings and profits were to be distributed to the U.S.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27, 2020, the President signed the Coronavirus Aid, Relief, and Economic Security Act (the “CARES Act”), a substantial tax and spending package intended to provide economic stimulus to address the impact of the COVID-19 pandemic. The CARES Act allows corporations with net operating losses generated in 2018, 2019 and 2020 to elect to carryback those losses for a period of five years and relaxes the limitation for business interest deductions for 2019 and 2020. These provisions did not have a material impact on our operating results. We did, however, benefit from a CARES Act provision that accelerates the ability of corporations to claim a refund of alternative minimum tax credit carryforwards. Under this provision, we received a refund of $5 million during the third quarter of 2020 that would otherwise have been received in two equal annual installments in 2021 and 2022.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payments for income taxes were $45 million, $142 million and $178 million in 2020, 2019 and 2018,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Earnings Per Share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common share are calculated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Goodyear 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60" w:type="dxa"/>
            <w:vAlign w:val="bottom"/>
          </w:tcPr>
          <w:p>
            <w:pPr>
              <w:spacing w:after="0"/>
              <w:rPr>
                <w:sz w:val="23"/>
                <w:szCs w:val="23"/>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10"/>
        </w:trPr>
        <w:tc>
          <w:tcPr>
            <w:tcW w:w="66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Earnings (loss) per common share — basic</w:t>
            </w: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FF0FC"/>
            </w:tcBorders>
            <w:vMerge w:val="continue"/>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1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1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2.92</w:t>
            </w: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Goodyear net income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6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bottom w:val="single" w:sz="8" w:color="CFF0FC"/>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Dilutive effect of stock options and other dilutive securities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3"/>
        </w:trPr>
        <w:tc>
          <w:tcPr>
            <w:tcW w:w="66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Earnings (loss) per common share — diluted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2.89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Weighted average shares outstanding — diluted for 2020 excludes approximately 9 million equivalent shares related to options with exercise prices greater than the average market price of our common shares (i.e., “underwater” options). There were approximately 2 million equivalent shares related to underwater options for both 2019 and 2018. Additionally, weighted average shares outstanding — diluted for 2019 excludes the dilutive effect of approximately 3 million equivalent shares related primarily to options with exercise prices less than the average market price of our common shares (i.e., "in-the-money" options), as their inclusion would have been anti-dilutive due to the Goodyear net loss. There were no in-the-money options for 2020.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Business Segments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For the year ended December 31, 2020, we operated our business through three operating segments representing our regional tire businesses: Americas; Europe, Middle East and Africa; and Asia Pacific. Segment information is reported on the basis used for reporting to our Chief Executive Officer. Each of the three regional business segments is involved in the development, manufacture, distribution and sale of tires. Certain of the business segments also provide related products and services, which include retreads and automotive and commercial truck maintenance and repair services. Each segment also exports tires to other segments.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Americas manufactures and sells tires for automobiles, trucks, buses, earthmoving, mining and industrial equipment, aircraft, and for various other applications throughout North, Central and South America. Americas also provides related products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services including retreaded tires, tread rubber, and automotive and commercial truck maintenance and repair services, as well as sells chemical and natural rubber products to our other business segments and to unaffiliated customers.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manufactures and sells tires for automobiles, trucks, buses, aircraft, motorcycles, and earthmoving, mining and industrial equipment throughout Europe, the Middle East and Africa. EMEA also sells retreaded aviation tires, retreading and related services for commercial truck and earthmoving, mining and industrial equipment, and automotive maintenance and repair services.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manufactures and sells tires for automobiles, trucks, aircraft, farm, and earthmoving, mining and industrial equipment throughout the Asia Pacific region. Asia Pacific also provides related products and services including retreaded truck and aviation tires, tread rubber, and automotive maintenance and repair services.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sales and operating income (loss), and the reconciliation of segment operating income (loss) to Income (Loss) before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6,556</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7,922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8,168</w:t>
            </w: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4,020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4,708</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5,090</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1,745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2,115</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12,321</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14,745</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15,475</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29"/>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63"/>
        </w:trPr>
        <w:tc>
          <w:tcPr>
            <w:tcW w:w="66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Total Segment Operating Income (Loss)</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945</w:t>
            </w:r>
          </w:p>
        </w:tc>
        <w:tc>
          <w:tcPr>
            <w:tcW w:w="1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1,274</w:t>
            </w: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and Other Asset Impairments (Notes 11 and 12)</w:t>
            </w: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Rationalizations (Note 3)</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(Note 4)</w:t>
            </w: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 write-offs and accelerated depreciation (Note 3)</w:t>
            </w: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(1)</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(1,140)</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1,011</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80" w:hanging="772"/>
        <w:spacing w:after="0" w:line="282" w:lineRule="auto"/>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unallocated corporate costs and the elimination of $17 million, $17 million and $18 million for the years ended December 31, 2020, 2019 and 2018, respectively, of royalty income attributable to the strategic business units.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assets at December 31:</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2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6,666</w:t>
            </w:r>
          </w:p>
        </w:tc>
        <w:tc>
          <w:tcPr>
            <w:tcW w:w="14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7,606</w:t>
            </w:r>
          </w:p>
        </w:tc>
      </w:tr>
      <w:tr>
        <w:trPr>
          <w:trHeight w:val="230"/>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4,825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4,724</w:t>
            </w:r>
          </w:p>
        </w:tc>
      </w:tr>
      <w:tr>
        <w:trPr>
          <w:trHeight w:val="229"/>
        </w:trPr>
        <w:tc>
          <w:tcPr>
            <w:tcW w:w="45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2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2,725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2,711</w:t>
            </w:r>
          </w:p>
        </w:tc>
      </w:tr>
      <w:tr>
        <w:trPr>
          <w:trHeight w:val="223"/>
        </w:trPr>
        <w:tc>
          <w:tcPr>
            <w:tcW w:w="4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Segment Assets</w:t>
            </w:r>
          </w:p>
        </w:tc>
        <w:tc>
          <w:tcPr>
            <w:tcW w:w="2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14,216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15,041</w:t>
            </w:r>
          </w:p>
        </w:tc>
      </w:tr>
      <w:tr>
        <w:trPr>
          <w:trHeight w:val="230"/>
        </w:trPr>
        <w:tc>
          <w:tcPr>
            <w:tcW w:w="45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15"/>
                <w:szCs w:val="15"/>
                <w:color w:val="auto"/>
              </w:rPr>
              <w:t>(1)</w:t>
            </w:r>
          </w:p>
        </w:tc>
        <w:tc>
          <w:tcPr>
            <w:tcW w:w="2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2,290</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2,144</w:t>
            </w:r>
          </w:p>
        </w:tc>
      </w:tr>
      <w:tr>
        <w:trPr>
          <w:trHeight w:val="223"/>
        </w:trPr>
        <w:tc>
          <w:tcPr>
            <w:tcW w:w="4540" w:type="dxa"/>
            <w:vAlign w:val="bottom"/>
            <w:tcBorders>
              <w:bottom w:val="single" w:sz="8" w:color="CFF0FC"/>
            </w:tcBorders>
            <w:shd w:val="clear" w:color="auto" w:fill="CFF0FC"/>
          </w:tcPr>
          <w:p>
            <w:pPr>
              <w:spacing w:after="0"/>
              <w:rPr>
                <w:sz w:val="19"/>
                <w:szCs w:val="19"/>
                <w:color w:val="auto"/>
              </w:rPr>
            </w:pPr>
          </w:p>
        </w:tc>
        <w:tc>
          <w:tcPr>
            <w:tcW w:w="2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16,506</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17,185</w:t>
            </w:r>
          </w:p>
        </w:tc>
      </w:tr>
      <w:tr>
        <w:trPr>
          <w:trHeight w:val="20"/>
        </w:trPr>
        <w:tc>
          <w:tcPr>
            <w:tcW w:w="4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5540" w:right="5400" w:hanging="5532"/>
        <w:spacing w:after="0" w:line="409" w:lineRule="auto"/>
        <w:tabs>
          <w:tab w:leader="none" w:pos="783"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includes substantially all of our U.S. net deferred tax assets.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write-offs and accelerated depreciation charges) and SAG (including certain allocated corporate administrative expenses). Segment operating income also includes certain royalties and equity in earnings of most affiliates. Segment operating income does not include net rationalization charges, asset sales, and certain other items.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geographic information. Net sales by country were determined based on the location of the selling subsidiary. Long-lived assets consisted of property, plant and equipment. Besides Germany, management did not consider the net sales of any other individual countries outside the United States to be significant to the consolidated financial statements. For long-lived assets, only China and Germany were considered to be significant.</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5,424</w:t>
            </w:r>
          </w:p>
        </w:tc>
        <w:tc>
          <w:tcPr>
            <w:tcW w:w="140" w:type="dxa"/>
            <w:vAlign w:val="bottom"/>
          </w:tcPr>
          <w:p>
            <w:pPr>
              <w:spacing w:after="0"/>
              <w:rPr>
                <w:sz w:val="19"/>
                <w:szCs w:val="19"/>
                <w:color w:val="auto"/>
              </w:rPr>
            </w:pPr>
          </w:p>
        </w:tc>
        <w:tc>
          <w:tcPr>
            <w:tcW w:w="80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6,489</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6,692</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Germany</w:t>
            </w:r>
            <w:r>
              <w:rPr>
                <w:rFonts w:ascii="Times New Roman" w:cs="Times New Roman" w:eastAsia="Times New Roman" w:hAnsi="Times New Roman"/>
                <w:sz w:val="15"/>
                <w:szCs w:val="15"/>
                <w:color w:val="auto"/>
              </w:rPr>
              <w:t>(1)</w:t>
            </w:r>
          </w:p>
        </w:tc>
        <w:tc>
          <w:tcPr>
            <w:tcW w:w="2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705</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Other international</w:t>
            </w:r>
          </w:p>
        </w:tc>
        <w:tc>
          <w:tcPr>
            <w:tcW w:w="26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6,192</w:t>
            </w:r>
          </w:p>
        </w:tc>
        <w:tc>
          <w:tcPr>
            <w:tcW w:w="1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7,277</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7,092</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shd w:val="clear" w:color="auto" w:fill="CFF0FC"/>
          </w:tcPr>
          <w:p>
            <w:pPr>
              <w:spacing w:after="0"/>
              <w:rPr>
                <w:sz w:val="19"/>
                <w:szCs w:val="19"/>
                <w:color w:val="auto"/>
              </w:rPr>
            </w:pPr>
          </w:p>
        </w:tc>
        <w:tc>
          <w:tcPr>
            <w:tcW w:w="26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12,321</w:t>
            </w:r>
          </w:p>
        </w:tc>
        <w:tc>
          <w:tcPr>
            <w:tcW w:w="1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14,745</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15,475</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2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vMerge w:val="continue"/>
          </w:tcPr>
          <w:p>
            <w:pPr>
              <w:spacing w:after="0"/>
              <w:rPr>
                <w:sz w:val="18"/>
                <w:szCs w:val="18"/>
                <w:color w:val="auto"/>
              </w:rPr>
            </w:pP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8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2,517</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2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729</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Other international</w:t>
            </w:r>
          </w:p>
        </w:tc>
        <w:tc>
          <w:tcPr>
            <w:tcW w:w="26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3,085</w:t>
            </w:r>
          </w:p>
        </w:tc>
        <w:tc>
          <w:tcPr>
            <w:tcW w:w="1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shd w:val="clear" w:color="auto" w:fill="CFF0FC"/>
          </w:tcPr>
          <w:p>
            <w:pPr>
              <w:spacing w:after="0"/>
              <w:rPr>
                <w:sz w:val="19"/>
                <w:szCs w:val="19"/>
                <w:color w:val="auto"/>
              </w:rPr>
            </w:pPr>
          </w:p>
        </w:tc>
        <w:tc>
          <w:tcPr>
            <w:tcW w:w="26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7,073</w:t>
            </w:r>
          </w:p>
        </w:tc>
        <w:tc>
          <w:tcPr>
            <w:tcW w:w="1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right="460" w:firstLine="8"/>
        <w:spacing w:after="0" w:line="397" w:lineRule="auto"/>
        <w:tabs>
          <w:tab w:leader="none" w:pos="76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decrease in net sales from 2018 primarily related to a business reorganization that centralized our OE sales for EMEA in Luxembourg. At December 31, 2020, significant concentrations of cash and cash equivalents held by our international subsidiaries included the following amounts:</w:t>
      </w:r>
    </w:p>
    <w:p>
      <w:pPr>
        <w:spacing w:after="0" w:line="1" w:lineRule="exact"/>
        <w:rPr>
          <w:rFonts w:ascii="Times New Roman" w:cs="Times New Roman" w:eastAsia="Times New Roman" w:hAnsi="Times New Roman"/>
          <w:sz w:val="17"/>
          <w:szCs w:val="17"/>
          <w:color w:val="auto"/>
        </w:rPr>
      </w:pPr>
    </w:p>
    <w:p>
      <w:pPr>
        <w:ind w:left="760" w:hanging="374"/>
        <w:spacing w:after="0"/>
        <w:tabs>
          <w:tab w:leader="none" w:pos="7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$387 million or 25% in Asia Pacific, primarily China and Japan ($337 million or 37% at December 31, 2019),</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$387 million or 25% in EMEA, primarily Belgium ($214 million or 24% at December 31, 2019),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$384 million or 25% in Americas, primarily Brazil, Canada and Chile ($190 million or 21% at December 31, 2019).</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and other asset impairments, as described in Notes to the Consolidated Financial Statements No. 11, Goodwill and Intangible Assets, and No. 12, Other Assets and Investments; rationalizations, as described in Note to the Consolidated Financial Statements No. 3, Costs Associated with Rationalization Programs; net (gains) losses on asset sales, as described in Note to the Consolidated Financial Statements No. 5, Other (Income) Expense, and asset write-offs and accelerated depreciation were not charged (credited) to the SBUs for performance evaluation purposes but were attributable to the SBUs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Goodwill and Other Asset Impairments</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19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Segment Goodwill and Other Asset Impairments</w:t>
            </w:r>
          </w:p>
        </w:tc>
        <w:tc>
          <w:tcPr>
            <w:tcW w:w="16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330</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4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Rationalizations</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gridSpan w:val="2"/>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Segment Rationalizations</w:t>
            </w:r>
          </w:p>
        </w:tc>
        <w:tc>
          <w:tcPr>
            <w:tcW w:w="300" w:type="dxa"/>
            <w:vAlign w:val="bottom"/>
            <w:tcBorders>
              <w:top w:val="single" w:sz="8" w:color="auto"/>
              <w:bottom w:val="single" w:sz="8" w:color="auto"/>
            </w:tcBorders>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tcBorders>
              <w:bottom w:val="single" w:sz="8" w:color="CFF0FC"/>
            </w:tcBorders>
            <w:vMerge w:val="continue"/>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159</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205</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(Gains) Losses on Asset Sales</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Americas</w:t>
            </w:r>
            <w:r>
              <w:rPr>
                <w:rFonts w:ascii="Times New Roman" w:cs="Times New Roman" w:eastAsia="Times New Roman" w:hAnsi="Times New Roman"/>
                <w:sz w:val="15"/>
                <w:szCs w:val="15"/>
                <w:color w:val="auto"/>
              </w:rPr>
              <w:t>(1)</w:t>
            </w:r>
          </w:p>
        </w:tc>
        <w:tc>
          <w:tcPr>
            <w:tcW w:w="3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Segment Asset Sales</w:t>
            </w: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80" w:hanging="772"/>
        <w:spacing w:after="0" w:line="282" w:lineRule="auto"/>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Net (Gains) Losses on Asset Sales for the year ended December 31, 2018 includes the gain of $272 million related to the TireHub transaction, net of transaction costs.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 Write-Offs and Accelerated Depreciation</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Segment Asset Write-Offs and Accelerated Depreciation</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105</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tables present segment capital expenditures and depreciation and amortization:</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Segment Capital Expenditures</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628</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737</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774</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tcBorders>
              <w:bottom w:val="single" w:sz="8" w:color="CFF0FC"/>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647</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770</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811</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Segment Depreciation and Amortization</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824</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760</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746</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tcBorders>
              <w:bottom w:val="single" w:sz="8" w:color="CFF0FC"/>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859</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795</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778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segment equity in the net income (loss) of investees accounted for by the equity method:</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331"/>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in (Income) Loss</w:t>
            </w:r>
          </w:p>
        </w:tc>
        <w:tc>
          <w:tcPr>
            <w:tcW w:w="30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Segment Equity in (Income) Loss</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31</w:t>
            </w: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18"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7" w:name="page88"/>
    <w:bookmarkEnd w:id="8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Accounts Receivable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8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6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1,841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shd w:val="clear" w:color="auto" w:fill="CFF0FC"/>
          </w:tcPr>
          <w:p>
            <w:pPr>
              <w:spacing w:after="0"/>
              <w:rPr>
                <w:sz w:val="19"/>
                <w:szCs w:val="19"/>
                <w:color w:val="auto"/>
              </w:rPr>
            </w:pPr>
          </w:p>
        </w:tc>
        <w:tc>
          <w:tcPr>
            <w:tcW w:w="26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1,691</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2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1,941</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Inventories</w:t>
            </w:r>
          </w:p>
        </w:tc>
        <w:tc>
          <w:tcPr>
            <w:tcW w:w="2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60" w:type="dxa"/>
            <w:vAlign w:val="bottom"/>
            <w:vMerge w:val="continue"/>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8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700" w:type="dxa"/>
            <w:vAlign w:val="bottom"/>
            <w:gridSpan w:val="2"/>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517</w:t>
            </w:r>
          </w:p>
        </w:tc>
        <w:tc>
          <w:tcPr>
            <w:tcW w:w="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spacing w:after="0"/>
              <w:rPr>
                <w:sz w:val="19"/>
                <w:szCs w:val="19"/>
                <w:color w:val="auto"/>
              </w:rPr>
            </w:pPr>
          </w:p>
        </w:tc>
        <w:tc>
          <w:tcPr>
            <w:tcW w:w="340" w:type="dxa"/>
            <w:vAlign w:val="bottom"/>
            <w:shd w:val="clear" w:color="auto" w:fill="CFF0FC"/>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1,493</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2,178</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2700" w:type="dxa"/>
            <w:vAlign w:val="bottom"/>
            <w:gridSpan w:val="2"/>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2,153</w:t>
            </w:r>
          </w:p>
        </w:tc>
        <w:tc>
          <w:tcPr>
            <w:tcW w:w="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2,851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Goodwill and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net carrying amount of goodwill allocated by segment, and changes during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1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0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565</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15</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408</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net carrying amount of goodwill allocated by segment, and changes during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1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0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569</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565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intangible assets: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198"/>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000" w:type="dxa"/>
            <w:vAlign w:val="bottom"/>
          </w:tcPr>
          <w:p>
            <w:pPr>
              <w:jc w:val="center"/>
              <w:ind w:right="218"/>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2"/>
                <w:szCs w:val="12"/>
                <w:color w:val="auto"/>
              </w:rPr>
            </w:pPr>
          </w:p>
        </w:tc>
        <w:tc>
          <w:tcPr>
            <w:tcW w:w="100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3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5"/>
                <w:szCs w:val="15"/>
                <w:color w:val="auto"/>
              </w:rPr>
            </w:pPr>
          </w:p>
        </w:tc>
        <w:tc>
          <w:tcPr>
            <w:tcW w:w="1220" w:type="dxa"/>
            <w:vAlign w:val="bottom"/>
            <w:gridSpan w:val="2"/>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Amortization</w:t>
            </w:r>
            <w:r>
              <w:rPr>
                <w:rFonts w:ascii="Times New Roman" w:cs="Times New Roman" w:eastAsia="Times New Roman" w:hAnsi="Times New Roman"/>
                <w:sz w:val="12"/>
                <w:szCs w:val="12"/>
                <w:b w:val="1"/>
                <w:bCs w:val="1"/>
                <w:color w:val="auto"/>
              </w:rPr>
              <w:t>(1)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12"/>
                <w:szCs w:val="12"/>
                <w:b w:val="1"/>
                <w:bCs w:val="1"/>
                <w:color w:val="auto"/>
              </w:rPr>
              <w:t>(1)</w:t>
            </w:r>
          </w:p>
        </w:tc>
        <w:tc>
          <w:tcPr>
            <w:tcW w:w="140" w:type="dxa"/>
            <w:vAlign w:val="bottom"/>
          </w:tcPr>
          <w:p>
            <w:pPr>
              <w:spacing w:after="0"/>
              <w:rPr>
                <w:sz w:val="15"/>
                <w:szCs w:val="15"/>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r>
              <w:rPr>
                <w:rFonts w:ascii="Times New Roman" w:cs="Times New Roman" w:eastAsia="Times New Roman" w:hAnsi="Times New Roman"/>
                <w:sz w:val="12"/>
                <w:szCs w:val="12"/>
                <w:b w:val="1"/>
                <w:bCs w:val="1"/>
                <w:color w:val="auto"/>
              </w:rPr>
              <w:t>(1)</w:t>
            </w:r>
          </w:p>
        </w:tc>
        <w:tc>
          <w:tcPr>
            <w:tcW w:w="160" w:type="dxa"/>
            <w:vAlign w:val="bottom"/>
          </w:tcPr>
          <w:p>
            <w:pPr>
              <w:spacing w:after="0"/>
              <w:rPr>
                <w:sz w:val="15"/>
                <w:szCs w:val="15"/>
                <w:color w:val="auto"/>
              </w:rPr>
            </w:pPr>
          </w:p>
        </w:tc>
        <w:tc>
          <w:tcPr>
            <w:tcW w:w="100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patents</w:t>
            </w:r>
          </w:p>
        </w:tc>
        <w:tc>
          <w:tcPr>
            <w:tcW w:w="120" w:type="dxa"/>
            <w:vAlign w:val="bottom"/>
          </w:tcPr>
          <w:p>
            <w:pPr>
              <w:spacing w:after="0"/>
              <w:rPr>
                <w:sz w:val="19"/>
                <w:szCs w:val="19"/>
                <w:color w:val="auto"/>
              </w:rPr>
            </w:pPr>
          </w:p>
        </w:tc>
        <w:tc>
          <w:tcPr>
            <w:tcW w:w="10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173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135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173</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137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780" w:hanging="772"/>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impact of foreign currency translation.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primarily comprised of the rights to use the Dunlop brand name and related trademarks and certain other brand names and trademarks.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totaled $2 million in 2020, 2019 and 2018. We estimate that annual amortization expense related to intangible assets will be $2 million in 2021, and $1 million in 2022 through 2025. The weighted average remaining amortization period is approximately 20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COVID-19 pandemic and the resulting decline in the macroeconomic environment, as well as a significant decrease in our market capitalization, we performed an interim impairment analysis as of March 31, 2020 utilizing a discounted cash flow model. Based on the results of this interim analysis, we recorded a non-cash impairment charge of $182 million related to our EMEA reporting unit in the first quarter of 2020. The most critical assumptions used in the calculation of the estimated fair value of our reporting units were the timing of the recovery in sales from the COVID-19 pandemic, the projected long-term operating margin and the discount rate. Since the date of our 2019 annual quantitative goodwill impairment assessment, the overall discount rate increased, reflecting an increase in the risk premium components of the rate partially offset by a decrease in the risk-free interest rate component, as a result of the macroeconomic environment. Also, we gave consideration to the expected near-term negative cash flow impact of the COVID-19 pandemic and subsequent recovery, based on our forecasts at that time, as well as a decrease in our market capitalization.</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the first quarter of 2020, our forecasts as well as our market capitalization have both improved and we have concluded that there were no additional triggering events during the remaining nine months of 2020. Likewise, our 2020 annual impairment analysis as of October 31, 2020 indicated no impairment of goodwill or intangible assets with indefinite lives. Our annual impairment analyses for 2019 and 2018 also indicated no impairment of goodwill or intangible assets with indefinite lives. Our quantitative goodwill analysis as of October 31, 2020 concluded that the fair values substantially exceeded the carrying amounts for each reporting unit tested. There were no events or circumstances that indicated the quantitative impairment tests should be re-performed for goodwill or for intangible assets with indefinite lives for any reporting unit at December 31, 2020. Nonetheless, if we make future adverse revisions to our significant assumptions, including as a result of business performance or market conditions, or if our market capitalization declines and if such decline becomes indicative that the fair value of our reporting units has declined below their carrying values, we may need to record a material, non-cash impairment charge in a future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Other Assets and Investments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received from our consolidated subsidiaries were $155 million, $43 million and $608 million in 2020, 2019 and 2018, respectively. Dividends received in 2020 were primarily from Singapore, Peru and Brazil and paid to the United States. Dividends received in 2019 were primarily from Singapore and Brazil and paid to the United States. Dividends received in 2018 were primarily from Singapore and Japan and paid to the United States. Dividends received from our affiliates accounted for using the equity method were $5 million, $4 million and $5 million in 2020, 2019 and 2018,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TireHub</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value of our investment in TireHub was $77 million and $262 million at December 31, 2020 and 2019, respectively, and was included in Other Assets on our Consolidated Balance Sheets. In addition, we have an outstanding loan receivable from TireHub of $14 million as of December 31, 2020, which is also included in Other Assets on our Consolidated Balance Sheets. Our investment in TireHub is accounted for under the equity method of accounting and, as such, includes our 50% share of the net losses of TireHub, which totaled $36 million, $33 million and $15 million in 2020, 2019 and 2018, respectively.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regularly review our investment in TireHub for potential impairment and will recognize an impairment charge if the estimated fair value of our investment declines below its recorded amount and such decline is determined to be other-than temporary. The most critical assumptions used in our discounted cash flow model for estimating the fair value of our investment are forecasted tire volume for TireHub, including the extent and duration of, as well as the timing of the recovery from, the ongoing impacts of the COVID-19 pandemic, and the discount rate.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TireHub joint venture was initially formed during the second quarter of 2018 and, as previously disclosed, its net losses included higher than expected start-up expenses and additional costs incurred to build out TireHub’s distribution footprint for future growth. These additional costs as well as TireHub’s net losses were expected to be temporary and moderate in 2020. However, higher than expected net losses for TireHub continued into 2020, driven by the severe impacts of the COVID-19 pandemic.</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we evaluated our investment and concluded that there had been an other-than-temporary decline in the fair value of our investment during the second quarter of 2020. As such, we conducted an impairment assessment and estimated the fair value of our investment utilizing updated forecasts of TireHub’s volume, revised expectations as to the extent and duration of, as well as the timing of the recovery from, the COVID-19 pandemic, and an updated discount rate reflective of current market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at that time. As a result, during the second quarter of 2020, we recognized a non-cash impairment charge of $148 million.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half of 2020, we concluded that there was no additional other-than-temporary decline in the fair value of our investment in TireHub. Nonetheless, there remains a high degree of uncertainty as to the extent and duration of, as well as timing of the recovery from, the COVID-19 pandemic. If we make future adverse revisions to these or our other significant assumptions, including as a result of business performance or market conditions, we may need to record an additional material, non-cash impairment charge in a future period.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Assets</w:t>
      </w:r>
    </w:p>
    <w:p>
      <w:pPr>
        <w:spacing w:after="0" w:line="119" w:lineRule="exact"/>
        <w:rPr>
          <w:sz w:val="20"/>
          <w:szCs w:val="20"/>
          <w:color w:val="auto"/>
        </w:rPr>
      </w:pPr>
    </w:p>
    <w:p>
      <w:pPr>
        <w:ind w:right="2700"/>
        <w:spacing w:after="0" w:line="282" w:lineRule="auto"/>
        <w:rPr>
          <w:sz w:val="20"/>
          <w:szCs w:val="20"/>
          <w:color w:val="auto"/>
        </w:rPr>
      </w:pPr>
      <w:r>
        <w:rPr>
          <w:rFonts w:ascii="Times New Roman" w:cs="Times New Roman" w:eastAsia="Times New Roman" w:hAnsi="Times New Roman"/>
          <w:sz w:val="18"/>
          <w:szCs w:val="18"/>
          <w:color w:val="auto"/>
        </w:rPr>
        <w:t>Other Assets at December 31, 2020 included a $30 million trade receivable from a customer that was refinanced into a collateral-backed note receivable in the second quarter of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Property, Plant and Equipment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1"/>
                <w:szCs w:val="11"/>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60" w:type="dxa"/>
            <w:vAlign w:val="bottom"/>
          </w:tcPr>
          <w:p>
            <w:pPr>
              <w:spacing w:after="0"/>
              <w:rPr>
                <w:sz w:val="11"/>
                <w:szCs w:val="11"/>
                <w:color w:val="auto"/>
              </w:rPr>
            </w:pPr>
          </w:p>
        </w:tc>
        <w:tc>
          <w:tcPr>
            <w:tcW w:w="880" w:type="dxa"/>
            <w:vAlign w:val="bottom"/>
          </w:tcPr>
          <w:p>
            <w:pPr>
              <w:jc w:val="right"/>
              <w:ind w:right="255"/>
              <w:spacing w:after="0" w:line="131" w:lineRule="exact"/>
              <w:rPr>
                <w:sz w:val="20"/>
                <w:szCs w:val="20"/>
                <w:color w:val="auto"/>
              </w:rPr>
            </w:pPr>
            <w:r>
              <w:rPr>
                <w:rFonts w:ascii="Times New Roman" w:cs="Times New Roman" w:eastAsia="Times New Roman" w:hAnsi="Times New Roman"/>
                <w:sz w:val="14"/>
                <w:szCs w:val="14"/>
                <w:b w:val="1"/>
                <w:bCs w:val="1"/>
                <w:color w:val="auto"/>
              </w:rPr>
              <w:t>Finance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Finance</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Buildings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2,699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2,431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13,654</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17,533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17,795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17,161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17,420</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(10,991)</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6,932</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Spare parts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6,871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202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7,073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6,999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209</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7,208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range of useful lives of property used in arriving at the annual amount of depreciation is as follows: buildings and improvements, 3 to 45 years; and machinery and equipment, 3 to 40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included in Income (Loss) before Income Taxes for the years ended December 31, 2020 and 2019 are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Lease Expense</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rental expense for the year ended December 31, 2018 is comprised of the following:</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CFF0FC"/>
            </w:tcBorders>
          </w:tcPr>
          <w:p>
            <w:pPr>
              <w:spacing w:after="0"/>
              <w:rPr>
                <w:sz w:val="24"/>
                <w:szCs w:val="24"/>
                <w:color w:val="auto"/>
              </w:rPr>
            </w:pPr>
          </w:p>
        </w:tc>
        <w:tc>
          <w:tcPr>
            <w:tcW w:w="11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300" w:type="dxa"/>
            <w:vAlign w:val="bottom"/>
            <w:tcBorders>
              <w:bottom w:val="single" w:sz="8" w:color="CFF0FC"/>
            </w:tcBorders>
          </w:tcPr>
          <w:p>
            <w:pPr>
              <w:spacing w:after="0"/>
              <w:rPr>
                <w:sz w:val="24"/>
                <w:szCs w:val="24"/>
                <w:color w:val="auto"/>
              </w:rPr>
            </w:pPr>
          </w:p>
        </w:tc>
        <w:tc>
          <w:tcPr>
            <w:tcW w:w="114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Gross rental expense</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Sublease rental income</w:t>
            </w:r>
          </w:p>
        </w:tc>
        <w:tc>
          <w:tcPr>
            <w:tcW w:w="30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317</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years ended December 31, 2020 and 2019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2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ROU Assets Obtained in Exchange for Lease Obligations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4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as of December 31, 2020 and 2019 is as follows: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 except lease term and discount rate)</w:t>
            </w:r>
          </w:p>
        </w:tc>
        <w:tc>
          <w:tcPr>
            <w:tcW w:w="16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Lease ROU Assets</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851</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855</w:t>
            </w:r>
          </w:p>
        </w:tc>
        <w:tc>
          <w:tcPr>
            <w:tcW w:w="0" w:type="dxa"/>
            <w:vAlign w:val="bottom"/>
          </w:tcPr>
          <w:p>
            <w:pPr>
              <w:spacing w:after="0"/>
              <w:rPr>
                <w:sz w:val="1"/>
                <w:szCs w:val="1"/>
                <w:color w:val="auto"/>
              </w:rPr>
            </w:pPr>
          </w:p>
        </w:tc>
      </w:tr>
      <w:tr>
        <w:trPr>
          <w:trHeight w:val="210"/>
        </w:trPr>
        <w:tc>
          <w:tcPr>
            <w:tcW w:w="78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due Within One Year</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684</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63"/>
        </w:trPr>
        <w:tc>
          <w:tcPr>
            <w:tcW w:w="78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1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882</w:t>
            </w:r>
          </w:p>
        </w:tc>
        <w:tc>
          <w:tcPr>
            <w:tcW w:w="3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867</w:t>
            </w: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262</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 Term Debt and Finance Leases due Within One Year</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Long Term Debt and Finance Leases</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232</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Finance Lease Liabilities</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250</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32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Future maturities of our lease liabilities, excluding subleases, as of December 31, 2020 are as follows: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23"/>
        </w:trPr>
        <w:tc>
          <w:tcPr>
            <w:tcW w:w="7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1,151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796</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CFF0FC"/>
            </w:tcBorders>
            <w:gridSpan w:val="2"/>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882</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of December 31, 2020, we have additional operating and finance leases that have not yet commenced for which the present value of lease payments over the respective lease terms totals $23 million. Accordingly, these leases are not recorded on the Consolidated Balance Sheets at December 31, 2020. These leases will commence in 2021 and 2022 with lease terms of 7 years</w:t>
      </w:r>
      <w:r>
        <w:rPr>
          <w:sz w:val="1"/>
          <w:szCs w:val="1"/>
          <w:color w:val="auto"/>
        </w:rPr>
        <w:drawing>
          <wp:inline distT="0" distB="0" distL="0" distR="0">
            <wp:extent cx="34290" cy="12890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Times New Roman" w:cs="Times New Roman" w:eastAsia="Times New Roman" w:hAnsi="Times New Roman"/>
          <w:sz w:val="18"/>
          <w:szCs w:val="18"/>
          <w:color w:val="auto"/>
        </w:rPr>
        <w:t>to 15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Financing Arrangements and Derivative Financial Instruments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2020, we had total credit arrangements of $9,707 million, of which $3,881 million were unused. At that date, 24% of our debt was at variable interest rates averaging 2.79%.</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Notes Payable and Overdrafts, Long Term Debt and Finance Leases due Within One Year and Short Term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2020, we had short term committed and uncommitted credit arrangements totaling $1,075 million, of which $639 million were unused.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arrangements are available primarily to certain of our foreign subsidiaries through various banks at quoted market interest rates.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due within one year: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780" w:type="dxa"/>
            <w:vAlign w:val="bottom"/>
            <w:gridSpan w:val="2"/>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5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3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domestic and foreign debt</w:t>
            </w:r>
          </w:p>
        </w:tc>
        <w:tc>
          <w:tcPr>
            <w:tcW w:w="15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Notes Payable and Overdrafts</w:t>
            </w:r>
          </w:p>
        </w:tc>
        <w:tc>
          <w:tcPr>
            <w:tcW w:w="158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3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406</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348</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4.52%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780" w:type="dxa"/>
            <w:vAlign w:val="bottom"/>
            <w:gridSpan w:val="2"/>
          </w:tcPr>
          <w:p>
            <w:pPr>
              <w:jc w:val="right"/>
              <w:ind w:right="10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8.75% due 2020</w:t>
            </w:r>
          </w:p>
        </w:tc>
        <w:tc>
          <w:tcPr>
            <w:tcW w:w="15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domestic and foreign debt (including finance leases)</w:t>
            </w:r>
          </w:p>
        </w:tc>
        <w:tc>
          <w:tcPr>
            <w:tcW w:w="15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Long Term Debt and Finance Leases due Within One Year</w:t>
            </w:r>
          </w:p>
        </w:tc>
        <w:tc>
          <w:tcPr>
            <w:tcW w:w="158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3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152</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562</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Borders>
              <w:bottom w:val="single" w:sz="8" w:color="CFF0FC"/>
            </w:tcBorders>
            <w:vMerge w:val="continue"/>
          </w:tcPr>
          <w:p>
            <w:pPr>
              <w:spacing w:after="0"/>
              <w:rPr>
                <w:sz w:val="18"/>
                <w:szCs w:val="18"/>
                <w:color w:val="auto"/>
              </w:rPr>
            </w:pPr>
          </w:p>
        </w:tc>
        <w:tc>
          <w:tcPr>
            <w:tcW w:w="1580" w:type="dxa"/>
            <w:vAlign w:val="bottom"/>
            <w:tcBorders>
              <w:bottom w:val="single" w:sz="8" w:color="CFF0FC"/>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3.87%</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obligations due within one year</w:t>
            </w:r>
          </w:p>
        </w:tc>
        <w:tc>
          <w:tcPr>
            <w:tcW w:w="158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3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558</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910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 Term Debt and Finance Leases and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2020, we had long term credit arrangements totaling $8,632 million, of which $3,242 million were unused.</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long term debt and finance leases, net of unamortized discounts, and interest rates: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3"/>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3"/>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55"/>
        </w:trPr>
        <w:tc>
          <w:tcPr>
            <w:tcW w:w="5300" w:type="dxa"/>
            <w:vAlign w:val="bottom"/>
            <w:tcBorders>
              <w:bottom w:val="single" w:sz="8" w:color="CFF0FC"/>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8.75% due 2020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5.125% due 2023</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3.75% Euro Notes due 2023</w:t>
            </w:r>
          </w:p>
        </w:tc>
        <w:tc>
          <w:tcPr>
            <w:tcW w:w="2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9.5% due 2025</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803</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 due 2026</w:t>
            </w:r>
          </w:p>
        </w:tc>
        <w:tc>
          <w:tcPr>
            <w:tcW w:w="2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4.875% due 2027</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 due 2028</w:t>
            </w:r>
          </w:p>
        </w:tc>
        <w:tc>
          <w:tcPr>
            <w:tcW w:w="2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First lien revolving credit facility due 2025</w:t>
            </w:r>
          </w:p>
        </w:tc>
        <w:tc>
          <w:tcPr>
            <w:tcW w:w="2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Second lien term loan facility due 2025</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European revolving credit facility due 2024</w:t>
            </w:r>
          </w:p>
        </w:tc>
        <w:tc>
          <w:tcPr>
            <w:tcW w:w="2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Pan-European accounts receivable facility</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291</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327</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Mexican credit facilities</w:t>
            </w:r>
          </w:p>
        </w:tc>
        <w:tc>
          <w:tcPr>
            <w:tcW w:w="2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212</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foreign and domestic debt</w:t>
            </w:r>
            <w:r>
              <w:rPr>
                <w:rFonts w:ascii="Times New Roman" w:cs="Times New Roman" w:eastAsia="Times New Roman" w:hAnsi="Times New Roman"/>
                <w:sz w:val="15"/>
                <w:szCs w:val="15"/>
                <w:color w:val="auto"/>
              </w:rPr>
              <w:t>(1)</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451</w:t>
            </w:r>
          </w:p>
        </w:tc>
        <w:tc>
          <w:tcPr>
            <w:tcW w:w="15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661</w:t>
            </w:r>
          </w:p>
        </w:tc>
        <w:tc>
          <w:tcPr>
            <w:tcW w:w="15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5,366</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5,094</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5,334</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5,066</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15"/>
                <w:szCs w:val="15"/>
                <w:color w:val="auto"/>
              </w:rPr>
              <w:t>(2)</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5,584</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5,315</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portion due within one year</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5,432</w:t>
            </w: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4,753</w:t>
            </w: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780" w:hanging="772"/>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are weighted average interest rates related to various foreign credit facilities with customary terms and conditions.</w:t>
      </w:r>
    </w:p>
    <w:p>
      <w:pPr>
        <w:spacing w:after="0" w:line="117" w:lineRule="exact"/>
        <w:rPr>
          <w:rFonts w:ascii="Times New Roman" w:cs="Times New Roman" w:eastAsia="Times New Roman" w:hAnsi="Times New Roman"/>
          <w:sz w:val="18"/>
          <w:szCs w:val="18"/>
          <w:color w:val="auto"/>
        </w:rPr>
      </w:pPr>
    </w:p>
    <w:p>
      <w:pPr>
        <w:ind w:left="780" w:hanging="772"/>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financing additions of $3 million during the twelve month period ended December 31, 2020.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$282 million 8.75% Senior Notes due 2020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17, 2020, we repaid in full our $282 million 8.75% senior notes at maturity.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$1.0 billion 5.125% Senior Notes due 2023</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2020, $1.0 billion aggregate principal amount of 5.125% senior notes due 2023 were outstanding. These notes were sold at 100% of the principal amount and will mature on November 15, 2023. These notes are unsecured senior obligations and are guaranteed by our U.S. and Canadian subsidiaries that also guarantee our obligations under our U.S. senior secured credit facilities described below.</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at a redemption price of 100%, plus accrued and unpaid interest to the redemption date.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the ability of the Company and certain of its subsidiaries, including Goodyear Europe B.V. ("GEBV"), to (i) incur additional debt or issue redeemable preferred stock, (ii) pay dividends, repurchase shares or make certain other restricted payments or investments, (iii) incur liens, (iv) sell assets, (v) incur restrictions on the ability of our subsidiaries to pay dividends or to make other payments to us, (vi) enter into affiliate transactions, (vii) engage in sale and leaseback transactions, and (viii) consolidate, merge, sell or otherwise dispose of all or substantially all of our assets. These covenants are subject to significant exceptions and qualifications. For example, if these notes are assigned 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 grade rating from at least two of Moody's, Standard and Poor's and Fitch and no default has occurred and is continuing, certain covenants will be suspended and we may elect to suspend the subsidiary guarantees. The indenture has customary defaults, including a cross-default to material indebtedness of Goodyear and our subsidiaries.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€250 million 3.75% Senior Notes due 2023 of GEBV</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2020, €250 million aggregate principal amount of GEBV’s 3.75% senior notes due 2023 were outstanding. These notes were sold at 100% of the principal amount and will mature on December 15, 2023. These notes are unsecured senior obligations of GEBV and are guaranteed, on an unsecured senior basis, by the Company and our U.S. and Canadian subsidiaries that also guarantee our obligations under our U.S. senior secured credit facilities described below.</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at a redemption price of 100%, plus accrued and unpaid interest to the redemption date.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5.125% senior notes due 2023, described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9.5% Senior Notes due 2025</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18, 2020, we issued $600 million in aggregate principal amount of 9.5% senior notes due 2025. These notes were sold at 100% of the principal amount and will mature on May 31, 2025. On May 22, 2020, we issued $200 million in aggregate principal amount of additional notes, which were sold at 101.75% of the principal amount at an effective yield of 9.056%. These notes are unsecured senior obligations and are guaranteed by our U.S. and Canadian subsidiaries that also guarantee our obligations under our U.S. senior secured credit facilities described below.</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on or after May 31, 2022 at a redemption price of 104.75%, 102.375% and 100% during the 12-month periods commencing on May 31, 2022, 2023 and 2024 and thereafter, respectively, plus accrued and unpaid interest to the redemption date. Prior to May 31, 2022, we may redeem these notes, in whole or in part, at a redemption price equal to 100% of the principal amount plus a make-whole premium and accrued and unpaid interest to the redemption date. In addition, prior to May 31, 2022, we may redeem up to 35% of the original aggregate principal amount of these notes from the net cash proceeds of certain equity offerings at a redemption price equal to 109.5% of the principal amount plus accrued and unpaid interest to the redemption date.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5.125% senior notes due 2023, described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$900 million 5% Senior Notes due 2026</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2020, $900 million aggregate principal amount of 5% senior notes due 2026 were outstanding. These notes were sold at 100% of the principal amount and will mature on May 31, 2026. These notes are unsecured senior obligations and are guaranteed by our U.S. and Canadian subsidiaries that also guarantee our obligations under our U.S. senior secured credit facilities described below.</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on or after May 31, 2021 at a redemption price of 102.5%, 101.667%, 100.833% and 100% during the 12-month periods commencing on May 31, 2021, 2022, 2023 and 2024 and thereafter, respectively, plus accrued and unpaid interest to the redemption date. Prior to May 31, 2021, we may redeem these notes, in whole or in part, at a redemption price equal to 100% of the principal amount plus a make-whole premium and accrued and unpaid interest to the redemption date.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5.125% senior notes due 2023, described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$700 million 4.875% Senior Notes due 2027</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2020, $700 million aggregate principal amount of 4.875% senior notes due 2027 were outstanding. These notes were sold at 100% of the principal amount and will mature on March 15, 2027. These notes are unsecured senior obligations and are guaranteed by our U.S. and Canadian subsidiaries that also guarantee our obligations under our U.S. senior secured credit facilities described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prior to their maturity. If we elect to redeem the notes prior to December 15, 2026, we will pay a redemption price equal to the greater of 100% of the principal amount of the notes redeemed or the sum of the present values of the remaining scheduled payments on the notes redeemed, discounted using a defined treasury rate plus 50 basis points, plus in either case accrued and unpaid interest to the redemption date. If we elect to redeem the notes on or after December 15, 2026, we will pay a redemption price equal to 100% of the principal amount of the notes redeemed plus accrued and unpaid interest to the redemption date.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our ability and the ability of certain of our subsidiaries to (i) incur certain liens, (ii) engage in sale and leaseback transactions, and (iii) consolidate, merge, sell or otherwise dispose of all or substantially all of our assets. These covenants are subject to significant exceptions and qualifications.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$150 million 7% Senior Notes due 2028</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2020, $150 million aggregate principal amount of 7% notes due 2028 were outstanding. These notes are unsecured senior obligations and will mature on March 15, 2028.</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at a redemption price equal to the greater of 100% of the principal amount thereof or the sum of the present values of the remaining scheduled payments thereon, discounted using a defined treasury rate plus 15 basis points, plus in either case accrued and unpaid interest to the redemption date.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our ability and the ability of certain of our subsidiaries to (i) incur secured debt, (ii) engage in sale and leaseback transactions, and (iii) consolidate, merge, sell or otherwise dispose of all or substantially all of our assets. These covenants are subject to significant exceptions and qualifications.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 billion Amended and Restated First Lien Revolving Credit Facility due 2025</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9, 2020, we amended and restated our $2.0 billion first lien revolving credit facility. Changes to the facility include extending the maturity to April 9, 2025 and increasing the borrowing base for the facility by increasing the amount attributable to the value of our principal trademarks by $100 million and adding the value of eligible machinery and equipment. The interest rate for loans under the facility increased by 50 basis points to LIBOR plus 175 basis points, based on our current liquidity as described below, and undrawn amounts under the facility will be subject to an annual commitment fee of 25 basis points.</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collateral that includes, subject to certain exceptions:</w:t>
      </w:r>
    </w:p>
    <w:p>
      <w:pPr>
        <w:spacing w:after="0" w:line="54" w:lineRule="exact"/>
        <w:rPr>
          <w:sz w:val="20"/>
          <w:szCs w:val="20"/>
          <w:color w:val="auto"/>
        </w:rPr>
      </w:pPr>
    </w:p>
    <w:p>
      <w:pPr>
        <w:ind w:left="760" w:hanging="374"/>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Canadian accounts receivable and inventory;</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U.S. manufacturing facilities;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interests in our U.S. subsidiaries and up to 65% of the voting equity interests in most of our directly owned foreign subsidiaries;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other tangible and intangible assets, including equipment, contract rights and intellectual property.</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after adjusting for customary factors that are subject to modification from time to time by the administrative agent or the majority lenders at their discretion (not to be exercised unreasonably), (ii) the value of our principal trademarks in an amount not to exceed $400 million, (iii) the value of eligible machinery and equipment, and (iv) certain cash in an amount not to exceed $200 million. Modifications are based on the results of periodic collateral and borrowing base evaluations and appraisals. To the extent that our eligible accounts receivable, inventory and other components of the borrowing base decline in value, our borrowing base will decrease and the availability under the facility may decrease below $2.0 billion. In addition, if the amount of outstanding borrowings and letters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credit under the facility exceeds the borrowing base, we are required to prepay borrowings and/or cash collateralize letters of credit sufficient to eliminate the excess. As of December 31, 2020, our borrowing base, and therefore our availability, under this facility was $454 million below the facility's stated amount of $2.0 billion.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facility, which matures on April 9, 2025, contains covenants that, among other things, limit our ability and the ability of certain of our subsidiaries to</w:t>
      </w:r>
    </w:p>
    <w:p>
      <w:pPr>
        <w:spacing w:after="0" w:line="27" w:lineRule="exact"/>
        <w:rPr>
          <w:sz w:val="20"/>
          <w:szCs w:val="20"/>
          <w:color w:val="auto"/>
        </w:rPr>
      </w:pPr>
    </w:p>
    <w:p>
      <w:pPr>
        <w:ind w:left="220" w:hanging="212"/>
        <w:spacing w:after="0"/>
        <w:tabs>
          <w:tab w:leader="none" w:pos="2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or issue redeemable preferred stock, (ii) pay dividends, repurchase shares or make certain other restricted payments or investments,</w:t>
      </w:r>
    </w:p>
    <w:p>
      <w:pPr>
        <w:spacing w:after="0" w:line="9" w:lineRule="exact"/>
        <w:rPr>
          <w:rFonts w:ascii="Times New Roman" w:cs="Times New Roman" w:eastAsia="Times New Roman" w:hAnsi="Times New Roman"/>
          <w:sz w:val="18"/>
          <w:szCs w:val="18"/>
          <w:color w:val="auto"/>
        </w:rPr>
      </w:pPr>
    </w:p>
    <w:p>
      <w:pPr>
        <w:jc w:val="both"/>
        <w:ind w:firstLine="8"/>
        <w:spacing w:after="0" w:line="252" w:lineRule="auto"/>
        <w:tabs>
          <w:tab w:leader="none" w:pos="3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(iv) sell assets, (v) incur restrictions on the ability of our subsidiaries to pay dividends or to make other payments to us, (vi) enter into affiliate transactions, (vii) engage in sale and leaseback transactions, and (viii) consolidate, merge, sell or otherwise dispose of all or substantially all of our assets. These covenants are subject to significant exceptions and qualifications. In addition, in the event that the availability under the facility plus the aggregate amount of our Available Cash is less than $200 million, we will not be permitted to allow our ratio of EBITDA to Consolidated Interest Expense to be less than 2.0 to 1.0 for any period of four consecutive fiscal quarters. “Available Cash,” “EBITDA” and “Consolidated Interest Expense” have the meanings given them in the facility.</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2019. The facility also has customary defaults, including a cross-default to material indebtedness of Goodyear and our subsidiaries.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Available Cash (as defined in the facility) plus the availability under the facility is greater than $750 million, amounts drawn under the facility will bear interest, at our option, at (i) 175 basis points over LIBOR or (ii) 75 basis points over an alternative base rate (the higher of (a) the prime rate, (b) the federal funds effective rate or the overnight bank funding rate plus 50 basis points or (c) LIBOR plus 100 basis points). If Available Cash plus the availability under the facility is equal to or less than $750 million, then amounts drawn under the facility will bear interest, at our option, at (i) 200 basis points over LIBOR or (ii) 100 basis points over an alternative base rate.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2020, we had no borrowings and $11 million of letters of credit issued under the revolving credit facility. At December 31, 2019, we had no borrowings and $37 million of letters of credit issued under the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Amended and Restated Second Lien Term Loan Facility due 2025</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second lien term loan facility matures on March 7, 2025. The term loan bears interest, at our option, at (i) 200 basis points over LIBOR or (ii) 100 basis points over an alternative base rate (the higher of (a) the prime rate, (b) the federal funds effective rate or the overnight bank funding rate plus 50 basis points or (c) LIBOR plus 100 basis points). In addition, if the Total Leverage Ratio is equal to or less than 1.25 to 1.00, we have the option to further reduce the spreads described above by 25 basis points. "Total Leverage Ratio" has the meaning given it in the facility.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obligations under our second lien term loan facility are guaranteed by most of our wholly-owned U.S. and Canadian subsidiaries and are secured by second priority security interests in the same collateral securing the $2.0 billion first lien revolving credit facility.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facility contains covenants, representations, warranties and defaults similar to those in the $2.0 billion first lien revolving credit facility. In addition, if our Pro Forma Senior Secured Leverage Ratio (the ratio of Consolidated Net Secured Indebtedness to EBITDA) for any period of four consecutive fiscal quarters is greater than 3.0 to 1.0, before we may use cash proceeds from certain asset sales to repay any junior lien, senior unsecured or subordinated indebtedness, we must first offer to use such cash proceeds to prepay borrowings under the second lien term loan facility. "Pro Forma Senior Secured Leverage Ratio," "Consolidated Net Secured Indebtedness" and "EBITDA" have the meanings given them in the facility.</w:t>
      </w:r>
    </w:p>
    <w:p>
      <w:pPr>
        <w:spacing w:after="0" w:line="75" w:lineRule="exact"/>
        <w:rPr>
          <w:sz w:val="20"/>
          <w:szCs w:val="20"/>
          <w:color w:val="auto"/>
        </w:rPr>
      </w:pPr>
    </w:p>
    <w:p>
      <w:pPr>
        <w:ind w:right="4160"/>
        <w:spacing w:after="0" w:line="397" w:lineRule="auto"/>
        <w:rPr>
          <w:sz w:val="20"/>
          <w:szCs w:val="20"/>
          <w:color w:val="auto"/>
        </w:rPr>
      </w:pPr>
      <w:r>
        <w:rPr>
          <w:rFonts w:ascii="Times New Roman" w:cs="Times New Roman" w:eastAsia="Times New Roman" w:hAnsi="Times New Roman"/>
          <w:sz w:val="17"/>
          <w:szCs w:val="17"/>
          <w:color w:val="auto"/>
        </w:rPr>
        <w:t xml:space="preserve">At December 31, 2020 and 2019, the amounts outstanding under this facility were $400 million. </w:t>
      </w:r>
      <w:r>
        <w:rPr>
          <w:rFonts w:ascii="Times New Roman" w:cs="Times New Roman" w:eastAsia="Times New Roman" w:hAnsi="Times New Roman"/>
          <w:sz w:val="17"/>
          <w:szCs w:val="17"/>
          <w:i w:val="1"/>
          <w:iCs w:val="1"/>
          <w:u w:val="single" w:color="auto"/>
          <w:color w:val="auto"/>
        </w:rPr>
        <w:t>€800 million Amended and Restated Senior Secured European Revolving Credit Facility due 2024</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amended and restated European revolving credit facility consists of (i) a €180 million German tranche that is available only to Goodyear Dunlop Tires Germany GmbH (“GDTG”) and (ii) a €620 million all-borrower tranche that is available to GEBV, GDTG and Goodyear Dunlop Tires Operations S.A. Up to €175 million of swingline loans and €75 million in letters of credit are available for issuance under the all-borrower tranche. Amounts drawn under this facility will bear interest at LIBOR plus 150 basis points for loans denominated in U.S. dollars or pounds sterling and EURIBOR plus 150 basis points for loans denominated in euros, and undrawn amounts under the facility are subject to an annual commitment fee of 25 basis points.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GEBV and certain of its subsidiaries in the United Kingdom, Luxembourg, France and Germany provide guarantees to support the facility. GEBV’s obligations under the facility and the obligations of its subsidiaries under the related guarantees are secured by security interests in collateral that includes, subject to certain exceptions:</w:t>
      </w:r>
    </w:p>
    <w:p>
      <w:pPr>
        <w:spacing w:after="0" w:line="68" w:lineRule="exact"/>
        <w:rPr>
          <w:sz w:val="20"/>
          <w:szCs w:val="20"/>
          <w:color w:val="auto"/>
        </w:rPr>
      </w:pPr>
    </w:p>
    <w:p>
      <w:pPr>
        <w:ind w:left="760" w:hanging="374"/>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stock of the principal subsidiaries of GEBV; and</w:t>
      </w:r>
    </w:p>
    <w:p>
      <w:pPr>
        <w:spacing w:after="0" w:line="117"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the tangible and intangible assets of GEBV and certain of its subsidiaries in the United Kingdom, Luxembourg, France and Germany, including real property, equipment, inventory, contract rights, intercompany receivables and cash accounts, but excluding accounts receivable and certain cash accounts in subsidiaries that are or may become parties to securitization or factoring transactions.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senior secured credit facilities described above also provide unsecured guarantees in support of the facility.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contains covenants similar to those in our first lien revolving credit facility, with additional limitations applicable to GEBV and its subsidiaries. In addition, under the facility, GEBV’s ratio of Consolidated Net GEBV Indebtedness to Consolidated GEBV EBITDA for a period of four consecutive fiscal quarters is not permitted to be greater than 3.0 to 1.0 at the end of any fiscal quarter. “Consolidated Net GEBV Indebtedness” and “Consolidated GEBV EBITDA” have the meanings given them in the facility.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2018. The facility also has customary defaults, including a cross-default to material indebtedness of Goodyear and our subsidiaries.</w:t>
      </w:r>
    </w:p>
    <w:p>
      <w:pPr>
        <w:spacing w:after="0" w:line="72" w:lineRule="exact"/>
        <w:rPr>
          <w:sz w:val="20"/>
          <w:szCs w:val="20"/>
          <w:color w:val="auto"/>
        </w:rPr>
      </w:pPr>
    </w:p>
    <w:p>
      <w:pPr>
        <w:ind w:right="1180"/>
        <w:spacing w:after="0" w:line="375" w:lineRule="auto"/>
        <w:rPr>
          <w:sz w:val="20"/>
          <w:szCs w:val="20"/>
          <w:color w:val="auto"/>
        </w:rPr>
      </w:pPr>
      <w:r>
        <w:rPr>
          <w:rFonts w:ascii="Times New Roman" w:cs="Times New Roman" w:eastAsia="Times New Roman" w:hAnsi="Times New Roman"/>
          <w:sz w:val="18"/>
          <w:szCs w:val="18"/>
          <w:color w:val="auto"/>
        </w:rPr>
        <w:t xml:space="preserve">At December 31, 2020 and 2019, there were no borrowings and no letters of credit outstanding under the European revolving credit facility. </w:t>
      </w: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2023. The terms of the facility provide the flexibility to designate annually the maximum amount of funding available under the facility in an amount of not less than €30 million and not more than €450 million. For the period from October 18, 2018 through October 15, 2020, the designated maximum amount of the facility was €320 million. For the period from October 16, 2020 through October 18, 2021, the designated maximum amount of the facility was decreased to €280 million.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September 26, 2023,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senior secured credit facilities; certain tax law changes; or certain changes to law, regulation or accounting standards), or (d) our request for early termination of the facility. The facility’s current back-up liquidity commitments will expire on October 18, 2021.</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2020, the amounts available and utilized under this program totaled $291 million (€237 million). At December 31, 2019, the amounts available and utilized under this program totaled $327 million (€291 million). The program does not qualify for sale accounting, and accordingly, these amounts are included in Long Term Debt and Finance Leases.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December 31, 2020, the gross amount of receivables sold was $451 million, compared to $548 million at December 31, 2019.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Foreign Credit Facilities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Mexican subsidiary and a U.S. subsidiary have a revolving credit facility in Mexico. At December 31, 2020, the amounts available and utilized under this facility were $200 million and $152 million, respectively. At December 31, 2019, the amounts available and utilized under this facility were $200 million. The facility ultimately matures in 2022, has covenants relating to the Mexican and U.S. subsidiary, and has customary representations and warranties and default provisions relating to the Mexican and U.S. subsidiary’s ability to perform its respective obligations under the facility.</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Chinese subsidiary has several financing arrangements in China. At December 31, 2020 and 2019, the amounts available under these facilities were $981 million and $735 million, respectively. At December 31, 2020, the amount utilized under these facilities was $375 million, of which $163 million represented notes payable and $212 million represented long term debt. At December 31, 2020, $13 million of the long term debt was due within a year. At December 31, 2019, the amount utilized under these facilities was $313 million, of which $118 million represented notes payable and $195 million represented long term debt. At December 31, 2019, $95 million of the long term debt was due within a year. The facilities contain covenants relating to the Chinese subsidiary and have customary representations and warranties and defaults relating to the Chinese subsidiary’s ability to perform its obligations under the facilities. Certain of the facilities can only be used to finance the expansion of our manufacturing facility in China and, at December 31, 2020 and 2019, the unused amounts available under these facilities were $99 million and $106 million,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Maturities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aggregate maturities of our debt (excluding the impact of deferred financing fees and unamortized discounts) and finance leases for the five years subsequent to December 31, 2020 are presented below. Maturities of debt credit agreements have been reported on the basis that the commitments to lend under these agreements will be terminated effective at the end of their current terms.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3"/>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999</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1,199</w:t>
            </w:r>
          </w:p>
        </w:tc>
      </w:tr>
      <w:tr>
        <w:trPr>
          <w:trHeight w:val="230"/>
        </w:trPr>
        <w:tc>
          <w:tcPr>
            <w:tcW w:w="2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16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699</w:t>
            </w:r>
          </w:p>
        </w:tc>
        <w:tc>
          <w:tcPr>
            <w:tcW w:w="1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232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556</w:t>
            </w:r>
          </w:p>
        </w:tc>
        <w:tc>
          <w:tcPr>
            <w:tcW w:w="1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475</w:t>
            </w:r>
          </w:p>
        </w:tc>
        <w:tc>
          <w:tcPr>
            <w:tcW w:w="1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1,698</w:t>
            </w:r>
          </w:p>
        </w:tc>
        <w:tc>
          <w:tcPr>
            <w:tcW w:w="1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88</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1,218</w:t>
            </w:r>
          </w:p>
        </w:tc>
      </w:tr>
      <w:tr>
        <w:trPr>
          <w:trHeight w:val="20"/>
        </w:trPr>
        <w:tc>
          <w:tcPr>
            <w:tcW w:w="2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Contracts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values for foreign currency hedge contracts that do not meet the criteria to be accounted for as cash flow hedging instruments: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26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1260" w:type="dxa"/>
            <w:vAlign w:val="bottom"/>
          </w:tcPr>
          <w:p>
            <w:pPr>
              <w:jc w:val="right"/>
              <w:ind w:right="108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2020 and 2019, these outstanding foreign currency derivatives had notional amounts of $1,664 million and $1,707 million, respectively, and were primarily related to intercompany loans. Other (Income) Expense included net transaction losses on derivatives of $87 million in 2020 and net transaction gains on derivatives of $22 million in 2019. These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were substantially offset in Other (Income) Expense by the effect of changing exchange rates on the underlying currency exposures.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fair values for foreign currency hedge contracts that meet the criteria to be accounted for as cash flow hedging instruments: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Values — Long term asset (liability):</w:t>
            </w: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280" w:type="dxa"/>
            <w:vAlign w:val="bottom"/>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280" w:type="dxa"/>
            <w:vAlign w:val="bottom"/>
          </w:tcPr>
          <w:p>
            <w:pPr>
              <w:spacing w:after="0"/>
              <w:rPr>
                <w:sz w:val="20"/>
                <w:szCs w:val="20"/>
                <w:color w:val="auto"/>
              </w:rPr>
            </w:pP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2020 and 2019, these outstanding foreign currency derivatives had notional amounts of $50 million and $365 million, respectively, and primarily related to U.S. dollar denominated intercompany transactions. Based on our current forecasts, including the expected ongoing impacts of the COVID-19 pandemic, we believe that it is probable that the underlying hedge transactions will occur within an appropriate time frame in order to continue to qualify for cash flow hedge accounting treatment.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changes in fair values of foreign currency contracts that meet the criteria to be accounted for as cash flow hedging instruments (before tax and minority):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340" w:type="dxa"/>
            <w:vAlign w:val="bottom"/>
            <w:tcBorders>
              <w:bottom w:val="single" w:sz="8" w:color="CFF0FC"/>
            </w:tcBorders>
            <w:vMerge w:val="continue"/>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9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1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 of gains (losses) deferred to AOCL</w:t>
            </w:r>
            <w:r>
              <w:rPr>
                <w:rFonts w:ascii="Times New Roman" w:cs="Times New Roman" w:eastAsia="Times New Roman" w:hAnsi="Times New Roman"/>
                <w:sz w:val="15"/>
                <w:szCs w:val="15"/>
                <w:color w:val="auto"/>
              </w:rPr>
              <w:t>(1)</w:t>
            </w: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adjustment for amounts recognized in CGS</w:t>
            </w:r>
            <w:r>
              <w:rPr>
                <w:rFonts w:ascii="Times New Roman" w:cs="Times New Roman" w:eastAsia="Times New Roman" w:hAnsi="Times New Roman"/>
                <w:sz w:val="15"/>
                <w:szCs w:val="15"/>
                <w:color w:val="auto"/>
              </w:rPr>
              <w:t>(1)</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780" w:hanging="772"/>
        <w:spacing w:after="0" w:line="282"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components deferred to AOCL and excluded components reclassified from AOCL to CGS for the twelve months ended December 31, 2020, 2019 and 2018 were not material.</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net amount of the deferred gains at December 31, 2020 that is expected to be reclassified to earnings within the next twelve months is $2 million.</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assets and liabilities recorded at fair value on the Consolidated Balance Sheet at December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4"/>
            <w:vMerge w:val="restart"/>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Total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4"/>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vMerge w:val="restart"/>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4"/>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4"/>
            <w:vMerge w:val="restart"/>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left="299"/>
              <w:spacing w:after="0" w:line="149" w:lineRule="exact"/>
              <w:rPr>
                <w:sz w:val="20"/>
                <w:szCs w:val="20"/>
                <w:color w:val="auto"/>
              </w:rPr>
            </w:pPr>
            <w:r>
              <w:rPr>
                <w:rFonts w:ascii="Times New Roman" w:cs="Times New Roman" w:eastAsia="Times New Roman" w:hAnsi="Times New Roman"/>
                <w:sz w:val="14"/>
                <w:szCs w:val="14"/>
                <w:b w:val="1"/>
                <w:bCs w:val="1"/>
                <w:color w:val="auto"/>
              </w:rPr>
              <w:t>Value in the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4"/>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4"/>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4"/>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4"/>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4"/>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right"/>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lef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140" w:type="dxa"/>
            <w:vAlign w:val="bottom"/>
            <w:tcBorders>
              <w:bottom w:val="single" w:sz="8" w:color="CFF0FC"/>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w:t>
            </w:r>
          </w:p>
        </w:tc>
        <w:tc>
          <w:tcPr>
            <w:tcW w:w="1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fair value information about long term fixed rate and variable rate debt, excluding finance leases,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Fixed Rate Debt</w:t>
            </w:r>
            <w:r>
              <w:rPr>
                <w:rFonts w:ascii="Times New Roman" w:cs="Times New Roman" w:eastAsia="Times New Roman" w:hAnsi="Times New Roman"/>
                <w:sz w:val="15"/>
                <w:szCs w:val="15"/>
                <w:b w:val="1"/>
                <w:bCs w:val="1"/>
                <w:color w:val="auto"/>
              </w:rPr>
              <w:t>(1)</w:t>
            </w:r>
            <w:r>
              <w:rPr>
                <w:rFonts w:ascii="Times New Roman" w:cs="Times New Roman" w:eastAsia="Times New Roman" w:hAnsi="Times New Roman"/>
                <w:sz w:val="18"/>
                <w:szCs w:val="18"/>
                <w:b w:val="1"/>
                <w:bCs w:val="1"/>
                <w:color w:val="auto"/>
              </w:rPr>
              <w:t>:</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4,094</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3,434</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 liability</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4,283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3,558</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Variable Rate Debt</w:t>
            </w:r>
            <w:r>
              <w:rPr>
                <w:rFonts w:ascii="Times New Roman" w:cs="Times New Roman" w:eastAsia="Times New Roman" w:hAnsi="Times New Roman"/>
                <w:sz w:val="15"/>
                <w:szCs w:val="15"/>
                <w:b w:val="1"/>
                <w:bCs w:val="1"/>
                <w:color w:val="auto"/>
              </w:rPr>
              <w:t>(1)</w:t>
            </w: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1,240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1,632</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Fair value — liability</w:t>
            </w:r>
          </w:p>
        </w:tc>
        <w:tc>
          <w:tcPr>
            <w:tcW w:w="240" w:type="dxa"/>
            <w:vAlign w:val="bottom"/>
          </w:tcPr>
          <w:p>
            <w:pPr>
              <w:spacing w:after="0"/>
              <w:rPr>
                <w:sz w:val="20"/>
                <w:szCs w:val="20"/>
                <w:color w:val="auto"/>
              </w:rPr>
            </w:pPr>
          </w:p>
        </w:tc>
        <w:tc>
          <w:tcPr>
            <w:tcW w:w="14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1,197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1,632</w:t>
            </w:r>
          </w:p>
        </w:tc>
      </w:tr>
    </w:tbl>
    <w:p>
      <w:pPr>
        <w:spacing w:after="0" w:line="98" w:lineRule="exact"/>
        <w:rPr>
          <w:sz w:val="20"/>
          <w:szCs w:val="20"/>
          <w:color w:val="auto"/>
        </w:rPr>
      </w:pPr>
    </w:p>
    <w:p>
      <w:pPr>
        <w:jc w:val="both"/>
        <w:ind w:left="780" w:hanging="772"/>
        <w:spacing w:after="0" w:line="266"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Notes Payable and Overdrafts of $406 million and $348 million at December 31, 2020 and 2019, respectively, of which $227 million and $143 million, respectively, are at fixed rates and $179 million and $205 million, respectively, are at variable rates. The carrying value of Notes Payable and Overdrafts approximates fair value due to the short term nature of the facilities.</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Long term debt with fair values of $4,391 million and $3,808 million at December 31, 2020 and 2019, respectively, were estimated using quoted Level 1 market prices. The carrying value of the remaining debt was based upon internal estimates of fair value derived from market prices for similar debt.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Pension, Other Postretirement Benefits and Savings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employees with defined benefit pension or defined contribution savings plans. Our hourly U.S. pension plans are frozen and provide benefits based on length of service. The principal salaried U.S. pension plans are frozen and provide benefits based on final five-year average earnings formulas. Salaried employees who made voluntary contributions to these plans receive higher benefits. We also provide certain U.S. employees and employees at certain non-U.S. subsidiaries with health care benefits or life insurance benefits upon retirement. Substantial portions of the health care benefits for U.S. salaried retirees are not insured and are funded from operations.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2020, we recognized settlement charges of $28 million, primarily related to certain of our salaried U.S. pension plans, of which $24 million was recognized in Other (Income) Expense and $4 million in Rationalizations, related to the exit of employees under approved rationalization plans. The settlement charges resulted from total lump sum payments exceeding annual service and interest cost of the applicable plans. In addition, we recognized a curtailment credit of $6 million in Other (Income) Expense during 2020, related to a freeze of one of our non-U.S. defined benefit pension plans.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2020, we also recognized a curtailment credit of $4 million related to one of our Other Postretirement Benefits plans and a termination benefits charge of $5 million related to our hourly U.S. pension plan in Rationalizations, related to the exit of employees under approved rationalization plans.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2019, we recognized settlement charges of $6 million in Other (Income) Expense primarily related to certain of our U.S. pension plans. The settlement charges resulted from total lump sum payments exceeding annual service and interest cost of the applicable plans. During 2019, we also recognized curtailment and special termination benefit charges of $5 million in Rationalizations, primarily related to the acceptance of voluntary buy-outs at our tire manufacturing facility in Gadsden, Alabama.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2018, we recognized settlement charges of $13 million in Other (Income) Expense for our frozen U.K. pension plan. These settlement charges related primarily to an offer of lump sum payments over a limited time during 2018 to non-retiree participants of the plan. Lump sum payments of $103 million, primarily related to this offer, were made from existing plan assets in 2018. As a result, total lump sum payments related to this plan exceeded annual interest cost for 2018.</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2018, we recognized settlement charges of $8 million in Other (Income) Expense related to certain of our U.S. pension plans. The settlement charges resulted from total lump sum payments exceeding annual service and interest cost of the applicable plans.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increased the obligation for our U.K. pension plan by $16 million to recognize the estimated impact to our plan from court rulings in 2018 and later, involving a plan with similar features to ours that was sponsored by another company, that required equal guaranteed minimum pension benefits for males and females. The increases were recognized in AOCL as prior service cost from plan amendments. The actual impact to our U.K. pension plan is still subject to the finalization of plan amendments in response to the court rulings and potential future judicial decisions.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2018, the Brazil pension regulator approved our plan to replace certain benefits in our Brazil retiree medical plan with an increase in benefits in our Brazil pension plan. The changes were effective in the fourth quarter of 2019 and resulted in an increase to our pension obligation of $16 million and a decrease in our other postretirement benefits obligation of $14 million at December 31, 2018. The increase to the pension obligation and decrease to the other postretirement benefits obligation were recognized in AOCL as prior service cost and prior service credit,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benefits cost and amounts recognized in other comprehensive (income) loss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7"/>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0" w:type="dxa"/>
            <w:vAlign w:val="bottom"/>
          </w:tcPr>
          <w:p>
            <w:pPr>
              <w:spacing w:after="0"/>
              <w:rPr>
                <w:sz w:val="1"/>
                <w:szCs w:val="1"/>
                <w:color w:val="auto"/>
              </w:rPr>
            </w:pPr>
          </w:p>
        </w:tc>
      </w:tr>
      <w:tr>
        <w:trPr>
          <w:trHeight w:val="156"/>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Non-U.S.</w:t>
            </w: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40" w:type="dxa"/>
            <w:vAlign w:val="bottom"/>
            <w:tcBorders>
              <w:bottom w:val="single" w:sz="8" w:color="CFF0FC"/>
            </w:tcBorders>
            <w:vMerge w:val="continue"/>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Benefits cost (credit):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11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Net periodic cost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curtailments/settlements /termination benefits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benefits cost</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77</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73</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62</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67</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70</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69</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07"/>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Recognized in other comprehensive (income)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 and minority:</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Prior service cost (credit) from plan amendments</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net actuarial losses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1"/>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prior service (cost) credit in net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periodic cost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losses in net periodic cost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1"/>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Immediate recognition of prior service cost and</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gains and losses due to curtailments,</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 and divestitures</w:t>
            </w:r>
          </w:p>
        </w:tc>
        <w:tc>
          <w:tcPr>
            <w:tcW w:w="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74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recognized in other comprehensive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 and minority</w:t>
            </w: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165</w:t>
            </w:r>
          </w:p>
        </w:tc>
        <w:tc>
          <w:tcPr>
            <w:tcW w:w="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w:t>
            </w:r>
          </w:p>
        </w:tc>
        <w:tc>
          <w:tcPr>
            <w:tcW w:w="60" w:type="dxa"/>
            <w:vAlign w:val="bottom"/>
            <w:tcBorders>
              <w:bottom w:val="single" w:sz="8" w:color="CFF0FC"/>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14</w:t>
            </w: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201"/>
        </w:trPr>
        <w:tc>
          <w:tcPr>
            <w:tcW w:w="3740" w:type="dxa"/>
            <w:vAlign w:val="bottom"/>
            <w:shd w:val="clear" w:color="auto" w:fill="CFF0FC"/>
          </w:tcPr>
          <w:p>
            <w:pPr>
              <w:ind w:left="140"/>
              <w:spacing w:after="0" w:line="201" w:lineRule="exact"/>
              <w:rPr>
                <w:sz w:val="20"/>
                <w:szCs w:val="20"/>
                <w:color w:val="auto"/>
              </w:rPr>
            </w:pPr>
            <w:r>
              <w:rPr>
                <w:rFonts w:ascii="Times New Roman" w:cs="Times New Roman" w:eastAsia="Times New Roman" w:hAnsi="Times New Roman"/>
                <w:sz w:val="18"/>
                <w:szCs w:val="18"/>
                <w:b w:val="1"/>
                <w:bCs w:val="1"/>
                <w:color w:val="auto"/>
              </w:rPr>
              <w:t>Total recognized in total benefits cost and</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and minority</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235</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38</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w:t>
            </w:r>
          </w:p>
        </w:tc>
        <w:tc>
          <w:tcPr>
            <w:tcW w:w="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21</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cost is recorded in CGS or SAG. Other components of net periodic cost are recorded in Other (Income) Expense. Net curtailments, settlements and termination benefits are recorded in Other (Income) Expense or Rationalizations if related to a rationalization plan.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fair value of pension assets in the calculation of pension expense for all plans.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benefits cost for our other postretirement benefits was $1 million, $3 million and $4 million for our U.S. plans in 2020, 2019 and 2018, respectively, and $0 million, $4 million and $7 million for our non-U.S. plans in 2020, 2019 and 2018, respectively.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provides plan sponsors a federal subsidy for certain qualifying prescription drug benefits covered under the sponsor’s postretirement health care plans. Our other postretirement benefits cost is presented net of this subsidy, which is less than $1 million annually.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change in benefit obligation and plan assets for 2020 and 2019 and the amounts recognized in our Consolidated Balance Sheets at December 31, 2020 and 2019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4"/>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0" w:type="dxa"/>
            <w:vAlign w:val="bottom"/>
          </w:tcPr>
          <w:p>
            <w:pPr>
              <w:spacing w:after="0"/>
              <w:rPr>
                <w:sz w:val="1"/>
                <w:szCs w:val="1"/>
                <w:color w:val="auto"/>
              </w:rPr>
            </w:pPr>
          </w:p>
        </w:tc>
      </w:tr>
      <w:tr>
        <w:trPr>
          <w:trHeight w:val="156"/>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130"/>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8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Non-U.S.</w:t>
            </w: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60" w:type="dxa"/>
            <w:vAlign w:val="bottom"/>
            <w:tcBorders>
              <w:bottom w:val="single" w:sz="8" w:color="CFF0FC"/>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(5,009)</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(4,734)</w:t>
            </w:r>
          </w:p>
        </w:tc>
        <w:tc>
          <w:tcPr>
            <w:tcW w:w="4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(3,195)</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(2,774)</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Newly adopted plans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Service cost — benefits earned</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Plan amendments</w:t>
            </w:r>
          </w:p>
        </w:tc>
        <w:tc>
          <w:tcPr>
            <w:tcW w:w="2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Actuarial loss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Curtailments/settlements/termination benefits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Benefit payments</w:t>
            </w: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(5,235)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(5,009)</w:t>
            </w:r>
          </w:p>
        </w:tc>
        <w:tc>
          <w:tcPr>
            <w:tcW w:w="14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(3,382)</w:t>
            </w:r>
          </w:p>
        </w:tc>
        <w:tc>
          <w:tcPr>
            <w:tcW w:w="12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(3,195)</w:t>
            </w:r>
          </w:p>
        </w:tc>
        <w:tc>
          <w:tcPr>
            <w:tcW w:w="12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4,780</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4,445</w:t>
            </w:r>
          </w:p>
        </w:tc>
        <w:tc>
          <w:tcPr>
            <w:tcW w:w="4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2,740</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2,464</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Newly adopted plans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Company contributions to plan assets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funding of direct participant payments</w:t>
            </w:r>
          </w:p>
        </w:tc>
        <w:tc>
          <w:tcPr>
            <w:tcW w:w="2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Settlements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Benefit payments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4,970</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4,780</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3,041</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2,740</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Funded status at end of year</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actuarial losses related to changes in benefit obligations for 2020 and 2019 primarily resulted from decreases in discount rates.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postretirement benefits unfunded status was $106 million for our U.S. plans at December 31, 2020 and 2019, and $130 million and $135 million for our non-U.S. plans at December 31, 2020 and 2019,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funded status recognized in the Consolidated Balance Sheets consists of:</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Other Postretirement</w:t>
            </w:r>
          </w:p>
        </w:tc>
        <w:tc>
          <w:tcPr>
            <w:tcW w:w="0" w:type="dxa"/>
            <w:vAlign w:val="bottom"/>
          </w:tcPr>
          <w:p>
            <w:pPr>
              <w:spacing w:after="0"/>
              <w:rPr>
                <w:sz w:val="1"/>
                <w:szCs w:val="1"/>
                <w:color w:val="auto"/>
              </w:rPr>
            </w:pPr>
          </w:p>
        </w:tc>
      </w:tr>
      <w:tr>
        <w:trPr>
          <w:trHeight w:val="155"/>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130"/>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8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Non-U.S.</w:t>
            </w: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30"/>
              <w:spacing w:after="0" w:line="155"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60" w:type="dxa"/>
            <w:vAlign w:val="bottom"/>
            <w:tcBorders>
              <w:bottom w:val="single" w:sz="8" w:color="CFF0FC"/>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3"/>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amount recognized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recognized in AOCL, net of tax, consist of:</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Other Postretirement</w:t>
            </w:r>
          </w:p>
        </w:tc>
        <w:tc>
          <w:tcPr>
            <w:tcW w:w="0" w:type="dxa"/>
            <w:vAlign w:val="bottom"/>
          </w:tcPr>
          <w:p>
            <w:pPr>
              <w:spacing w:after="0"/>
              <w:rPr>
                <w:sz w:val="1"/>
                <w:szCs w:val="1"/>
                <w:color w:val="auto"/>
              </w:rPr>
            </w:pPr>
          </w:p>
        </w:tc>
      </w:tr>
      <w:tr>
        <w:trPr>
          <w:trHeight w:val="155"/>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130"/>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8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Non-U.S.</w:t>
            </w: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30"/>
              <w:spacing w:after="0" w:line="155"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60" w:type="dxa"/>
            <w:vAlign w:val="bottom"/>
            <w:tcBorders>
              <w:bottom w:val="single" w:sz="8" w:color="CFF0FC"/>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Prior service (credit) cost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actuarial loss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2,353</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2,380</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Gross amount recognized</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2,350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2,377</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661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807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Minority shareholders’ equity</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amount recognized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2,307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2,327</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555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671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significant weighted average assumptions used to determine benefit obligations at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55"/>
        </w:trPr>
        <w:tc>
          <w:tcPr>
            <w:tcW w:w="566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tcPr>
          <w:p>
            <w:pPr>
              <w:ind w:left="40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29"/>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9"/>
                <w:szCs w:val="19"/>
                <w:color w:val="auto"/>
              </w:rPr>
            </w:pPr>
          </w:p>
        </w:tc>
        <w:tc>
          <w:tcPr>
            <w:tcW w:w="1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Pr>
          <w:p>
            <w:pPr>
              <w:spacing w:after="0"/>
              <w:rPr>
                <w:sz w:val="19"/>
                <w:szCs w:val="19"/>
                <w:color w:val="auto"/>
              </w:rPr>
            </w:pPr>
          </w:p>
        </w:tc>
        <w:tc>
          <w:tcPr>
            <w:tcW w:w="13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3.14%</w:t>
            </w:r>
          </w:p>
        </w:tc>
      </w:tr>
      <w:tr>
        <w:trPr>
          <w:trHeight w:val="229"/>
        </w:trPr>
        <w:tc>
          <w:tcPr>
            <w:tcW w:w="6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4.39</w:t>
            </w:r>
          </w:p>
        </w:tc>
      </w:tr>
      <w:tr>
        <w:trPr>
          <w:trHeight w:val="23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Rate of compensation increase:</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6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102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Pr>
          <w:p>
            <w:pPr>
              <w:spacing w:after="0"/>
              <w:rPr>
                <w:sz w:val="20"/>
                <w:szCs w:val="20"/>
                <w:color w:val="auto"/>
              </w:rPr>
            </w:pPr>
          </w:p>
        </w:tc>
        <w:tc>
          <w:tcPr>
            <w:tcW w:w="14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N/A</w:t>
            </w: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significant weighted average assumptions used to determine benefits cost for the years ended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800" w:type="dxa"/>
            <w:vAlign w:val="bottom"/>
            <w:tcBorders>
              <w:bottom w:val="single" w:sz="8" w:color="auto"/>
            </w:tcBorders>
          </w:tcPr>
          <w:p>
            <w:pPr>
              <w:spacing w:after="0"/>
              <w:rPr>
                <w:sz w:val="15"/>
                <w:szCs w:val="15"/>
                <w:color w:val="auto"/>
              </w:rPr>
            </w:pPr>
          </w:p>
        </w:tc>
      </w:tr>
      <w:tr>
        <w:trPr>
          <w:trHeight w:val="155"/>
        </w:trPr>
        <w:tc>
          <w:tcPr>
            <w:tcW w:w="4460" w:type="dxa"/>
            <w:vAlign w:val="bottom"/>
          </w:tcPr>
          <w:p>
            <w:pPr>
              <w:spacing w:after="0"/>
              <w:rPr>
                <w:sz w:val="13"/>
                <w:szCs w:val="13"/>
                <w:color w:val="auto"/>
              </w:rPr>
            </w:pPr>
          </w:p>
        </w:tc>
        <w:tc>
          <w:tcPr>
            <w:tcW w:w="104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140" w:type="dxa"/>
            <w:vAlign w:val="bottom"/>
            <w:gridSpan w:val="2"/>
          </w:tcPr>
          <w:p>
            <w:pPr>
              <w:jc w:val="right"/>
              <w:ind w:right="37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104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c>
          <w:tcPr>
            <w:tcW w:w="104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104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Discount rate for determining interest cost:</w:t>
            </w: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r>
      <w:tr>
        <w:trPr>
          <w:trHeight w:val="23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1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2.66%</w:t>
            </w:r>
          </w:p>
        </w:tc>
        <w:tc>
          <w:tcPr>
            <w:tcW w:w="1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19"/>
                <w:szCs w:val="19"/>
                <w:color w:val="auto"/>
              </w:rPr>
            </w:pPr>
          </w:p>
        </w:tc>
        <w:tc>
          <w:tcPr>
            <w:tcW w:w="1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1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9"/>
                <w:szCs w:val="19"/>
                <w:color w:val="auto"/>
              </w:rPr>
            </w:pPr>
          </w:p>
        </w:tc>
        <w:tc>
          <w:tcPr>
            <w:tcW w:w="1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2.99%</w:t>
            </w:r>
          </w:p>
        </w:tc>
      </w:tr>
      <w:tr>
        <w:trPr>
          <w:trHeight w:val="229"/>
        </w:trPr>
        <w:tc>
          <w:tcPr>
            <w:tcW w:w="4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10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2.26</w:t>
            </w:r>
          </w:p>
        </w:tc>
        <w:tc>
          <w:tcPr>
            <w:tcW w:w="11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6.13</w:t>
            </w: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Expected long term return on plan assets: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10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4.22</w:t>
            </w:r>
          </w:p>
        </w:tc>
        <w:tc>
          <w:tcPr>
            <w:tcW w:w="11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380" w:type="dxa"/>
            <w:vAlign w:val="bottom"/>
            <w:gridSpan w:val="3"/>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1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2.52</w:t>
            </w:r>
          </w:p>
        </w:tc>
        <w:tc>
          <w:tcPr>
            <w:tcW w:w="1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9"/>
                <w:szCs w:val="19"/>
                <w:color w:val="auto"/>
              </w:rPr>
            </w:pPr>
          </w:p>
        </w:tc>
        <w:tc>
          <w:tcPr>
            <w:tcW w:w="1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3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Rate of compensation increase:</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3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1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3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4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10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2.92</w:t>
            </w:r>
          </w:p>
        </w:tc>
        <w:tc>
          <w:tcPr>
            <w:tcW w:w="11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380" w:type="dxa"/>
            <w:vAlign w:val="bottom"/>
            <w:gridSpan w:val="3"/>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2020, a weighted average discount rate of 2.66% was used to determine interest cost for the U.S. pension plans. This rate was derived from spot rates along a yield curve developed from a portfolio of corporate bonds from issuers rated AA or higher by established rating agencies as of December 31, 2019, applied to our expected benefit payment cash flows. For our non-U.S. locations, a weighted average discount rate of 2.26% was used. This rate was developed based on the nature of the liabilities and local environments, using available bond indices, yield curves, projected cash flows, and long term inflation.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2020, an assumed weighted average long term rate of return of 4.22% was used for the U.S. pension plans. In developing the long term rate of return, we evaluated input from our pension fund consultant on asset class return expectations, including determining the appropriate rate of return for our plans, which are primarily invested in fixed income securities. For our non-U.S. locations, an assumed weighted average long term rate of return of 2.52% was used. Input from local pension fund consultants concerning asset class return expectations and long term inflation form the basis of this assumption.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pension plan mortality assumption is based on our actual historical experience and expected future mortality improvements based on published actuarial tables. For our non-U.S. locations, mortality assumptions are based on published actuarial tables which include projections of future mortality improvements.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estimated future benefit payments from the plans as of December 31, 2020. Benefit payments for other postretirement benefits are presented net of retiree contributions and Medicare Part D Subsidy Receipts: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55"/>
        </w:trPr>
        <w:tc>
          <w:tcPr>
            <w:tcW w:w="582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Non-U.S.</w:t>
            </w:r>
          </w:p>
        </w:tc>
        <w:tc>
          <w:tcPr>
            <w:tcW w:w="14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2026-2030</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1,578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743</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33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selected information on our pension plans:</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U.S.</w:t>
            </w: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2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All plans:</w:t>
            </w: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5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4,994</w:t>
            </w:r>
          </w:p>
        </w:tc>
        <w:tc>
          <w:tcPr>
            <w:tcW w:w="120" w:type="dxa"/>
            <w:vAlign w:val="bottom"/>
          </w:tcPr>
          <w:p>
            <w:pPr>
              <w:spacing w:after="0"/>
              <w:rPr>
                <w:sz w:val="19"/>
                <w:szCs w:val="19"/>
                <w:color w:val="auto"/>
              </w:rPr>
            </w:pP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3,284</w:t>
            </w:r>
          </w:p>
        </w:tc>
        <w:tc>
          <w:tcPr>
            <w:tcW w:w="3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3,097</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Plans not fully-funded:</w:t>
            </w: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5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5,009</w:t>
            </w:r>
          </w:p>
        </w:tc>
        <w:tc>
          <w:tcPr>
            <w:tcW w:w="120" w:type="dxa"/>
            <w:vAlign w:val="bottom"/>
          </w:tcPr>
          <w:p>
            <w:pPr>
              <w:spacing w:after="0"/>
              <w:rPr>
                <w:sz w:val="19"/>
                <w:szCs w:val="19"/>
                <w:color w:val="auto"/>
              </w:rPr>
            </w:pP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933</w:t>
            </w:r>
          </w:p>
        </w:tc>
        <w:tc>
          <w:tcPr>
            <w:tcW w:w="3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4,994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856</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34"/>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4,780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non-U.S. subsidiaries maintain unfunded pension plans consistent with local practices and requirements. At December 31, 2020, these plans accounted for $264 million of our accumulated pension benefit obligation, $299 million of our projected pension benefit obligation, and $90 million of our AOCL adjustment. At December 31, 2019, these plans accounted for $247 million of our accumulated pension benefit obligation, $277 million of our projected pension benefit obligation, and $82 million of our AOCL adjustment.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contribute $25 million to $50 million to our funded non-U.S. pension plans in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health care cost trend rates at December 31 follow: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8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Health care cost trend rate assumed for the next year</w:t>
            </w:r>
          </w:p>
        </w:tc>
        <w:tc>
          <w:tcPr>
            <w:tcW w:w="10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 to which the cost trend rate is assumed to decline (the ultimate trend rate)</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2025</w:t>
            </w:r>
          </w:p>
        </w:tc>
      </w:tr>
      <w:tr>
        <w:trPr>
          <w:trHeight w:val="338"/>
        </w:trPr>
        <w:tc>
          <w:tcPr>
            <w:tcW w:w="7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Our pension plan weighted average investment allocation at December 31, by asset category, follows: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1"/>
        </w:trPr>
        <w:tc>
          <w:tcPr>
            <w:tcW w:w="5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160" w:type="dxa"/>
            <w:vAlign w:val="bottom"/>
            <w:tcBorders>
              <w:bottom w:val="single" w:sz="8" w:color="auto"/>
            </w:tcBorders>
          </w:tcPr>
          <w:p>
            <w:pPr>
              <w:spacing w:after="0"/>
              <w:rPr>
                <w:sz w:val="24"/>
                <w:szCs w:val="24"/>
                <w:color w:val="auto"/>
              </w:rPr>
            </w:pPr>
          </w:p>
        </w:tc>
      </w:tr>
      <w:tr>
        <w:trPr>
          <w:trHeight w:val="155"/>
        </w:trPr>
        <w:tc>
          <w:tcPr>
            <w:tcW w:w="55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53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short term securities</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08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Alternatives</w:t>
            </w:r>
          </w:p>
        </w:tc>
        <w:tc>
          <w:tcPr>
            <w:tcW w:w="15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0"/>
        </w:trPr>
        <w:tc>
          <w:tcPr>
            <w:tcW w:w="5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pension investment policy recognizes the long term nature of pension liabilities, and is primarily designed to offset the future impact of discount rate movements on the funded status for our plans. All assets are managed externally according to target asset allocation guidelines we have established. Manager guidelines prohibit the use of any type of investment derivative without our prior approval. Portfolio risk is controlled by having managers comply with guidelines, establishing the maximum size of any single holding in their portfolios, and using managers with different investment styles. We periodically undertake asset and liability modeling studies to determine the appropriateness of the investments.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portfolio of our U.S. pension plan assets includes holdings of global high quality and high yield fixed income securities, short term interest bearing deposits, and private equities. The target asset allocation of our U.S. pension plans is 94% in duration-matched fixed income securities and 6% in private equity and private credit securities. Actual U.S. pension fund asset allocations are reviewed on a periodic basis and the pension funds are rebalanced to target ranges on an as needed basis.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portfolios of our non-U.S. pension plans include holdings of U.S. and non-U.S. equities, global high quality and high yield fixed income securities, insurance contracts, repurchase agreements, and short term interest bearing deposits. The weighted average target asset allocation of the non-U.S. pension funds is approximately 95% fixed income and 5% equities.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pension plan assets at December 31, 2020 by asset category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Prices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2"/>
                <w:szCs w:val="12"/>
                <w:color w:val="auto"/>
              </w:rPr>
            </w:pPr>
          </w:p>
        </w:tc>
        <w:tc>
          <w:tcPr>
            <w:tcW w:w="10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00" w:type="dxa"/>
            <w:vAlign w:val="bottom"/>
          </w:tcPr>
          <w:p>
            <w:pPr>
              <w:spacing w:after="0"/>
              <w:rPr>
                <w:sz w:val="12"/>
                <w:szCs w:val="12"/>
                <w:color w:val="auto"/>
              </w:rPr>
            </w:pPr>
          </w:p>
        </w:tc>
        <w:tc>
          <w:tcPr>
            <w:tcW w:w="10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8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0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76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80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8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2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Short Term Securities</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2,843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2,842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 Bonds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Repurchase Agreements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Backed Securities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Alternatives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 Contracts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1"/>
        </w:trPr>
        <w:tc>
          <w:tcPr>
            <w:tcW w:w="288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Total Investments in the Fair</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Value Hierarchy</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4,292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4,167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194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2,104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188"/>
        </w:trPr>
        <w:tc>
          <w:tcPr>
            <w:tcW w:w="2880" w:type="dxa"/>
            <w:vAlign w:val="bottom"/>
            <w:tcBorders>
              <w:top w:val="single" w:sz="8" w:color="CFF0FC"/>
            </w:tcBorders>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Investments Measured at Net Asset</w:t>
            </w: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7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7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Value, as Practical Expedient: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Partnership Interests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Partnership Interests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 Term Securities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Alternatives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5,048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3,148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4,970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3,041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vMerge w:val="restart"/>
          </w:tcPr>
          <w:p>
            <w:pPr>
              <w:jc w:val="right"/>
              <w:ind w:right="193"/>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pension plan assets at December 31, 2019 by asset category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Prices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2"/>
                <w:szCs w:val="12"/>
                <w:color w:val="auto"/>
              </w:rPr>
            </w:pPr>
          </w:p>
        </w:tc>
        <w:tc>
          <w:tcPr>
            <w:tcW w:w="10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00" w:type="dxa"/>
            <w:vAlign w:val="bottom"/>
          </w:tcPr>
          <w:p>
            <w:pPr>
              <w:spacing w:after="0"/>
              <w:rPr>
                <w:sz w:val="12"/>
                <w:szCs w:val="12"/>
                <w:color w:val="auto"/>
              </w:rPr>
            </w:pPr>
          </w:p>
        </w:tc>
        <w:tc>
          <w:tcPr>
            <w:tcW w:w="10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8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0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76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80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8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2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Short Term Securities</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2,577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2,576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 Bonds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Repurchase Agreements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Backed Securities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Alternatives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Insurance Contracts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1"/>
        </w:trPr>
        <w:tc>
          <w:tcPr>
            <w:tcW w:w="2880" w:type="dxa"/>
            <w:vAlign w:val="bottom"/>
            <w:tcBorders>
              <w:top w:val="single" w:sz="8" w:color="CFF0FC"/>
            </w:tcBorders>
            <w:shd w:val="clear" w:color="auto" w:fill="CFF0FC"/>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Total Investments in the Fair</w:t>
            </w: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Value Hierarchy</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4,031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3,980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2,159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178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1,958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0"/>
        </w:trPr>
        <w:tc>
          <w:tcPr>
            <w:tcW w:w="28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Investments Measured at Net Asset</w:t>
            </w: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Value, as Practical Expedient: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Partnership Interests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 Term Securities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Alternatives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4,825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2,860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4,780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2020 and 2019, the Plans did not directly hold any of our common stock.</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 Investments that are measured at Net Asset Value ("NAV") as a practical expedient to estimate fair value are not classified in the fair value hierarchy. Under the practical expedient approach, the NAV is based on the fair value of the underlying investments held by each fund less its liabilities. This practical expedient would not be used when it is determined to be probable that the fund will sell the investment for an amount different than the reported NAV. The fair value amounts presented in this table are intended to permit reconciliation of the fair value hierarchy to total plan assets. Valuation methodologies used for assets and liabilities measured at fair value are as follows:</w:t>
      </w:r>
    </w:p>
    <w:p>
      <w:pPr>
        <w:spacing w:after="0" w:line="77" w:lineRule="exact"/>
        <w:rPr>
          <w:sz w:val="20"/>
          <w:szCs w:val="20"/>
          <w:color w:val="auto"/>
        </w:rPr>
      </w:pPr>
    </w:p>
    <w:p>
      <w:pPr>
        <w:jc w:val="both"/>
        <w:ind w:left="760" w:right="20" w:hanging="374"/>
        <w:spacing w:after="0" w:line="267"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Short Term Securities: </w:t>
      </w:r>
      <w:r>
        <w:rPr>
          <w:rFonts w:ascii="Times New Roman" w:cs="Times New Roman" w:eastAsia="Times New Roman" w:hAnsi="Times New Roman"/>
          <w:sz w:val="18"/>
          <w:szCs w:val="18"/>
          <w:color w:val="auto"/>
        </w:rPr>
        <w:t>Cash and cash equivalents consist of U.S. and foreign currencies. Foreign currencies are reported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dollars based on currency exchange rates readily available in active markets. Short term securities held in commingled funds are valued at the NAV of units held at year end, as determined by the investment manager.</w:t>
      </w:r>
    </w:p>
    <w:p>
      <w:pPr>
        <w:spacing w:after="0" w:line="65" w:lineRule="exact"/>
        <w:rPr>
          <w:rFonts w:ascii="Times New Roman" w:cs="Times New Roman" w:eastAsia="Times New Roman" w:hAnsi="Times New Roman"/>
          <w:sz w:val="18"/>
          <w:szCs w:val="18"/>
          <w:color w:val="auto"/>
        </w:rPr>
      </w:pPr>
    </w:p>
    <w:p>
      <w:pPr>
        <w:jc w:val="both"/>
        <w:ind w:left="760" w:hanging="374"/>
        <w:spacing w:after="0" w:line="257"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Securities: </w:t>
      </w:r>
      <w:r>
        <w:rPr>
          <w:rFonts w:ascii="Times New Roman" w:cs="Times New Roman" w:eastAsia="Times New Roman" w:hAnsi="Times New Roman"/>
          <w:sz w:val="18"/>
          <w:szCs w:val="18"/>
          <w:color w:val="auto"/>
        </w:rPr>
        <w:t>Common and preferred stock, which are held in non-U.S. companies, are valued at the closing price reported on the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on which the individual securities are traded. Commingled funds are valued at the NAV of units held at year end, as determined by a pricing vendor or the fund family. Mutual funds are valued at the NAV of shares held at year end, as determined by the closing price reported on the active market on which the individual securities are traded, or a pricing vendor or the fund family if an active market is not available. Partnership interests in private equity securities are priced based on valuations using the partnership’s latest available financial statements and the plan's percent ownership, adjusted for any cash transactions which occurred between the date of those financial statements and our year end.</w:t>
      </w:r>
    </w:p>
    <w:p>
      <w:pPr>
        <w:spacing w:after="0" w:line="74" w:lineRule="exact"/>
        <w:rPr>
          <w:rFonts w:ascii="Times New Roman" w:cs="Times New Roman" w:eastAsia="Times New Roman" w:hAnsi="Times New Roman"/>
          <w:sz w:val="18"/>
          <w:szCs w:val="18"/>
          <w:color w:val="auto"/>
        </w:rPr>
      </w:pPr>
    </w:p>
    <w:p>
      <w:pPr>
        <w:jc w:val="both"/>
        <w:ind w:left="760" w:hanging="374"/>
        <w:spacing w:after="0" w:line="254"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Securities: </w:t>
      </w:r>
      <w:r>
        <w:rPr>
          <w:rFonts w:ascii="Times New Roman" w:cs="Times New Roman" w:eastAsia="Times New Roman" w:hAnsi="Times New Roman"/>
          <w:sz w:val="18"/>
          <w:szCs w:val="18"/>
          <w:color w:val="auto"/>
        </w:rPr>
        <w:t>Corporate and government bonds, including asset backed securities, are valued at the closing price reported on the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on which the individual securities are traded, or based on institutional bid evaluations using proprietary models if an active market is not available. Repurchase agreements are valued at the contract price plus accrued interest. These secured borrowings are collateralized by government bonds held by the non-U.S. plans and have maturities less than one year. Commingled funds are valued at the NAV of units held at year end, as determined by a pricing vendor or the fund family. Mutual funds are valued at the NAV of shares held at year end, as determined by the closing price reported on the active market on which the individual securities are traded, or a pricing vendor or the fund family if an active market is not available. Partnership interests in private credit securities are priced based on valuations using the partnership’s latest available financial statements and the plan's percent ownership, adjusted for any cash transactions which occurred between the date of those financial statements and our year end.</w:t>
      </w:r>
    </w:p>
    <w:p>
      <w:pPr>
        <w:spacing w:after="0" w:line="80" w:lineRule="exact"/>
        <w:rPr>
          <w:rFonts w:ascii="Times New Roman" w:cs="Times New Roman" w:eastAsia="Times New Roman" w:hAnsi="Times New Roman"/>
          <w:sz w:val="18"/>
          <w:szCs w:val="18"/>
          <w:color w:val="auto"/>
        </w:rPr>
      </w:pPr>
    </w:p>
    <w:p>
      <w:pPr>
        <w:jc w:val="both"/>
        <w:ind w:left="760" w:hanging="374"/>
        <w:spacing w:after="0" w:line="261"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Alternatives: </w:t>
      </w:r>
      <w:r>
        <w:rPr>
          <w:rFonts w:ascii="Times New Roman" w:cs="Times New Roman" w:eastAsia="Times New Roman" w:hAnsi="Times New Roman"/>
          <w:sz w:val="18"/>
          <w:szCs w:val="18"/>
          <w:color w:val="auto"/>
        </w:rPr>
        <w:t>Commingled funds are valued based on the NAV as determined by the fund manager using the most recent financial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Other investments primarily include derivative financial instruments, which are valued using independent pricing sources which utilize industry standard derivative valuation models. Directed insurance contracts are valued as reported by the issuer, based on discounted cash flows using weighted average discount rates of 1.7% and 2.3% at December 31, 2020 and 2019, respectively.</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changes in fair value of the non-U.S. pension plan insurance contracts classified as Level 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6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24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relating to instruments still held at the reporting date</w:t>
            </w:r>
          </w:p>
        </w:tc>
        <w:tc>
          <w:tcPr>
            <w:tcW w:w="2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sales, issuances and settlements (net)</w:t>
            </w:r>
          </w:p>
        </w:tc>
        <w:tc>
          <w:tcPr>
            <w:tcW w:w="2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24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6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26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Savings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employees in the U.S. and employees of certain non-U.S. locations are eligible to participate in a defined contribution savings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recognized for contributions to these plans were $100 million, $110 million and $111 million for 2020, 2019 and 2018,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Stock Compensation Plans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stock compensation plans (collectively, the “Plans”) permit the grant of stock options, stock appreciation rights (“SARs”), performance share units, restricted stock, restricted stock units and other stock-based awards to employees and directors. Our current stock compensation plan, the 2017 Performance Plan, was adopted on April 10, 2017 and expires on April 9, 2027. A total of 18 million shares of our common stock may be issued in respect of grants made under the 2017 Performance Plan. Any shares of common stock that are subject to awards of stock options or SARs will be counted as one share for each share granted for purposes of the aggregate share limit and any shares of common stock that are subject to any other awards will be counted as 2 shares for each share granted for purposes of the aggregate share limit. In addition, shares of common stock that are subject to awards issued under the 2017 Performance Plan or certain prior stock compensation plans that expire according to their terms or are forfeited, terminated, canceled or surrendered or are settled, or can be paid, only in cash, or are surrendered in payment of taxes associated with such awards (other than stock options or SARs) will be available for issuance pursuant to a new award under the 2017 Performance Plan. Shares issued under our stock compensation plans are usually issued from shares of our common stock held in treasury.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Grants of stock options and SARs (collectively referred to as “options”) under the Plans generally have a graded vesting period of four years whereby one-fourth of the awards vest on each of the first four anniversaries of the grant date, an exercise price equal to the fair market value of one share of our common stock on the date of grant (i.e., the closing market price on that date) and a contractual term of ten years. The exercise of tandem SARs cancels an equivalent number of stock options and, conversely, the exercise of stock options cancels an equivalent number of tandem SARs. Option grants are cancelled on, or 90 days following, termination of employment unless termination is due to retirement, death or disability under certain circumstances, in which case, all outstanding options vest fully and remain outstanding for a term set forth in the related grant agreement.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options during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8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56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6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8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24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6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8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08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at January 1</w:t>
            </w:r>
          </w:p>
        </w:tc>
        <w:tc>
          <w:tcPr>
            <w:tcW w:w="124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4,998,021</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20.61</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granted</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4,167,384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12.68</w:t>
            </w:r>
          </w:p>
        </w:tc>
        <w:tc>
          <w:tcPr>
            <w:tcW w:w="14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expired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(370,938)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12.44</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Options cancelled</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(73,517)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18.83</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w:t>
            </w: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8,700,732</w:t>
            </w:r>
          </w:p>
        </w:tc>
        <w:tc>
          <w:tcPr>
            <w:tcW w:w="14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1060" w:type="dxa"/>
            <w:vAlign w:val="bottom"/>
            <w:tcBorders>
              <w:bottom w:val="single" w:sz="8" w:color="CFF0FC"/>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15.97</w:t>
            </w:r>
          </w:p>
        </w:tc>
        <w:tc>
          <w:tcPr>
            <w:tcW w:w="140" w:type="dxa"/>
            <w:vAlign w:val="bottom"/>
            <w:tcBorders>
              <w:bottom w:val="single" w:sz="8" w:color="CFF0FC"/>
            </w:tcBorders>
          </w:tcPr>
          <w:p>
            <w:pPr>
              <w:spacing w:after="0"/>
              <w:rPr>
                <w:sz w:val="22"/>
                <w:szCs w:val="22"/>
                <w:color w:val="auto"/>
              </w:rPr>
            </w:pPr>
          </w:p>
        </w:tc>
        <w:tc>
          <w:tcPr>
            <w:tcW w:w="1240" w:type="dxa"/>
            <w:vAlign w:val="bottom"/>
            <w:tcBorders>
              <w:bottom w:val="single" w:sz="8" w:color="CFF0FC"/>
            </w:tcBorders>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5.9</w:t>
            </w:r>
          </w:p>
        </w:tc>
        <w:tc>
          <w:tcPr>
            <w:tcW w:w="14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1080" w:type="dxa"/>
            <w:vAlign w:val="bottom"/>
            <w:tcBorders>
              <w:bottom w:val="single" w:sz="8" w:color="CFF0FC"/>
            </w:tcBorders>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w:t>
            </w: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8,604,644</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w:t>
            </w: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20.98</w:t>
            </w:r>
          </w:p>
        </w:tc>
        <w:tc>
          <w:tcPr>
            <w:tcW w:w="140" w:type="dxa"/>
            <w:vAlign w:val="bottom"/>
          </w:tcPr>
          <w:p>
            <w:pPr>
              <w:spacing w:after="0" w:line="20" w:lineRule="exact"/>
              <w:rPr>
                <w:sz w:val="1"/>
                <w:szCs w:val="1"/>
                <w:color w:val="auto"/>
              </w:rPr>
            </w:pPr>
          </w:p>
        </w:tc>
        <w:tc>
          <w:tcPr>
            <w:tcW w:w="1240" w:type="dxa"/>
            <w:vAlign w:val="bottom"/>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vMerge w:val="restart"/>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4,462,091</w:t>
            </w:r>
          </w:p>
        </w:tc>
        <w:tc>
          <w:tcPr>
            <w:tcW w:w="14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1060" w:type="dxa"/>
            <w:vAlign w:val="bottom"/>
            <w:tcBorders>
              <w:bottom w:val="single" w:sz="8" w:color="CFF0FC"/>
            </w:tcBorders>
            <w:vMerge w:val="continue"/>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240" w:type="dxa"/>
            <w:vAlign w:val="bottom"/>
            <w:tcBorders>
              <w:bottom w:val="single" w:sz="8" w:color="CFF0FC"/>
            </w:tcBorders>
            <w:vMerge w:val="continue"/>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1080" w:type="dxa"/>
            <w:vAlign w:val="bottom"/>
            <w:tcBorders>
              <w:bottom w:val="single" w:sz="8" w:color="CFF0FC"/>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 for grant at December 31</w:t>
            </w: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6,659,546</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aggregate intrinsic value of options exercised in 2019 and 2018 was $3 million and $9 million, respectively.</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Significant option groups outstanding at December 31, 2020 and related weighted average exercise price and remaining contractual term information follows:</w:t>
      </w:r>
    </w:p>
    <w:tbl>
      <w:tblPr>
        <w:tblLayout w:type="fixed"/>
        <w:tblInd w:w="0" w:type="dxa"/>
        <w:tblCellMar>
          <w:top w:w="0" w:type="dxa"/>
          <w:left w:w="0" w:type="dxa"/>
          <w:bottom w:w="0" w:type="dxa"/>
          <w:right w:w="0" w:type="dxa"/>
        </w:tblCellMar>
      </w:tblPr>
      <w:tr>
        <w:trPr>
          <w:trHeight w:val="137"/>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4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60" w:type="dxa"/>
            <w:vAlign w:val="bottom"/>
          </w:tcPr>
          <w:p>
            <w:pPr>
              <w:jc w:val="center"/>
              <w:ind w:right="36"/>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38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5840" w:type="dxa"/>
            <w:vAlign w:val="bottom"/>
            <w:gridSpan w:val="2"/>
            <w:vMerge w:val="continue"/>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2/25/2020</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4,142,384</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2/27/2017</w:t>
            </w:r>
          </w:p>
        </w:tc>
        <w:tc>
          <w:tcPr>
            <w:tcW w:w="14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556,409</w:t>
            </w:r>
          </w:p>
        </w:tc>
        <w:tc>
          <w:tcPr>
            <w:tcW w:w="14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465,203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35.26</w:t>
            </w:r>
          </w:p>
        </w:tc>
        <w:tc>
          <w:tcPr>
            <w:tcW w:w="14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2/22/2016</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542,625</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542,625</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29.90</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2/23/2015</w:t>
            </w:r>
          </w:p>
        </w:tc>
        <w:tc>
          <w:tcPr>
            <w:tcW w:w="14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493,730</w:t>
            </w:r>
          </w:p>
        </w:tc>
        <w:tc>
          <w:tcPr>
            <w:tcW w:w="14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493,730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27.16</w:t>
            </w:r>
          </w:p>
        </w:tc>
        <w:tc>
          <w:tcPr>
            <w:tcW w:w="14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2/24/2014</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381,617</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381,617</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26.44</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2/28/2013</w:t>
            </w:r>
          </w:p>
        </w:tc>
        <w:tc>
          <w:tcPr>
            <w:tcW w:w="14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904,580</w:t>
            </w:r>
          </w:p>
        </w:tc>
        <w:tc>
          <w:tcPr>
            <w:tcW w:w="14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904,580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12.98</w:t>
            </w:r>
          </w:p>
        </w:tc>
        <w:tc>
          <w:tcPr>
            <w:tcW w:w="14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2/27/2012</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721,878</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721,878</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12.94</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2/22/2011</w:t>
            </w:r>
          </w:p>
        </w:tc>
        <w:tc>
          <w:tcPr>
            <w:tcW w:w="14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523,979</w:t>
            </w:r>
          </w:p>
        </w:tc>
        <w:tc>
          <w:tcPr>
            <w:tcW w:w="14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523,979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13.91</w:t>
            </w:r>
          </w:p>
        </w:tc>
        <w:tc>
          <w:tcPr>
            <w:tcW w:w="14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w:t>
            </w: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433,530</w:t>
            </w:r>
          </w:p>
        </w:tc>
        <w:tc>
          <w:tcPr>
            <w:tcW w:w="1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428,479</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8,700,732</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4,462,091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left="780" w:hanging="772"/>
        <w:spacing w:after="0" w:line="266" w:lineRule="auto"/>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in the “All other” category had exercise prices ranging from $9.54 to $32.72. The weighted average exercise price for options outstanding and exercisable in that category was $21.45 and $21.32, respectively, while the remaining weighted average contractual term was 3.0 years for both.</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grant date fair values of stock options and the assumptions used in estimating those fair values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8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10.12</w:t>
            </w:r>
          </w:p>
        </w:tc>
      </w:tr>
      <w:tr>
        <w:trPr>
          <w:trHeight w:val="229"/>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Black-Scholes model assumptions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9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Expected term (years)</w:t>
            </w:r>
          </w:p>
        </w:tc>
        <w:tc>
          <w:tcPr>
            <w:tcW w:w="44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w:t>
            </w:r>
          </w:p>
        </w:tc>
        <w:tc>
          <w:tcPr>
            <w:tcW w:w="4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9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Volatility</w:t>
            </w:r>
          </w:p>
        </w:tc>
        <w:tc>
          <w:tcPr>
            <w:tcW w:w="4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41.28%</w:t>
            </w:r>
          </w:p>
        </w:tc>
      </w:tr>
      <w:tr>
        <w:trPr>
          <w:trHeight w:val="234"/>
        </w:trPr>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yield</w:t>
            </w:r>
          </w:p>
        </w:tc>
        <w:tc>
          <w:tcPr>
            <w:tcW w:w="4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r>
    </w:tbl>
    <w:p>
      <w:pPr>
        <w:spacing w:after="0" w:line="98" w:lineRule="exact"/>
        <w:rPr>
          <w:sz w:val="20"/>
          <w:szCs w:val="20"/>
          <w:color w:val="auto"/>
        </w:rPr>
      </w:pPr>
    </w:p>
    <w:p>
      <w:pPr>
        <w:ind w:left="780" w:right="20" w:hanging="772"/>
        <w:spacing w:after="0" w:line="282" w:lineRule="auto"/>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review the assumptions used in our Black-Scholes model in conjunction with estimating the grant date fair value of grants of options by our Board of Directors. There were no stock options granted during 2019 or 2018.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 share units granted under the Plans are earned over a three-year period beginning January 1 of the year of grant. Total units earned for grants made in 2020 may vary between 0% and 133%, and grants made during 2019 and 2018 may vary between 0% and 200% of the units granted based on the attainment of performance targets during the related three-year period and continued service. The performance targets are established by the Board of Directors. All of the units earned will be settled through the issuance of an equivalent number of shares of our common stock and are equity classified.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performance share units during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660" w:type="dxa"/>
            <w:vAlign w:val="bottom"/>
            <w:vMerge w:val="restart"/>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720" w:type="dxa"/>
            <w:vAlign w:val="bottom"/>
            <w:tcBorders>
              <w:bottom w:val="single" w:sz="8" w:color="CFF0FC"/>
            </w:tcBorders>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at January 1</w:t>
            </w:r>
          </w:p>
        </w:tc>
        <w:tc>
          <w:tcPr>
            <w:tcW w:w="16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588,000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20.98</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Units granted</w:t>
            </w: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171,871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Units vested</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(154,141)</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Units forfeited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jc w:val="right"/>
              <w:ind w:right="58"/>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at December 31</w:t>
            </w:r>
          </w:p>
        </w:tc>
        <w:tc>
          <w:tcPr>
            <w:tcW w:w="16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594,780</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15.02</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measure the fair value of grants of performance share units based primarily on the closing market price of a share of our common stock on the date of the grant, modified as appropriate to take into account the features of such grants.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units granted under the Plans typically vest over a three-year period beginning on the date of grant. Restricted stock units will be settled through the issuance of an equivalent number of shares of our common stock and are equity classified.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restricted stock units during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660" w:type="dxa"/>
            <w:vAlign w:val="bottom"/>
            <w:vMerge w:val="restart"/>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720" w:type="dxa"/>
            <w:vAlign w:val="bottom"/>
            <w:tcBorders>
              <w:bottom w:val="single" w:sz="8" w:color="CFF0FC"/>
            </w:tcBorders>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at January 1</w:t>
            </w:r>
          </w:p>
        </w:tc>
        <w:tc>
          <w:tcPr>
            <w:tcW w:w="16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2,734,475</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23.21</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Units granted</w:t>
            </w: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600,712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Units vested and settled</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(646,444)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24.50</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Units forfeited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(119,870)</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jc w:val="right"/>
              <w:ind w:right="58"/>
              <w:spacing w:after="0"/>
              <w:rPr>
                <w:sz w:val="20"/>
                <w:szCs w:val="20"/>
                <w:color w:val="auto"/>
              </w:rPr>
            </w:pPr>
            <w:r>
              <w:rPr>
                <w:rFonts w:ascii="Times New Roman" w:cs="Times New Roman" w:eastAsia="Times New Roman" w:hAnsi="Times New Roman"/>
                <w:sz w:val="18"/>
                <w:szCs w:val="18"/>
                <w:color w:val="auto"/>
              </w:rPr>
              <w:t>18.80</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at December 31</w:t>
            </w:r>
          </w:p>
        </w:tc>
        <w:tc>
          <w:tcPr>
            <w:tcW w:w="16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2,568,873</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19.50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measure the fair value of grants of restricted stock units based on the closing market price of a share of our common stock on the date of the grant.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cash payments made to settle SARs and cash received from the exercise of stock options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 recognized</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Tax benefit</w:t>
            </w:r>
          </w:p>
        </w:tc>
        <w:tc>
          <w:tcPr>
            <w:tcW w:w="16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After-tax stock-based compensation expense</w:t>
            </w:r>
          </w:p>
        </w:tc>
        <w:tc>
          <w:tcPr>
            <w:tcW w:w="16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payments to settle SARs</w:t>
            </w:r>
          </w:p>
        </w:tc>
        <w:tc>
          <w:tcPr>
            <w:tcW w:w="1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received from stock option exercises</w:t>
            </w:r>
          </w:p>
        </w:tc>
        <w:tc>
          <w:tcPr>
            <w:tcW w:w="19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2020, unearned compensation cost related to the unvested portion of all stock-based awards was $22 million and is expected to be recognized over the remaining vesting period of the respective grants, through the fourth quarter of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recorded liabilities totaling $64 million and $48 million at December 31, 2020 and 2019, respectively, for anticipated costs related to various environmental matters, primarily the remediation of numerous waste disposal sites and certain properties sold by us. The increase in our recorded reserve was primarily related to a $13 million charge for an environmental remediation liability at a closed facility during 2020. Of these amounts, $16 million and $13 million was included in Other Current Liabilities at December 31, 2020 and 2019,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Workers’ Compensation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recorded liabilities, on a discounted basis, totaling $196 million and $198 million for anticipated costs related to workers’ compensation at December 31, 2020 and 2019, respectively. Of these amounts, $29 million and $39 million were included in Current Liabilities as part of Compensation and Benefits at December 31, 2020 and 2019,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December 31, 2020 and 2019, the liability was discounted using a risk-free rate of return. At December 31, 2020, we estimate that it is reasonably possible that the liability could exceed our recorded amounts by approximately $25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-140335</wp:posOffset>
            </wp:positionV>
            <wp:extent cx="25400"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Product Liability and Other Litigation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recorded liabilities totaling $285 million and $293 million, including related legal fees expected to be incurred, for potential product liability and other tort claims, including asbestos claims, at December 31, 2020 and 2019, respectively. Of these amounts, $38 million and $43 million were included in Other Current Liabilities at December 31, 2020 and 2019, respectively. The amounts recorded were estimated based on an assessment of potential liability using an analysis of available information with respect to pending claims, historical experience and, where available, recent and current trends. Based upon that assessment, at December 31, 2020,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recorded an indemnification asset within Accounts Receivable of $1 million and within Other Assets of $23 million for Sumitomo Rubber Industries, Ltd.'s ("SRI") obligation to indemnify us for certain product liability claims related to products manufactured by a formerly consolidated joint venture entity, subject to certain caps and restrictions.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Asbestos. </w:t>
      </w:r>
      <w:r>
        <w:rPr>
          <w:rFonts w:ascii="Times New Roman" w:cs="Times New Roman" w:eastAsia="Times New Roman" w:hAnsi="Times New Roman"/>
          <w:sz w:val="18"/>
          <w:szCs w:val="18"/>
          <w:color w:val="auto"/>
        </w:rPr>
        <w:t>We are a defendant in numerous lawsuits alleging various asbestos-related personal injuries purported to result from alleged exposure to asbestos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certain products manufactured by us or present in certain of our facilities. Typically, these lawsuits have been brought against multiple defendants in state and federal courts. To date, we have disposed of approximately 154,200 claims by defending, obtaining a dismissal thereof, or entering into a settlement. The sum of our accrued asbestos-related liability and gross payments to date, including legal costs, by us and our insurers totaled $563 million and $554 million through December 31, 2020 and 2019, respectively.</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recent approximate asbestos claims activity follows. Because claims are often filed and disposed of by dismissal or settlement in large numbers, the amount and timing of settlements and the number of open claims during a particular period can fluctuate significantly.</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Pending claims, beginning of year</w:t>
            </w: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39,600</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43,100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54,300</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New claims filed during the year</w:t>
            </w:r>
          </w:p>
        </w:tc>
        <w:tc>
          <w:tcPr>
            <w:tcW w:w="8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1,300</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settled/dismissed</w:t>
            </w:r>
          </w:p>
        </w:tc>
        <w:tc>
          <w:tcPr>
            <w:tcW w:w="8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63"/>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Pending claims, end of year</w:t>
            </w:r>
          </w:p>
        </w:tc>
        <w:tc>
          <w:tcPr>
            <w:tcW w:w="8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38,700</w:t>
            </w:r>
          </w:p>
        </w:tc>
        <w:tc>
          <w:tcPr>
            <w:tcW w:w="160" w:type="dxa"/>
            <w:vAlign w:val="bottom"/>
            <w:tcBorders>
              <w:bottom w:val="single" w:sz="8" w:color="CFF0FC"/>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39,600</w:t>
            </w: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43,100</w:t>
            </w:r>
          </w:p>
        </w:tc>
      </w:tr>
      <w:tr>
        <w:trPr>
          <w:trHeight w:val="210"/>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w:t>
            </w:r>
            <w:r>
              <w:rPr>
                <w:rFonts w:ascii="Times New Roman" w:cs="Times New Roman" w:eastAsia="Times New Roman" w:hAnsi="Times New Roman"/>
                <w:sz w:val="15"/>
                <w:szCs w:val="15"/>
                <w:color w:val="auto"/>
              </w:rPr>
              <w:t>(1)</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6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780" w:hanging="772"/>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payments made during the period by us and our insurers on asbestos litigation defense and claim resolution.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$149 million and $153 million at December 31, 2020 and 2019,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insurance receivable related to asbestos claims of $90 million and $95 million at December 31, 2020 and 2019, respectively. We expect that approximately 60% of asbestos claim related losses would be recoverable through insurance during the ten-year period covered by the estimated liability. Of these amounts, $13 million was included in Current Assets as part of Accounts Receivable at both December 31, 2020 and 2019.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at December 31, 2020, we had approximately $550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reserve for asbestos claims, and the receivable for recoveries from insurance carriers recorded in respect of these claims, reflects reasonable and probable estimates of these amounts. The estimate of the liabilities and assets related to pending and expected future asbestos claims and insurance recoveries is subject to numerous uncertainties, including, but not limited to, changes in:</w:t>
      </w:r>
    </w:p>
    <w:p>
      <w:pPr>
        <w:spacing w:after="0" w:line="68" w:lineRule="exact"/>
        <w:rPr>
          <w:sz w:val="20"/>
          <w:szCs w:val="20"/>
          <w:color w:val="auto"/>
        </w:rPr>
      </w:pPr>
    </w:p>
    <w:p>
      <w:pPr>
        <w:ind w:left="760" w:hanging="374"/>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litigation environment,</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 governing the compensation of asbestos claimants,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recoverability of receivables due to potential insolvency of insurance carriers,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defending and resolving claims,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payments made to claimants from other sources, including other defendants and 524(g) trusts.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Amiens Labor Claims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Approximately 850 former employees of the closed Amiens, France manufacturing facility have asserted wrongful termination or other claims totaling approximately €140 million ($172 million) against Goodyear France SAS. On May 28, 2020, Goodyear France SAS received a judgment from the labor court with respect to approximately 790 of these former employees. As a result of this ruling and settlement discussions to resolve these claims and other similar claims, we accrued approximately €27 million ($30 million) during 2020 for estimated additional termination benefits. We have appealed this ruling and will continue to defend ourselves against these claims and any additional claims that may be asserted against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Matters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Company applies consistent transfer pricing policies and practices globally, supports transfer prices through economic studies, seeks advance pricing agreements and joint audits to the extent possible and believes its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Binding Commitments and Guarantees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2020, we had binding commitments for raw materials, capital expenditures, utilities and various other types of contracts. Total commitments on contracts that extend beyond 2021 are expected to total approximately $1.0 billion. In addition, we have other contractual commitments, the amounts of which cannot be estimated, pursuant to certain long term agreements under which we will purchase varying amounts of certain raw materials and finished goods at agreed upon base prices that may be subject to periodic adjustments for changes in raw material costs and market price adjustments, or in quantities that may be subject to periodic adjustments for changes in our or our suppliers' production levels.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off-balance sheet financial guarantees and other commitments totaling $73 million and $74 million at December 31, 2020 and 2019, respectively. We issue guarantees to financial institutions or other entities on behalf of certain of our affiliates, lessors or customers. We generally do not receive a separate premium as consideration for, and do not require collateral in connection with, the issuance of these guarantees.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2017, we issued a guarantee of approximately PLN 165 million ($44 million) in connection with an indirect tax assessment in EMEA. As of December 31, 2020, this guarantee amount has been increased to PLN 181 million ($49 million). We have concluded our performance under this guarantee is not probable and, therefore, have not recorded a liability for this guarantee. In 2015, as a result of the dissolution of the global alliance with SRI, we issued a guarantee of $46 million to an insurance company related to SRI's obligation to pay certain outstanding workers' compensation claims of a formerly consolidated joint venture entity. As of December 31, 2020, this guarantee amount has been reduced to $23 million. We have concluded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 If our performance under these guarantees is triggered by non-payment or another specified event, we would be obligated to make payment to the financial institution or the other entity, and would typically have recourse to the affiliate, lessor, customer, or SRI. Except for the workers' compensation guarantee described above, the guarantees expire at various times through 2021. We are unable to estimate the extent to which our affiliates’, lessors’, customers’, or SRI's assets would be adequate to recover any payments made by us under the related guarantees.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2020, we had an agreement to provide a revolving loan commitment to TireHub of up to $100 million. As of December 31, 2020, $14 million was drawn on this commitment.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2020, we were a party to various agreements under which we had assumed obligations to indemnify the counterparties from certain potential claims and losses. These agreements typically involve standard commercial activities undertaken by us in the normal course of business; the sale of assets by us; the formation or dissolution of joint venture businesses to which we had contributed assets in exchange for ownership interests; and other financial transactions. Indemnifications provided by us pursuant to these agreements relate to various matters including, among other things, environmental, tax and shareholder matters; intellectual property rights; government regulations; employment-related matters; and dealer, supplier and other commercial matters.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indemnifications expire from time to time, and certain other indemnifications are not subject to an expiration date. In addition, our potential liability under certain indemnifications is subject to maximum caps, while other indemnifications are not subject to caps. Although we have been subject to indemnification claims in the past, we cannot reasonably estimate the number, type and size of indemnification claims that may arise in the future. Due to these and other uncertainties associated with the indemnifications, our maximum exposure to loss under these agreements cannot be estimated.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determined that there are no indemnifications or guarantees other than liabilities for which amounts are already recorded or reserved in our consolidated financial statements under which it is probable that we have incurred a liability.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recorded $22 million for potential claims under warranties offered by us at both December 31, 2020 and 2019, the majority of which are recorded in Other Current Liabilities.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warranty reserve during 2020 and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36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29"/>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made during the period</w:t>
            </w:r>
          </w:p>
        </w:tc>
        <w:tc>
          <w:tcPr>
            <w:tcW w:w="3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Expense recorded during the period</w:t>
            </w:r>
          </w:p>
        </w:tc>
        <w:tc>
          <w:tcPr>
            <w:tcW w:w="3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Translation adjustment</w:t>
            </w:r>
          </w:p>
        </w:tc>
        <w:tc>
          <w:tcPr>
            <w:tcW w:w="36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36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62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114</w:t>
            </w: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10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2020, 2019 and 2018, we paid cash dividends of $37 million, $148 million and $138 million, respectively, on our common stock. This excludes dividends earned on stock based compensation plans of $1 million, $2 million and $1 million for the years 2020, 2019 and 2018, respectively. On April 16, 2020, we announced that we have suspended the quarterly dividend on our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repurchase shares of our common stock under programs approved by the Board of Directors. During 2020 and 2019, we did not repurchase any shares of our common stock. During 2018, we repurchased shares totaling approximately $220 million under a program that expired on December 31, 2019.</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2020, 2019 and 2018, we did not repurchase any shares from employees.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Reclassifications out of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AOCL by component for the years ended December 31, 2020, 2019 and 2018, after tax and minority interest: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Net Actuarial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Losses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160" w:type="dxa"/>
            <w:vAlign w:val="bottom"/>
          </w:tcPr>
          <w:p>
            <w:pPr>
              <w:spacing w:after="0"/>
              <w:rPr>
                <w:sz w:val="12"/>
                <w:szCs w:val="12"/>
                <w:color w:val="auto"/>
              </w:rPr>
            </w:pPr>
          </w:p>
        </w:tc>
        <w:tc>
          <w:tcPr>
            <w:tcW w:w="108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Prior Service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2017</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(3,052)</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(3,976)</w:t>
            </w: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(4,076)</w:t>
            </w: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r>
              <w:rPr>
                <w:rFonts w:ascii="Times New Roman" w:cs="Times New Roman" w:eastAsia="Times New Roman" w:hAnsi="Times New Roman"/>
                <w:sz w:val="15"/>
                <w:szCs w:val="15"/>
                <w:color w:val="auto"/>
              </w:rPr>
              <w:t>(1)</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(4,136)</w:t>
            </w: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r>
              <w:rPr>
                <w:rFonts w:ascii="Times New Roman" w:cs="Times New Roman" w:eastAsia="Times New Roman" w:hAnsi="Times New Roman"/>
                <w:sz w:val="15"/>
                <w:szCs w:val="15"/>
                <w:color w:val="auto"/>
              </w:rPr>
              <w:t>(1)</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(1,284)</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780" w:hanging="772"/>
        <w:spacing w:after="0" w:line="282" w:lineRule="auto"/>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adjustments to AOCL of $27 million and $(32) million in 2020 and 2019, respectively, to adjust the respective prior year obligation of our frozen U.K. pension plan.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reclassifications out of AOCL for the years ended December 31, 2020, 2019 and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(Income) Expense</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tcBorders>
              <w:bottom w:val="single" w:sz="8" w:color="auto"/>
            </w:tcBorders>
            <w:gridSpan w:val="3"/>
          </w:tcPr>
          <w:p>
            <w:pPr>
              <w:jc w:val="right"/>
              <w:ind w:right="23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2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31"/>
        </w:trPr>
        <w:tc>
          <w:tcPr>
            <w:tcW w:w="536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Component of AOCL</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0" w:type="dxa"/>
            <w:vAlign w:val="bottom"/>
            <w:gridSpan w:val="6"/>
          </w:tcPr>
          <w:p>
            <w:pPr>
              <w:jc w:val="center"/>
              <w:ind w:left="113"/>
              <w:spacing w:after="0" w:line="131" w:lineRule="exact"/>
              <w:rPr>
                <w:sz w:val="20"/>
                <w:szCs w:val="20"/>
                <w:color w:val="auto"/>
              </w:rPr>
            </w:pPr>
            <w:r>
              <w:rPr>
                <w:rFonts w:ascii="Times New Roman" w:cs="Times New Roman" w:eastAsia="Times New Roman" w:hAnsi="Times New Roman"/>
                <w:sz w:val="14"/>
                <w:szCs w:val="14"/>
                <w:b w:val="1"/>
                <w:bCs w:val="1"/>
                <w:color w:val="auto"/>
              </w:rPr>
              <w:t>Amount Reclassified from</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3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8"/>
              </w:rPr>
              <w:t>AOCL</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prior service cost and unrecognized gains and losses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137</w:t>
            </w:r>
          </w:p>
        </w:tc>
        <w:tc>
          <w:tcPr>
            <w:tcW w:w="42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FF0FC"/>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11"/>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Immediate recognition of prior service cost and unrecognized gains and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(Income) Expense /</w:t>
            </w:r>
          </w:p>
        </w:tc>
        <w:tc>
          <w:tcPr>
            <w:tcW w:w="0" w:type="dxa"/>
            <w:vAlign w:val="bottom"/>
          </w:tcPr>
          <w:p>
            <w:pPr>
              <w:spacing w:after="0"/>
              <w:rPr>
                <w:sz w:val="1"/>
                <w:szCs w:val="1"/>
                <w:color w:val="auto"/>
              </w:rPr>
            </w:pPr>
          </w:p>
        </w:tc>
      </w:tr>
      <w:tr>
        <w:trPr>
          <w:trHeight w:val="234"/>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losses due to curtailments, settlements and divestitures</w:t>
            </w:r>
          </w:p>
        </w:tc>
        <w:tc>
          <w:tcPr>
            <w:tcW w:w="1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3100" w:type="dxa"/>
            <w:vAlign w:val="bottom"/>
            <w:tcBorders>
              <w:bottom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Rationalizations</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Unrecognized Net Actuarial Losses and Prior Service Costs, before tax</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FF0FC"/>
          </w:tcPr>
          <w:p>
            <w:pPr>
              <w:spacing w:after="0"/>
              <w:rPr>
                <w:sz w:val="19"/>
                <w:szCs w:val="19"/>
                <w:color w:val="auto"/>
              </w:rPr>
            </w:pPr>
          </w:p>
        </w:tc>
        <w:tc>
          <w:tcPr>
            <w:tcW w:w="2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Tax effect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100" w:type="dxa"/>
            <w:vAlign w:val="bottom"/>
            <w:tcBorders>
              <w:bottom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of tax</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3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Deferred Derivative (Gains) Losses</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 effect</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of tax</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100" w:type="dxa"/>
            <w:vAlign w:val="bottom"/>
            <w:tcBorders>
              <w:bottom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reclassifications</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118</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w:t>
            </w:r>
          </w:p>
        </w:tc>
        <w:tc>
          <w:tcPr>
            <w:tcW w:w="310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5360" w:type="dxa"/>
            <w:vAlign w:val="bottom"/>
          </w:tcPr>
          <w:p>
            <w:pPr>
              <w:spacing w:after="0"/>
              <w:rPr>
                <w:sz w:val="24"/>
                <w:szCs w:val="24"/>
                <w:color w:val="auto"/>
              </w:rPr>
            </w:pPr>
          </w:p>
        </w:tc>
        <w:tc>
          <w:tcPr>
            <w:tcW w:w="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First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Second</w:t>
            </w:r>
          </w:p>
        </w:tc>
        <w:tc>
          <w:tcPr>
            <w:tcW w:w="180" w:type="dxa"/>
            <w:vAlign w:val="bottom"/>
          </w:tcPr>
          <w:p>
            <w:pPr>
              <w:spacing w:after="0"/>
              <w:rPr>
                <w:sz w:val="13"/>
                <w:szCs w:val="13"/>
                <w:color w:val="auto"/>
              </w:rPr>
            </w:pPr>
          </w:p>
        </w:tc>
        <w:tc>
          <w:tcPr>
            <w:tcW w:w="940" w:type="dxa"/>
            <w:vAlign w:val="bottom"/>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Third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Fourth</w:t>
            </w:r>
          </w:p>
        </w:tc>
        <w:tc>
          <w:tcPr>
            <w:tcW w:w="240" w:type="dxa"/>
            <w:vAlign w:val="bottom"/>
          </w:tcPr>
          <w:p>
            <w:pPr>
              <w:spacing w:after="0"/>
              <w:rPr>
                <w:sz w:val="13"/>
                <w:szCs w:val="13"/>
                <w:color w:val="auto"/>
              </w:rPr>
            </w:pPr>
          </w:p>
        </w:tc>
        <w:tc>
          <w:tcPr>
            <w:tcW w:w="900" w:type="dxa"/>
            <w:vAlign w:val="bottom"/>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3,465</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3,656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12,321</w:t>
            </w: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Minority Shareholders’ Net Income (Loss)</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3"/>
        </w:trPr>
        <w:tc>
          <w:tcPr>
            <w:tcW w:w="4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Goodyear Net Income (Loss)</w:t>
            </w:r>
          </w:p>
        </w:tc>
        <w:tc>
          <w:tcPr>
            <w:tcW w:w="3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(619)</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(696)</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(1,254)</w:t>
            </w:r>
          </w:p>
        </w:tc>
        <w:tc>
          <w:tcPr>
            <w:tcW w:w="0" w:type="dxa"/>
            <w:vAlign w:val="bottom"/>
          </w:tcPr>
          <w:p>
            <w:pPr>
              <w:spacing w:after="0"/>
              <w:rPr>
                <w:sz w:val="1"/>
                <w:szCs w:val="1"/>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Goodyear Net Income (Loss) - Per Share of Common Stock:*</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Basic</w:t>
            </w:r>
          </w:p>
        </w:tc>
        <w:tc>
          <w:tcPr>
            <w:tcW w:w="36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0"/>
        </w:trPr>
        <w:tc>
          <w:tcPr>
            <w:tcW w:w="4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Diluted</w:t>
            </w: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Diluted</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Share of Common Stock</w:t>
            </w: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Selected Balance Sheet Items at Quarter-End:</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16,691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15,827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16,192</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Debt and Finance Leases</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6,524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6,981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6,648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5,990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Goodyear Shareholders’ Equity</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3,697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3,013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3,039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780" w:right="20" w:hanging="772"/>
        <w:spacing w:after="0" w:line="282" w:lineRule="auto"/>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anti-dilutive impact of potentially dilutive securities on periods with a Goodyear net loss, as well as weighted average shares changing throughout the year, the quarterly earnings per share amounts may not add to the full year.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numbers presented below are after-tax and minority.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first quarter of 2020 included net discrete tax charges of $290 million, a goodwill impairment charge of $178 million, rationalization charges of $7 million, and accelerated depreciation of $4 million.</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second quarter of 2020 included an impairment charge related to our investment in TireHub of $113 million, rationalization charges of $76 million, accelerated depreciation of $65 million, net losses on asset sales of $3 million, and net discrete tax charges of $2 million.</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third quarter of 2020 included rationalization charges of $20 million, pension settlement charges of $12 million, net charges of $5 million related to indirect tax items, and accelerated depreciation of $3 million. The third quarter of 2020 also included net discrete tax benefits of $14 million.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fourth quarter of 2020 included net discrete tax charges of $26 million, rationalization charges of $23 million, an environmental remediation charge of $10 million, accelerated depreciation of $9 million, and legal claims related to discontinued operations of $2 million. The fourth quarter of 2020 also included a gain for a one-time legal settlement of $26 million and favorable indirect tax items of $4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87"/>
        </w:trPr>
        <w:tc>
          <w:tcPr>
            <w:tcW w:w="4840" w:type="dxa"/>
            <w:vAlign w:val="bottom"/>
          </w:tcPr>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6"/>
        </w:trPr>
        <w:tc>
          <w:tcPr>
            <w:tcW w:w="4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8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First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Second</w:t>
            </w:r>
          </w:p>
        </w:tc>
        <w:tc>
          <w:tcPr>
            <w:tcW w:w="180" w:type="dxa"/>
            <w:vAlign w:val="bottom"/>
          </w:tcPr>
          <w:p>
            <w:pPr>
              <w:spacing w:after="0"/>
              <w:rPr>
                <w:sz w:val="13"/>
                <w:szCs w:val="13"/>
                <w:color w:val="auto"/>
              </w:rPr>
            </w:pPr>
          </w:p>
        </w:tc>
        <w:tc>
          <w:tcPr>
            <w:tcW w:w="940" w:type="dxa"/>
            <w:vAlign w:val="bottom"/>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Third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Fourth</w:t>
            </w:r>
          </w:p>
        </w:tc>
        <w:tc>
          <w:tcPr>
            <w:tcW w:w="240" w:type="dxa"/>
            <w:vAlign w:val="bottom"/>
          </w:tcPr>
          <w:p>
            <w:pPr>
              <w:spacing w:after="0"/>
              <w:rPr>
                <w:sz w:val="13"/>
                <w:szCs w:val="13"/>
                <w:color w:val="auto"/>
              </w:rPr>
            </w:pPr>
          </w:p>
        </w:tc>
        <w:tc>
          <w:tcPr>
            <w:tcW w:w="900" w:type="dxa"/>
            <w:vAlign w:val="bottom"/>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3,598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3,802</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14,745</w:t>
            </w: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Minority Shareholders’ Net Income (Loss)</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63"/>
        </w:trPr>
        <w:tc>
          <w:tcPr>
            <w:tcW w:w="4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Goodyear Net Income (Loss)</w:t>
            </w:r>
          </w:p>
        </w:tc>
        <w:tc>
          <w:tcPr>
            <w:tcW w:w="3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88</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w:t>
            </w: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0" w:type="dxa"/>
            <w:vAlign w:val="bottom"/>
          </w:tcPr>
          <w:p>
            <w:pPr>
              <w:spacing w:after="0"/>
              <w:rPr>
                <w:sz w:val="1"/>
                <w:szCs w:val="1"/>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Goodyear Net Income (Loss) - Per Share of Common Stock:*</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Basic</w:t>
            </w:r>
          </w:p>
        </w:tc>
        <w:tc>
          <w:tcPr>
            <w:tcW w:w="36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0.38</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0"/>
        </w:trPr>
        <w:tc>
          <w:tcPr>
            <w:tcW w:w="4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Diluted</w:t>
            </w: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Diluted</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Share of Common Stock</w:t>
            </w: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0.16</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Selected Balance Sheet Items at Quarter-End:</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18,273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18,299</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Debt and Capital Leases</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6,506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6,737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6,676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5,663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Goodyear Shareholders’ Equity</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5,031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5,049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5,035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780" w:right="20" w:hanging="772"/>
        <w:spacing w:after="0" w:line="282" w:lineRule="auto"/>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anti-dilutive impact of potentially dilutive securities on periods with a Goodyear net loss, as well as weighted average shares changing throughout the year, the quarterly earnings per share amounts may not add to the full year.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numbers presented below are after-tax and minority.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first quarter of 2019 included rationalization charges of $85 million, net charges of $17 million related to indirect tax items, net discrete tax charges of $6 million, and legal claims related to discontinued operations of $4 million. The first quarter of 2019 also included net gains on asset sales of $4 million and a gain of $2 million for hurricane-related net insurance recoveries.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quarter of 2019 included net discrete tax charges of $6 million, rationalization charges of $3 million, and accelerated depreciation of $1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quarter of 2019 also included favorable indirect tax items of $6 million.</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third quarter of 2019 included rationalization charges of $17 million, charges of $5 million related to flooding at our Beaumont, Texas chemical facility, and accelerated depreciation of $1 million. The third quarter of 2019 also included a net discrete tax benefit of $6 million.</w:t>
      </w:r>
    </w:p>
    <w:p>
      <w:pPr>
        <w:spacing w:after="0" w:line="5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 fourth quarter of 2019 included net discrete tax charges of $380 million, rationalization charges of $60 million, charges of $20 million related to flooding at our Beaumont, Texas chemical facility, accelerated depreciation of $10 million, and pension settlement charges of $4 million. The fourth quarter of 2019 also included favorable indirect tax items of $24 million, net gains on asset sales of $11 million, and a gain related to an acquisition of $2 million.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consistent with Rule 13a-15(e) under the Securities Exchange Act of 1934,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SEC’s rules and forms, and to ensure that such information is accumulated and communicated to our management, including our principal executive and financial officers, as appropriate, to allow timely decisions regarding required disclosure.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December 31, 2020 (the end of the period covered by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Assessment of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report on our internal control over financial reporting is presented on page 56 of this Annual Report on Form 10-K. The report of PricewaterhouseCoopers LLP relating to the consolidated financial statements, financial statement schedule, and the effectiveness of internal control over financial reporting is presented on page 57 of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implemented a new financial information consolidation system in the third quarter of 2020. We believe we maintained appropriate internal controls throughout the implementation period including parallel comparisons to the previous system. There have been no other changes in our internal control over financial reporting during the year ended December 31, 2020 that have materially affected, or are reasonably likely to materially affect, our internal control over financial reporting.</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about Goodyear’s executive officers is included in Part I, “Item 1. Business” of this Annual Report on Form 10-K under the caption “Information About Our Executive Officers.” All other information required by this item is incorporated herein by reference from the registrant’s definitive Proxy Statement for the Annual Meeting of Shareholders to be held April 12, 2021 to be filed with the SEC pursuant to Regulation 14A (the "Proxy Statement").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Code of Ethics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Goodyear has adopted a code of business conduct and ethics for directors, officers and employees, known as the Business Conduct Manual. Goodyear also</w:t>
      </w:r>
    </w:p>
    <w:p>
      <w:pPr>
        <w:spacing w:after="0" w:line="27"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has adopted a conflict of interest policy applicable to directors and executive officers. Both of these documents are available on Goodyear’s website at https://corporate.goodyear.com/en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US/investors/governance/documents-charters.html. Shareholders may request a free copy of these documents from:</w:t>
      </w:r>
    </w:p>
    <w:p>
      <w:pPr>
        <w:spacing w:after="0" w:line="2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200 Innovation Way</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Akron, Ohio 44316-0001</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(330) 796-3751</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Goodyear’s Code of Ethics for the Chief Executive Officer and Senior Financial Officers (the “Code of Ethics”) is also posted on Goodyear’s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 to and waivers of the Code of Ethics will be disclosed on the website.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Guidelines and Certain Committee Charters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Goodyear has adopted Corporate Governance Guidelines as well as charters for its Audit, Compensation and Governance Committees. These documents are available on Goodyear’s website at https://corporate.goodyear.com/en-US/investors/governance/documents-charters.html. Shareholders may request a free copy of any of these documents from the address and phone number set forth above under “Code of Business Conduct and Code of Ethics.”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on our website is not incorporated by reference in or considered to be a part of this Annual Report on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Proxy Statement.</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Part II, Item 5 for information regarding our equity compensation plans. The other information required by this item is incorporated herein by reference from the Proxy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Proxy Statement.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Proxy Statement.</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DOCUMENTS FILED AS PART OF THIS REPORT:</w:t>
      </w:r>
    </w:p>
    <w:p>
      <w:pPr>
        <w:spacing w:after="0" w:line="117" w:lineRule="exact"/>
        <w:rPr>
          <w:sz w:val="20"/>
          <w:szCs w:val="20"/>
          <w:color w:val="auto"/>
        </w:rPr>
      </w:pPr>
    </w:p>
    <w:p>
      <w:pPr>
        <w:ind w:left="380" w:hanging="372"/>
        <w:spacing w:after="0"/>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See Index to Consolidated Financial Statements on page 55 of this Annual Report.</w:t>
      </w:r>
    </w:p>
    <w:p>
      <w:pPr>
        <w:spacing w:after="0" w:line="117" w:lineRule="exact"/>
        <w:rPr>
          <w:rFonts w:ascii="Times New Roman" w:cs="Times New Roman" w:eastAsia="Times New Roman" w:hAnsi="Times New Roman"/>
          <w:sz w:val="18"/>
          <w:szCs w:val="18"/>
          <w:color w:val="auto"/>
        </w:rPr>
      </w:pPr>
    </w:p>
    <w:p>
      <w:pPr>
        <w:ind w:left="380" w:hanging="372"/>
        <w:spacing w:after="0" w:line="286" w:lineRule="auto"/>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 Schedules</w:t>
      </w:r>
      <w:r>
        <w:rPr>
          <w:rFonts w:ascii="Times New Roman" w:cs="Times New Roman" w:eastAsia="Times New Roman" w:hAnsi="Times New Roman"/>
          <w:sz w:val="18"/>
          <w:szCs w:val="18"/>
          <w:color w:val="auto"/>
        </w:rPr>
        <w:t>: See Index to Financial Statement Schedules attached to this Annual Report at page FS-1. The Financial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at page FS-2 is incorporated into and made a part of this Annual Report.</w:t>
      </w:r>
    </w:p>
    <w:p>
      <w:pPr>
        <w:spacing w:after="0" w:line="46" w:lineRule="exact"/>
        <w:rPr>
          <w:rFonts w:ascii="Times New Roman" w:cs="Times New Roman" w:eastAsia="Times New Roman" w:hAnsi="Times New Roman"/>
          <w:sz w:val="18"/>
          <w:szCs w:val="18"/>
          <w:color w:val="auto"/>
        </w:rPr>
      </w:pPr>
    </w:p>
    <w:p>
      <w:pPr>
        <w:ind w:left="380" w:hanging="372"/>
        <w:spacing w:after="0" w:line="286" w:lineRule="auto"/>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 required to be filed by Item 601 of Regulation S-K</w:t>
      </w:r>
      <w:r>
        <w:rPr>
          <w:rFonts w:ascii="Times New Roman" w:cs="Times New Roman" w:eastAsia="Times New Roman" w:hAnsi="Times New Roman"/>
          <w:sz w:val="18"/>
          <w:szCs w:val="18"/>
          <w:color w:val="auto"/>
        </w:rPr>
        <w:t>: See the Index of Exhibits at pages X-1 through X-6 inclusive, which is attached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incorporated into and made a part of this Annual Report.</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ITEMS 8 AND 15(a)(2) OF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COMPANY'S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91440</wp:posOffset>
            </wp:positionV>
            <wp:extent cx="31718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Schedule No.</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 Number</w:t>
            </w:r>
          </w:p>
        </w:tc>
        <w:tc>
          <w:tcPr>
            <w:tcW w:w="0" w:type="dxa"/>
            <w:vAlign w:val="bottom"/>
          </w:tcPr>
          <w:p>
            <w:pPr>
              <w:spacing w:after="0"/>
              <w:rPr>
                <w:sz w:val="1"/>
                <w:szCs w:val="1"/>
                <w:color w:val="auto"/>
              </w:rPr>
            </w:pPr>
          </w:p>
        </w:tc>
      </w:tr>
      <w:tr>
        <w:trPr>
          <w:trHeight w:val="23"/>
        </w:trPr>
        <w:tc>
          <w:tcPr>
            <w:tcW w:w="7720" w:type="dxa"/>
            <w:vAlign w:val="bottom"/>
            <w:vMerge w:val="restart"/>
          </w:tcPr>
          <w:p>
            <w:pPr>
              <w:spacing w:after="0"/>
              <w:rPr>
                <w:rFonts w:ascii="Times New Roman" w:cs="Times New Roman" w:eastAsia="Times New Roman" w:hAnsi="Times New Roman"/>
                <w:sz w:val="20"/>
                <w:szCs w:val="20"/>
                <w:u w:val="single" w:color="auto"/>
                <w:color w:val="0000EE"/>
              </w:rPr>
            </w:pPr>
            <w:hyperlink w:anchor="page125">
              <w:r>
                <w:rPr>
                  <w:rFonts w:ascii="Times New Roman" w:cs="Times New Roman" w:eastAsia="Times New Roman" w:hAnsi="Times New Roman"/>
                  <w:sz w:val="20"/>
                  <w:szCs w:val="20"/>
                  <w:u w:val="single" w:color="auto"/>
                  <w:color w:val="0000EE"/>
                </w:rPr>
                <w:t>Valuation and Qualifying Accounts</w:t>
              </w:r>
            </w:hyperlink>
          </w:p>
        </w:tc>
        <w:tc>
          <w:tcPr>
            <w:tcW w:w="1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20" w:type="dxa"/>
            <w:vAlign w:val="bottom"/>
            <w:vMerge w:val="continue"/>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16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FS-2</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schedules are omitted because they are not applicable or the required information is shown in the financial statements or notes thereto.</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statements relating to 50 percent or less owned companies, the investments in which are accounted for by the equity method, have been omitted as permitted because these companies would not constitute a significant subsidiary.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60" w:type="dxa"/>
            <w:vAlign w:val="bottom"/>
          </w:tcPr>
          <w:p>
            <w:pPr>
              <w:spacing w:after="0"/>
              <w:rPr>
                <w:sz w:val="15"/>
                <w:szCs w:val="15"/>
                <w:color w:val="auto"/>
              </w:rPr>
            </w:pPr>
          </w:p>
        </w:tc>
        <w:tc>
          <w:tcPr>
            <w:tcW w:w="1280" w:type="dxa"/>
            <w:vAlign w:val="bottom"/>
            <w:vMerge w:val="restart"/>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0" w:type="dxa"/>
            <w:vAlign w:val="bottom"/>
          </w:tcPr>
          <w:p>
            <w:pPr>
              <w:spacing w:after="0"/>
              <w:rPr>
                <w:sz w:val="15"/>
                <w:szCs w:val="15"/>
                <w:color w:val="auto"/>
              </w:rPr>
            </w:pPr>
          </w:p>
        </w:tc>
        <w:tc>
          <w:tcPr>
            <w:tcW w:w="106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5"/>
                <w:szCs w:val="15"/>
                <w:color w:val="auto"/>
              </w:rPr>
            </w:pPr>
          </w:p>
        </w:tc>
        <w:tc>
          <w:tcPr>
            <w:tcW w:w="1020" w:type="dxa"/>
            <w:vAlign w:val="bottom"/>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31"/>
        </w:trPr>
        <w:tc>
          <w:tcPr>
            <w:tcW w:w="3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Charged</w:t>
            </w:r>
          </w:p>
        </w:tc>
        <w:tc>
          <w:tcPr>
            <w:tcW w:w="240" w:type="dxa"/>
            <w:vAlign w:val="bottom"/>
          </w:tcPr>
          <w:p>
            <w:pPr>
              <w:spacing w:after="0"/>
              <w:rPr>
                <w:sz w:val="11"/>
                <w:szCs w:val="11"/>
                <w:color w:val="auto"/>
              </w:rPr>
            </w:pPr>
          </w:p>
        </w:tc>
        <w:tc>
          <w:tcPr>
            <w:tcW w:w="1020" w:type="dxa"/>
            <w:vAlign w:val="bottom"/>
          </w:tcPr>
          <w:p>
            <w:pPr>
              <w:jc w:val="center"/>
              <w:ind w:right="156"/>
              <w:spacing w:after="0" w:line="131" w:lineRule="exact"/>
              <w:rPr>
                <w:sz w:val="20"/>
                <w:szCs w:val="20"/>
                <w:color w:val="auto"/>
              </w:rPr>
            </w:pPr>
            <w:r>
              <w:rPr>
                <w:rFonts w:ascii="Times New Roman" w:cs="Times New Roman" w:eastAsia="Times New Roman" w:hAnsi="Times New Roman"/>
                <w:sz w:val="14"/>
                <w:szCs w:val="14"/>
                <w:b w:val="1"/>
                <w:bCs w:val="1"/>
                <w:color w:val="auto"/>
              </w:rPr>
              <w:t>Charged</w:t>
            </w:r>
          </w:p>
        </w:tc>
        <w:tc>
          <w:tcPr>
            <w:tcW w:w="2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0" w:type="dxa"/>
            <w:vAlign w:val="bottom"/>
          </w:tcPr>
          <w:p>
            <w:pPr>
              <w:spacing w:after="0"/>
              <w:rPr>
                <w:sz w:val="12"/>
                <w:szCs w:val="12"/>
                <w:color w:val="auto"/>
              </w:rPr>
            </w:pPr>
          </w:p>
        </w:tc>
        <w:tc>
          <w:tcPr>
            <w:tcW w:w="96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(credited) to</w:t>
            </w:r>
          </w:p>
        </w:tc>
        <w:tc>
          <w:tcPr>
            <w:tcW w:w="240" w:type="dxa"/>
            <w:vAlign w:val="bottom"/>
          </w:tcPr>
          <w:p>
            <w:pPr>
              <w:spacing w:after="0"/>
              <w:rPr>
                <w:sz w:val="12"/>
                <w:szCs w:val="12"/>
                <w:color w:val="auto"/>
              </w:rPr>
            </w:pPr>
          </w:p>
        </w:tc>
        <w:tc>
          <w:tcPr>
            <w:tcW w:w="102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(credited) to</w:t>
            </w:r>
          </w:p>
        </w:tc>
        <w:tc>
          <w:tcPr>
            <w:tcW w:w="260" w:type="dxa"/>
            <w:vAlign w:val="bottom"/>
          </w:tcPr>
          <w:p>
            <w:pPr>
              <w:spacing w:after="0"/>
              <w:rPr>
                <w:sz w:val="12"/>
                <w:szCs w:val="12"/>
                <w:color w:val="auto"/>
              </w:rPr>
            </w:pPr>
          </w:p>
        </w:tc>
        <w:tc>
          <w:tcPr>
            <w:tcW w:w="1280" w:type="dxa"/>
            <w:vAlign w:val="bottom"/>
          </w:tcPr>
          <w:p>
            <w:pPr>
              <w:jc w:val="center"/>
              <w:ind w:right="456"/>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200" w:type="dxa"/>
            <w:vAlign w:val="bottom"/>
          </w:tcPr>
          <w:p>
            <w:pPr>
              <w:spacing w:after="0"/>
              <w:rPr>
                <w:sz w:val="12"/>
                <w:szCs w:val="12"/>
                <w:color w:val="auto"/>
              </w:rPr>
            </w:pPr>
          </w:p>
        </w:tc>
        <w:tc>
          <w:tcPr>
            <w:tcW w:w="106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2"/>
                <w:szCs w:val="12"/>
                <w:color w:val="auto"/>
              </w:rPr>
            </w:pPr>
          </w:p>
        </w:tc>
        <w:tc>
          <w:tcPr>
            <w:tcW w:w="102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73"/>
        </w:trPr>
        <w:tc>
          <w:tcPr>
            <w:tcW w:w="326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AOCL</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260" w:type="dxa"/>
            <w:vAlign w:val="bottom"/>
            <w:tcBorders>
              <w:bottom w:val="single" w:sz="8" w:color="auto"/>
            </w:tcBorders>
            <w:gridSpan w:val="2"/>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during period</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55"/>
        </w:trPr>
        <w:tc>
          <w:tcPr>
            <w:tcW w:w="326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gridSpan w:val="2"/>
            <w:shd w:val="clear" w:color="auto" w:fill="CFF0FC"/>
          </w:tcPr>
          <w:p>
            <w:pPr>
              <w:jc w:val="center"/>
              <w:ind w:left="72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2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(b)</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 deferred tax assets</w:t>
            </w: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6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gridSpan w:val="2"/>
            <w:shd w:val="clear" w:color="auto" w:fill="CFF0FC"/>
          </w:tcPr>
          <w:p>
            <w:pPr>
              <w:jc w:val="center"/>
              <w:ind w:left="72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2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(b)</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 deferred tax assets</w:t>
            </w: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661</w:t>
            </w: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6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gridSpan w:val="2"/>
            <w:shd w:val="clear" w:color="auto" w:fill="CFF0FC"/>
          </w:tcPr>
          <w:p>
            <w:pPr>
              <w:jc w:val="center"/>
              <w:ind w:left="72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2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(b)</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 deferred tax assets</w:t>
            </w: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780" w:hanging="772"/>
        <w:spacing w:after="0" w:line="261" w:lineRule="auto"/>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2020, we adopted, using the modified retrospective adoption approach, an accounting standards update with new guidance relating to credit losses on financial instruments. Our adoption of this standards update resulted in a cumulative effect adjustment to decrease Retained Earnings by $12 million, with Accounts Receivables decreasing by $15 million and Deferred Income Taxes increasing by $3 million. Periods prior to 2020 have not been restated for the adoption of this standards update.</w:t>
      </w:r>
    </w:p>
    <w:p>
      <w:pPr>
        <w:spacing w:after="0" w:line="71" w:lineRule="exact"/>
        <w:rPr>
          <w:rFonts w:ascii="Times New Roman" w:cs="Times New Roman" w:eastAsia="Times New Roman" w:hAnsi="Times New Roman"/>
          <w:sz w:val="18"/>
          <w:szCs w:val="18"/>
          <w:color w:val="auto"/>
        </w:rPr>
      </w:pPr>
    </w:p>
    <w:p>
      <w:pPr>
        <w:ind w:left="780" w:hanging="772"/>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charged off.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p>
      <w:pPr>
        <w:spacing w:after="0" w:line="2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14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740" w:type="dxa"/>
            <w:vAlign w:val="bottom"/>
          </w:tcPr>
          <w:p>
            <w:pPr>
              <w:jc w:val="center"/>
              <w:ind w:right="21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w:t>
            </w:r>
          </w:p>
        </w:tc>
        <w:tc>
          <w:tcPr>
            <w:tcW w:w="2720" w:type="dxa"/>
            <w:vAlign w:val="bottom"/>
            <w:vMerge w:val="restart"/>
          </w:tcPr>
          <w:p>
            <w:pPr>
              <w:jc w:val="center"/>
              <w:ind w:left="214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48"/>
        </w:trPr>
        <w:tc>
          <w:tcPr>
            <w:tcW w:w="2740" w:type="dxa"/>
            <w:vAlign w:val="bottom"/>
          </w:tcPr>
          <w:p>
            <w:pPr>
              <w:jc w:val="center"/>
              <w:ind w:right="21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Table</w:t>
            </w:r>
          </w:p>
        </w:tc>
        <w:tc>
          <w:tcPr>
            <w:tcW w:w="530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740" w:type="dxa"/>
            <w:vAlign w:val="bottom"/>
          </w:tcPr>
          <w:p>
            <w:pPr>
              <w:jc w:val="center"/>
              <w:ind w:right="2148"/>
              <w:spacing w:after="0"/>
              <w:rPr>
                <w:sz w:val="20"/>
                <w:szCs w:val="20"/>
                <w:color w:val="auto"/>
              </w:rPr>
            </w:pPr>
            <w:r>
              <w:rPr>
                <w:rFonts w:ascii="Times New Roman" w:cs="Times New Roman" w:eastAsia="Times New Roman" w:hAnsi="Times New Roman"/>
                <w:sz w:val="14"/>
                <w:szCs w:val="14"/>
                <w:b w:val="1"/>
                <w:bCs w:val="1"/>
                <w:color w:val="auto"/>
                <w:w w:val="99"/>
              </w:rPr>
              <w:t>Item No.</w:t>
            </w:r>
          </w:p>
        </w:tc>
        <w:tc>
          <w:tcPr>
            <w:tcW w:w="5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720" w:type="dxa"/>
            <w:vAlign w:val="bottom"/>
          </w:tcPr>
          <w:p>
            <w:pPr>
              <w:jc w:val="center"/>
              <w:ind w:left="21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160" w:hanging="704"/>
        <w:spacing w:after="0"/>
        <w:tabs>
          <w:tab w:leader="none" w:pos="11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Articles of Incorporation and By-Laws</w:t>
      </w:r>
    </w:p>
    <w:p>
      <w:pPr>
        <w:spacing w:after="0" w:line="243" w:lineRule="exact"/>
        <w:rPr>
          <w:sz w:val="20"/>
          <w:szCs w:val="20"/>
          <w:color w:val="auto"/>
        </w:rPr>
      </w:pPr>
    </w:p>
    <w:p>
      <w:pPr>
        <w:jc w:val="both"/>
        <w:ind w:left="1160" w:right="880" w:hanging="759"/>
        <w:spacing w:after="0" w:line="254" w:lineRule="auto"/>
        <w:tabs>
          <w:tab w:leader="none" w:pos="1160" w:val="left"/>
        </w:tabs>
        <w:numPr>
          <w:ilvl w:val="0"/>
          <w:numId w:val="58"/>
        </w:numPr>
        <w:rPr>
          <w:rFonts w:ascii="Times New Roman" w:cs="Times New Roman" w:eastAsia="Times New Roman" w:hAnsi="Times New Roman"/>
          <w:sz w:val="18"/>
          <w:szCs w:val="18"/>
          <w:u w:val="single" w:color="auto"/>
          <w:color w:val="0000EE"/>
        </w:rPr>
      </w:pPr>
      <w:hyperlink r:id="rId169">
        <w:r>
          <w:rPr>
            <w:rFonts w:ascii="Times New Roman" w:cs="Times New Roman" w:eastAsia="Times New Roman" w:hAnsi="Times New Roman"/>
            <w:sz w:val="18"/>
            <w:szCs w:val="18"/>
            <w:u w:val="single" w:color="auto"/>
            <w:color w:val="0000EE"/>
          </w:rPr>
          <w:t>Certificate of Amended Articles of Incorporation of The Goodyear Tire &amp; Rubber Company, dated December 20, 1954,</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Certificate of Amendment to Amended Articles of Incorporation of the Company, dated April 6, 1993, Certificate of</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Amendment to Amended Articles of Incorporation of the Company, dated June 4, 1996, Certificate of Amendment to</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Amended Articles of Incorporation of the Company, dated April 18, 2006, Certificate of Amendment to Amended Articles</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of Incorporation of the Company, dated April 22, 2009, Certificate of Amendment to Amended Articles of Incorporation of</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the Company, dated March 30, 2011, and Certificate of Amendment to Amended Articles of Incorporation of the Company,</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dated April 16, 2015, together comprising the Company's Articles of Incorporation, as amended (incorporated by reference,</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filed as Exhibit 3.1 to the Company’s Quarterly Report on Form 10-Q for the quarter ended June 30, 2015, File No. 1-</w:t>
        </w:r>
      </w:hyperlink>
      <w:hyperlink r:id="rId169">
        <w:r>
          <w:rPr>
            <w:rFonts w:ascii="Times New Roman" w:cs="Times New Roman" w:eastAsia="Times New Roman" w:hAnsi="Times New Roman"/>
            <w:sz w:val="18"/>
            <w:szCs w:val="18"/>
            <w:u w:val="single" w:color="auto"/>
            <w:color w:val="0000EE"/>
          </w:rPr>
          <w:t>1927).</w:t>
        </w:r>
      </w:hyperlink>
    </w:p>
    <w:p>
      <w:pPr>
        <w:spacing w:after="0" w:line="201" w:lineRule="exact"/>
        <w:rPr>
          <w:rFonts w:ascii="Times New Roman" w:cs="Times New Roman" w:eastAsia="Times New Roman" w:hAnsi="Times New Roman"/>
          <w:sz w:val="18"/>
          <w:szCs w:val="18"/>
          <w:u w:val="single" w:color="auto"/>
          <w:color w:val="0000EE"/>
        </w:rPr>
      </w:pPr>
    </w:p>
    <w:p>
      <w:pPr>
        <w:jc w:val="both"/>
        <w:ind w:left="1160" w:right="880" w:hanging="764"/>
        <w:spacing w:after="0" w:line="266" w:lineRule="auto"/>
        <w:tabs>
          <w:tab w:leader="none" w:pos="1160" w:val="left"/>
        </w:tabs>
        <w:numPr>
          <w:ilvl w:val="0"/>
          <w:numId w:val="58"/>
        </w:numPr>
        <w:rPr>
          <w:rFonts w:ascii="Times New Roman" w:cs="Times New Roman" w:eastAsia="Times New Roman" w:hAnsi="Times New Roman"/>
          <w:sz w:val="18"/>
          <w:szCs w:val="18"/>
          <w:u w:val="single" w:color="auto"/>
          <w:color w:val="0000EE"/>
        </w:rPr>
      </w:pPr>
      <w:hyperlink r:id="rId170">
        <w:r>
          <w:rPr>
            <w:rFonts w:ascii="Times New Roman" w:cs="Times New Roman" w:eastAsia="Times New Roman" w:hAnsi="Times New Roman"/>
            <w:sz w:val="18"/>
            <w:szCs w:val="18"/>
            <w:u w:val="single" w:color="auto"/>
            <w:color w:val="0000EE"/>
          </w:rPr>
          <w:t>Code of Regulations of The Goodyear Tire &amp; Rubber Company, adopted November 22, 1955, and as most recently</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amended on February 28, 2017 (incorporated by reference, filed as Exhibit 3.1 to the Company’s Current Report on Form 8-</w:t>
        </w:r>
      </w:hyperlink>
      <w:hyperlink r:id="rId170">
        <w:r>
          <w:rPr>
            <w:rFonts w:ascii="Times New Roman" w:cs="Times New Roman" w:eastAsia="Times New Roman" w:hAnsi="Times New Roman"/>
            <w:sz w:val="18"/>
            <w:szCs w:val="18"/>
            <w:u w:val="single" w:color="auto"/>
            <w:color w:val="0000EE"/>
          </w:rPr>
          <w:t>K, filed March 6, 2017, File No. 1-1927).</w:t>
        </w:r>
      </w:hyperlink>
    </w:p>
    <w:p>
      <w:pPr>
        <w:spacing w:after="0" w:line="185" w:lineRule="exact"/>
        <w:rPr>
          <w:rFonts w:ascii="Times New Roman" w:cs="Times New Roman" w:eastAsia="Times New Roman" w:hAnsi="Times New Roman"/>
          <w:sz w:val="18"/>
          <w:szCs w:val="18"/>
          <w:u w:val="single" w:color="auto"/>
          <w:color w:val="0000EE"/>
        </w:rPr>
      </w:pPr>
    </w:p>
    <w:p>
      <w:pPr>
        <w:ind w:left="1160" w:hanging="704"/>
        <w:spacing w:after="0"/>
        <w:tabs>
          <w:tab w:leader="none" w:pos="11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Instruments Defining the Rights of Security Holders, Including Indentures</w:t>
      </w:r>
    </w:p>
    <w:p>
      <w:pPr>
        <w:spacing w:after="0" w:line="243" w:lineRule="exact"/>
        <w:rPr>
          <w:rFonts w:ascii="Times New Roman" w:cs="Times New Roman" w:eastAsia="Times New Roman" w:hAnsi="Times New Roman"/>
          <w:sz w:val="18"/>
          <w:szCs w:val="18"/>
          <w:u w:val="single" w:color="auto"/>
          <w:color w:val="0000EE"/>
        </w:rPr>
      </w:pPr>
    </w:p>
    <w:p>
      <w:pPr>
        <w:jc w:val="both"/>
        <w:ind w:left="1160" w:right="880" w:hanging="759"/>
        <w:spacing w:after="0" w:line="266" w:lineRule="auto"/>
        <w:tabs>
          <w:tab w:leader="none" w:pos="1160" w:val="left"/>
        </w:tabs>
        <w:numPr>
          <w:ilvl w:val="0"/>
          <w:numId w:val="60"/>
        </w:numPr>
        <w:rPr>
          <w:rFonts w:ascii="Times New Roman" w:cs="Times New Roman" w:eastAsia="Times New Roman" w:hAnsi="Times New Roman"/>
          <w:sz w:val="18"/>
          <w:szCs w:val="18"/>
          <w:u w:val="single" w:color="auto"/>
          <w:color w:val="0000EE"/>
        </w:rPr>
      </w:pPr>
      <w:hyperlink r:id="rId171">
        <w:r>
          <w:rPr>
            <w:rFonts w:ascii="Times New Roman" w:cs="Times New Roman" w:eastAsia="Times New Roman" w:hAnsi="Times New Roman"/>
            <w:sz w:val="18"/>
            <w:szCs w:val="18"/>
            <w:u w:val="single" w:color="auto"/>
            <w:color w:val="0000EE"/>
          </w:rPr>
          <w:t>Specimen Nondenominational Certificate for Shares of the Common Stock, Without Par Value, of the Company</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(incorporated by reference, filed as Exhibit 4.1 to the Company’s Current Report on Form 8-K, filed May 9, 2007, File No.</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1-1927).</w:t>
        </w:r>
      </w:hyperlink>
    </w:p>
    <w:p>
      <w:pPr>
        <w:spacing w:after="0" w:line="189" w:lineRule="exact"/>
        <w:rPr>
          <w:rFonts w:ascii="Times New Roman" w:cs="Times New Roman" w:eastAsia="Times New Roman" w:hAnsi="Times New Roman"/>
          <w:sz w:val="18"/>
          <w:szCs w:val="18"/>
          <w:u w:val="single" w:color="auto"/>
          <w:color w:val="0000EE"/>
        </w:rPr>
      </w:pPr>
    </w:p>
    <w:p>
      <w:pPr>
        <w:jc w:val="both"/>
        <w:ind w:left="1160" w:right="880" w:hanging="764"/>
        <w:spacing w:after="0" w:line="261" w:lineRule="auto"/>
        <w:tabs>
          <w:tab w:leader="none" w:pos="1160" w:val="left"/>
        </w:tabs>
        <w:numPr>
          <w:ilvl w:val="0"/>
          <w:numId w:val="60"/>
        </w:numPr>
        <w:rPr>
          <w:rFonts w:ascii="Times New Roman" w:cs="Times New Roman" w:eastAsia="Times New Roman" w:hAnsi="Times New Roman"/>
          <w:sz w:val="18"/>
          <w:szCs w:val="18"/>
          <w:u w:val="single" w:color="auto"/>
          <w:color w:val="0000EE"/>
        </w:rPr>
      </w:pPr>
      <w:hyperlink r:id="rId172">
        <w:r>
          <w:rPr>
            <w:rFonts w:ascii="Times New Roman" w:cs="Times New Roman" w:eastAsia="Times New Roman" w:hAnsi="Times New Roman"/>
            <w:sz w:val="18"/>
            <w:szCs w:val="18"/>
            <w:u w:val="single" w:color="auto"/>
            <w:color w:val="0000EE"/>
          </w:rPr>
          <w:t>Indenture, dated as of March 15, 1996, between the Company and Chemical Bank (now Wells Fargo Bank, N.A.), as</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Trustee, as supplemented on March 16, 1998, in respect of the Company’s 7% Notes due 2028 (incorporated by reference,</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filed as Exhibit 4.1 to the Company’s Quarterly Report on Form 10-Q for the quarter ended March 31, 1998, File No. 1-</w:t>
        </w:r>
      </w:hyperlink>
      <w:hyperlink r:id="rId172">
        <w:r>
          <w:rPr>
            <w:rFonts w:ascii="Times New Roman" w:cs="Times New Roman" w:eastAsia="Times New Roman" w:hAnsi="Times New Roman"/>
            <w:sz w:val="18"/>
            <w:szCs w:val="18"/>
            <w:u w:val="single" w:color="auto"/>
            <w:color w:val="0000EE"/>
          </w:rPr>
          <w:t>1927).</w:t>
        </w:r>
      </w:hyperlink>
    </w:p>
    <w:p>
      <w:pPr>
        <w:spacing w:after="0" w:line="193" w:lineRule="exact"/>
        <w:rPr>
          <w:rFonts w:ascii="Times New Roman" w:cs="Times New Roman" w:eastAsia="Times New Roman" w:hAnsi="Times New Roman"/>
          <w:sz w:val="18"/>
          <w:szCs w:val="18"/>
          <w:u w:val="single" w:color="auto"/>
          <w:color w:val="0000EE"/>
        </w:rPr>
      </w:pPr>
    </w:p>
    <w:p>
      <w:pPr>
        <w:jc w:val="both"/>
        <w:ind w:left="1160" w:right="880" w:hanging="759"/>
        <w:spacing w:after="0" w:line="253" w:lineRule="auto"/>
        <w:tabs>
          <w:tab w:leader="none" w:pos="1160" w:val="left"/>
        </w:tabs>
        <w:numPr>
          <w:ilvl w:val="0"/>
          <w:numId w:val="60"/>
        </w:numPr>
        <w:rPr>
          <w:rFonts w:ascii="Times New Roman" w:cs="Times New Roman" w:eastAsia="Times New Roman" w:hAnsi="Times New Roman"/>
          <w:sz w:val="18"/>
          <w:szCs w:val="18"/>
          <w:u w:val="single" w:color="auto"/>
          <w:color w:val="0000EE"/>
        </w:rPr>
      </w:pPr>
      <w:hyperlink r:id="rId173">
        <w:r>
          <w:rPr>
            <w:rFonts w:ascii="Times New Roman" w:cs="Times New Roman" w:eastAsia="Times New Roman" w:hAnsi="Times New Roman"/>
            <w:sz w:val="18"/>
            <w:szCs w:val="18"/>
            <w:u w:val="single" w:color="auto"/>
            <w:color w:val="0000EE"/>
          </w:rPr>
          <w:t>Indenture, dated as of August 13, 2010, among the Company, the subsidiary guarantors party thereto and Wells Fargo Bank,</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N.A., as Trustee (incorporated by reference, filed as Exhibit 4.1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August 13, 2010, File No. 1-1927), as supplemented by the Fourth Supplemental Indenture thereto, dated as of November 5,</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2015, in respect of the Company’s 5.125% Senior Notes due 2023 (incorporated by reference, filed as Exhibit 4.2 to the</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Company's Current Report on Form 8-K, filed November 5, 2015, File No. 1-1927), as supplemented by the Fifth</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Supplemental Indenture thereto, dated as of May 13, 2016, in respect of the Company’s 5% Senior Notes due 2026</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(incorporated by reference, filed as Exhibit 4.2 to the Company’s Current Report on Form 8-K, filed May 13, 2016, File No.</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1-1927), as supplemented by the Sixth Supplemental Indenture thereto, dated as of March 7, 2017, in respect of the</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Company’s 4.875% Senior Notes due 2027 (incorporated by reference, filed as Exhibit 4.2 to the Company's Current Report</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on Form 8-K, filed March 7, 2017, File No. 1-1927), and as supplemented by the Seventh Supplemental Indenture thereto,</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dated as of May 18, 2020, in respect of the Company’s 9.5% Senior Notes due 2025 (incorporated by reference, filed as</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Exhibit 4.2 to the Company’s Current Report on Form 8-K, filed May 18, 2020, File No. 1-1927).</w:t>
        </w:r>
      </w:hyperlink>
    </w:p>
    <w:p>
      <w:pPr>
        <w:spacing w:after="0" w:line="217" w:lineRule="exact"/>
        <w:rPr>
          <w:rFonts w:ascii="Times New Roman" w:cs="Times New Roman" w:eastAsia="Times New Roman" w:hAnsi="Times New Roman"/>
          <w:sz w:val="18"/>
          <w:szCs w:val="18"/>
          <w:u w:val="single" w:color="auto"/>
          <w:color w:val="0000EE"/>
        </w:rPr>
      </w:pPr>
    </w:p>
    <w:p>
      <w:pPr>
        <w:jc w:val="center"/>
        <w:ind w:right="-239"/>
        <w:spacing w:after="0"/>
        <w:rPr>
          <w:sz w:val="20"/>
          <w:szCs w:val="20"/>
          <w:color w:val="auto"/>
        </w:rPr>
      </w:pPr>
      <w:r>
        <w:rPr>
          <w:rFonts w:ascii="Times New Roman" w:cs="Times New Roman" w:eastAsia="Times New Roman" w:hAnsi="Times New Roman"/>
          <w:sz w:val="18"/>
          <w:szCs w:val="18"/>
          <w:color w:val="auto"/>
        </w:rPr>
        <w:t>X-1</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18" w:right="579" w:bottom="1440" w:gutter="0" w:footer="0" w:header="0"/>
        </w:sectPr>
      </w:pPr>
    </w:p>
    <w:bookmarkStart w:id="126" w:name="page127"/>
    <w:bookmarkEnd w:id="1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jc w:val="both"/>
        <w:ind w:left="1160" w:right="19" w:hanging="764"/>
        <w:spacing w:after="0" w:line="256" w:lineRule="auto"/>
        <w:tabs>
          <w:tab w:leader="none" w:pos="1160" w:val="left"/>
        </w:tabs>
        <w:numPr>
          <w:ilvl w:val="0"/>
          <w:numId w:val="61"/>
        </w:numPr>
        <w:rPr>
          <w:rFonts w:ascii="Times New Roman" w:cs="Times New Roman" w:eastAsia="Times New Roman" w:hAnsi="Times New Roman"/>
          <w:sz w:val="18"/>
          <w:szCs w:val="18"/>
          <w:u w:val="single" w:color="auto"/>
          <w:color w:val="0000EE"/>
        </w:rPr>
      </w:pPr>
      <w:hyperlink r:id="rId179">
        <w:r>
          <w:rPr>
            <w:rFonts w:ascii="Times New Roman" w:cs="Times New Roman" w:eastAsia="Times New Roman" w:hAnsi="Times New Roman"/>
            <w:sz w:val="18"/>
            <w:szCs w:val="18"/>
            <w:u w:val="single" w:color="auto"/>
            <w:color w:val="0000EE"/>
          </w:rPr>
          <w:t>Indenture, dated as of December 15, 2015, among Goodyear Dunlop Tires Europe B.V. (now known as Goodyear Europe</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B.V.), as Issuer, the Company, as Parent Guarantor, the subsidiary guarantors party thereto, Deutsche Trustee Company</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Limited, as Trustee, Deutsche Bank AG, London Branch, as Principal Paying Agent and Transfer Agent, and Deutsche</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Bank Luxembourg S.A., as Registar and Luxembourg Paying Agent and Transfer Agent, in respect of GEBV's 3.75%</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Senior Notes due 2023 (incorporated by reference, filed as Exhibit 4.1 to the Company's Annual Report on Form 10-K for</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the year ended December 31, 2015, File No. 1-1927).</w:t>
        </w:r>
      </w:hyperlink>
    </w:p>
    <w:p>
      <w:pPr>
        <w:spacing w:after="0" w:line="200" w:lineRule="exact"/>
        <w:rPr>
          <w:rFonts w:ascii="Times New Roman" w:cs="Times New Roman" w:eastAsia="Times New Roman" w:hAnsi="Times New Roman"/>
          <w:sz w:val="18"/>
          <w:szCs w:val="18"/>
          <w:u w:val="single" w:color="auto"/>
          <w:color w:val="0000EE"/>
        </w:rPr>
      </w:pPr>
    </w:p>
    <w:p>
      <w:pPr>
        <w:ind w:left="1160" w:right="19" w:hanging="759"/>
        <w:spacing w:after="0" w:line="282" w:lineRule="auto"/>
        <w:tabs>
          <w:tab w:leader="none" w:pos="1160" w:val="left"/>
        </w:tabs>
        <w:numPr>
          <w:ilvl w:val="0"/>
          <w:numId w:val="61"/>
        </w:numPr>
        <w:rPr>
          <w:rFonts w:ascii="Times New Roman" w:cs="Times New Roman" w:eastAsia="Times New Roman" w:hAnsi="Times New Roman"/>
          <w:sz w:val="18"/>
          <w:szCs w:val="18"/>
          <w:u w:val="single" w:color="auto"/>
          <w:color w:val="0000EE"/>
        </w:rPr>
      </w:pPr>
      <w:hyperlink r:id="rId180">
        <w:r>
          <w:rPr>
            <w:rFonts w:ascii="Times New Roman" w:cs="Times New Roman" w:eastAsia="Times New Roman" w:hAnsi="Times New Roman"/>
            <w:sz w:val="18"/>
            <w:szCs w:val="18"/>
            <w:u w:val="single" w:color="auto"/>
            <w:color w:val="0000EE"/>
          </w:rPr>
          <w:t>Description of Common Stock (incorporated by reference, filed as Exhibit 4.1 to the Company’s Annual Report on Form</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10-K for the year ended December 31, 2019, File No. 1-1927).</w:t>
        </w:r>
      </w:hyperlink>
    </w:p>
    <w:p>
      <w:pPr>
        <w:spacing w:after="0" w:line="175" w:lineRule="exact"/>
        <w:rPr>
          <w:rFonts w:ascii="Times New Roman" w:cs="Times New Roman" w:eastAsia="Times New Roman" w:hAnsi="Times New Roman"/>
          <w:sz w:val="18"/>
          <w:szCs w:val="18"/>
          <w:color w:val="auto"/>
        </w:rPr>
      </w:pPr>
    </w:p>
    <w:p>
      <w:pPr>
        <w:jc w:val="both"/>
        <w:ind w:left="1160" w:right="19"/>
        <w:spacing w:after="0" w:line="261" w:lineRule="auto"/>
        <w:rPr>
          <w:sz w:val="20"/>
          <w:szCs w:val="20"/>
          <w:color w:val="auto"/>
        </w:rPr>
      </w:pPr>
      <w:r>
        <w:rPr>
          <w:rFonts w:ascii="Times New Roman" w:cs="Times New Roman" w:eastAsia="Times New Roman" w:hAnsi="Times New Roman"/>
          <w:sz w:val="18"/>
          <w:szCs w:val="18"/>
          <w:color w:val="auto"/>
        </w:rPr>
        <w:t>In accordance with Item 601(b)(4)(iii) of Regulation S-K, certain instruments defining the rights of holders of long term debt of the Company and its consolidated subsidiaries pursuant to which the total amount of securities authorized thereunder does not exceed 10% of the total assets of the Company and its subsidiaries on a consolidated basis are not filed herewith. The Company hereby agrees to furnish a copy of any such instrument to the SEC upon request.</w:t>
      </w:r>
    </w:p>
    <w:p>
      <w:pPr>
        <w:spacing w:after="0" w:line="189" w:lineRule="exact"/>
        <w:rPr>
          <w:rFonts w:ascii="Times New Roman" w:cs="Times New Roman" w:eastAsia="Times New Roman" w:hAnsi="Times New Roman"/>
          <w:sz w:val="18"/>
          <w:szCs w:val="18"/>
          <w:color w:val="auto"/>
        </w:rPr>
      </w:pPr>
    </w:p>
    <w:p>
      <w:pPr>
        <w:ind w:left="1120" w:hanging="709"/>
        <w:spacing w:after="0"/>
        <w:tabs>
          <w:tab w:leader="none" w:pos="11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Contracts</w:t>
      </w:r>
    </w:p>
    <w:p>
      <w:pPr>
        <w:spacing w:after="0" w:line="243" w:lineRule="exact"/>
        <w:rPr>
          <w:rFonts w:ascii="Times New Roman" w:cs="Times New Roman" w:eastAsia="Times New Roman" w:hAnsi="Times New Roman"/>
          <w:sz w:val="18"/>
          <w:szCs w:val="18"/>
          <w:color w:val="auto"/>
        </w:rPr>
      </w:pPr>
    </w:p>
    <w:p>
      <w:pPr>
        <w:jc w:val="both"/>
        <w:ind w:left="1160" w:right="19" w:hanging="759"/>
        <w:spacing w:after="0" w:line="261" w:lineRule="auto"/>
        <w:tabs>
          <w:tab w:leader="none" w:pos="1160" w:val="left"/>
        </w:tabs>
        <w:numPr>
          <w:ilvl w:val="0"/>
          <w:numId w:val="63"/>
        </w:numPr>
        <w:rPr>
          <w:rFonts w:ascii="Times New Roman" w:cs="Times New Roman" w:eastAsia="Times New Roman" w:hAnsi="Times New Roman"/>
          <w:sz w:val="18"/>
          <w:szCs w:val="18"/>
          <w:u w:val="single" w:color="auto"/>
          <w:color w:val="0000EE"/>
        </w:rPr>
      </w:pPr>
      <w:hyperlink r:id="rId181">
        <w:r>
          <w:rPr>
            <w:rFonts w:ascii="Times New Roman" w:cs="Times New Roman" w:eastAsia="Times New Roman" w:hAnsi="Times New Roman"/>
            <w:sz w:val="18"/>
            <w:szCs w:val="18"/>
            <w:u w:val="single" w:color="auto"/>
            <w:color w:val="0000EE"/>
          </w:rPr>
          <w:t>Amended and Restated First Lien Credit Agreement, dated as of April 9, 2020, among the Company, the lenders and issuing</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banks party thereto, and JPMorgan Chase Bank, N.A., as Administrative Agent and Collateral Agent (incorporated by</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reference, filed as Exhibit 10.1 to the Company's Quarterly Report on Form 10-Q for the quarter ended March 31, 2020,</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File No. 1-1927).</w:t>
        </w:r>
      </w:hyperlink>
    </w:p>
    <w:p>
      <w:pPr>
        <w:spacing w:after="0" w:line="193" w:lineRule="exact"/>
        <w:rPr>
          <w:rFonts w:ascii="Times New Roman" w:cs="Times New Roman" w:eastAsia="Times New Roman" w:hAnsi="Times New Roman"/>
          <w:sz w:val="18"/>
          <w:szCs w:val="18"/>
          <w:u w:val="single" w:color="auto"/>
          <w:color w:val="0000EE"/>
        </w:rPr>
      </w:pPr>
    </w:p>
    <w:p>
      <w:pPr>
        <w:jc w:val="both"/>
        <w:ind w:left="1160" w:right="19" w:hanging="764"/>
        <w:spacing w:after="0" w:line="258" w:lineRule="auto"/>
        <w:tabs>
          <w:tab w:leader="none" w:pos="1160" w:val="left"/>
        </w:tabs>
        <w:numPr>
          <w:ilvl w:val="0"/>
          <w:numId w:val="63"/>
        </w:numPr>
        <w:rPr>
          <w:rFonts w:ascii="Times New Roman" w:cs="Times New Roman" w:eastAsia="Times New Roman" w:hAnsi="Times New Roman"/>
          <w:sz w:val="18"/>
          <w:szCs w:val="18"/>
          <w:u w:val="single" w:color="auto"/>
          <w:color w:val="0000EE"/>
        </w:rPr>
      </w:pPr>
      <w:hyperlink r:id="rId182">
        <w:r>
          <w:rPr>
            <w:rFonts w:ascii="Times New Roman" w:cs="Times New Roman" w:eastAsia="Times New Roman" w:hAnsi="Times New Roman"/>
            <w:sz w:val="18"/>
            <w:szCs w:val="18"/>
            <w:u w:val="single" w:color="auto"/>
            <w:color w:val="0000EE"/>
          </w:rPr>
          <w:t>Amended and Restated Second Lien Credit Agreement, dated as of March 7, 2018, among the Company, the lenders,</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documentation agents, syndication agent, joint lead arrangers and joint bookrunners party thereto, Deutsche Bank Trust</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Company Americas, as Collateral Agent, and JPMorgan Chase Bank, N.A., as Administrative Agent (incorporated by</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reference, filed as Exhibit 10.1 to the Company’s Quarterly Report on Form 10-Q for the quarter ended March 31, 2018,</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File No. 1-1927).</w:t>
        </w:r>
      </w:hyperlink>
    </w:p>
    <w:p>
      <w:pPr>
        <w:spacing w:after="0" w:line="196" w:lineRule="exact"/>
        <w:rPr>
          <w:rFonts w:ascii="Times New Roman" w:cs="Times New Roman" w:eastAsia="Times New Roman" w:hAnsi="Times New Roman"/>
          <w:sz w:val="18"/>
          <w:szCs w:val="18"/>
          <w:u w:val="single" w:color="auto"/>
          <w:color w:val="0000EE"/>
        </w:rPr>
      </w:pPr>
    </w:p>
    <w:p>
      <w:pPr>
        <w:jc w:val="both"/>
        <w:ind w:left="1160" w:right="19" w:hanging="759"/>
        <w:spacing w:after="0" w:line="261" w:lineRule="auto"/>
        <w:tabs>
          <w:tab w:leader="none" w:pos="1160" w:val="left"/>
        </w:tabs>
        <w:numPr>
          <w:ilvl w:val="0"/>
          <w:numId w:val="63"/>
        </w:numPr>
        <w:rPr>
          <w:rFonts w:ascii="Times New Roman" w:cs="Times New Roman" w:eastAsia="Times New Roman" w:hAnsi="Times New Roman"/>
          <w:sz w:val="18"/>
          <w:szCs w:val="18"/>
          <w:u w:val="single" w:color="auto"/>
          <w:color w:val="0000EE"/>
        </w:rPr>
      </w:pPr>
      <w:hyperlink r:id="rId183">
        <w:r>
          <w:rPr>
            <w:rFonts w:ascii="Times New Roman" w:cs="Times New Roman" w:eastAsia="Times New Roman" w:hAnsi="Times New Roman"/>
            <w:sz w:val="18"/>
            <w:szCs w:val="18"/>
            <w:u w:val="single" w:color="auto"/>
            <w:color w:val="0000EE"/>
          </w:rPr>
          <w:t>First Lien Guarantee and Collateral Agreement, dated as of April 8, 2005, as amended and restated as of April 9, 2020,</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among the Company, the subsidiaries of the Company identified therein and JPMorgan Chase Bank, N.A., as Collateral</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Agent (incorporated by reference, filed as Exhibit 10.2 to the Company’s Quarterly Report on Form 10-Q for the quarter</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ended March 31, 2020, File No. 1-1927).</w:t>
        </w:r>
      </w:hyperlink>
    </w:p>
    <w:p>
      <w:pPr>
        <w:spacing w:after="0" w:line="193" w:lineRule="exact"/>
        <w:rPr>
          <w:rFonts w:ascii="Times New Roman" w:cs="Times New Roman" w:eastAsia="Times New Roman" w:hAnsi="Times New Roman"/>
          <w:sz w:val="18"/>
          <w:szCs w:val="18"/>
          <w:u w:val="single" w:color="auto"/>
          <w:color w:val="0000EE"/>
        </w:rPr>
      </w:pPr>
    </w:p>
    <w:p>
      <w:pPr>
        <w:jc w:val="both"/>
        <w:ind w:left="1160" w:right="19" w:hanging="764"/>
        <w:spacing w:after="0" w:line="261" w:lineRule="auto"/>
        <w:tabs>
          <w:tab w:leader="none" w:pos="1160" w:val="left"/>
        </w:tabs>
        <w:numPr>
          <w:ilvl w:val="0"/>
          <w:numId w:val="63"/>
        </w:numPr>
        <w:rPr>
          <w:rFonts w:ascii="Times New Roman" w:cs="Times New Roman" w:eastAsia="Times New Roman" w:hAnsi="Times New Roman"/>
          <w:sz w:val="18"/>
          <w:szCs w:val="18"/>
          <w:u w:val="single" w:color="auto"/>
          <w:color w:val="0000EE"/>
        </w:rPr>
      </w:pPr>
      <w:hyperlink r:id="rId184">
        <w:r>
          <w:rPr>
            <w:rFonts w:ascii="Times New Roman" w:cs="Times New Roman" w:eastAsia="Times New Roman" w:hAnsi="Times New Roman"/>
            <w:sz w:val="18"/>
            <w:szCs w:val="18"/>
            <w:u w:val="single" w:color="auto"/>
            <w:color w:val="0000EE"/>
          </w:rPr>
          <w:t>Reaffirmation of Second Lien Guarantee and Collateral Agreement, dated as of March 7, 2017, among the Company, the</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subsidiaries of the Company identified therein, Deutsche Bank Trust Company Americas, as Collateral Agent, and</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JPMorgan Chase Bank, N.A., as Administrative Agent (incorporated by reference, filed as Exhibit 10.2 to the Company's</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Quarterly Report on Form 10-Q for the quarter ended March 31, 2017, File No. 1-1927).</w:t>
        </w:r>
      </w:hyperlink>
    </w:p>
    <w:p>
      <w:pPr>
        <w:spacing w:after="0" w:line="193" w:lineRule="exact"/>
        <w:rPr>
          <w:rFonts w:ascii="Times New Roman" w:cs="Times New Roman" w:eastAsia="Times New Roman" w:hAnsi="Times New Roman"/>
          <w:sz w:val="18"/>
          <w:szCs w:val="18"/>
          <w:u w:val="single" w:color="auto"/>
          <w:color w:val="0000EE"/>
        </w:rPr>
      </w:pPr>
    </w:p>
    <w:p>
      <w:pPr>
        <w:jc w:val="both"/>
        <w:ind w:left="1160" w:right="19" w:hanging="759"/>
        <w:spacing w:after="0" w:line="258" w:lineRule="auto"/>
        <w:tabs>
          <w:tab w:leader="none" w:pos="1160" w:val="left"/>
        </w:tabs>
        <w:numPr>
          <w:ilvl w:val="0"/>
          <w:numId w:val="63"/>
        </w:numPr>
        <w:rPr>
          <w:rFonts w:ascii="Times New Roman" w:cs="Times New Roman" w:eastAsia="Times New Roman" w:hAnsi="Times New Roman"/>
          <w:sz w:val="18"/>
          <w:szCs w:val="18"/>
          <w:u w:val="single" w:color="auto"/>
          <w:color w:val="0000EE"/>
        </w:rPr>
      </w:pPr>
      <w:hyperlink r:id="rId185">
        <w:r>
          <w:rPr>
            <w:rFonts w:ascii="Times New Roman" w:cs="Times New Roman" w:eastAsia="Times New Roman" w:hAnsi="Times New Roman"/>
            <w:sz w:val="18"/>
            <w:szCs w:val="18"/>
            <w:u w:val="single" w:color="auto"/>
            <w:color w:val="0000EE"/>
          </w:rPr>
          <w:t>Amended and Restated Lenders Lien Subordination and Intercreditor Agreement, dated as of April 19, 2012, among</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JPMorgan Chase Bank, N.A., as Collateral Agent for the First Lien Secured Parties referred to therein, Deutsche Bank Trust</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Company Americas, as Collateral Agent for the Second Lien Secured Parties referred to therein, the Company, and the</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subsidiaries of the Company named therein (incorporated by reference, filed as Exhibit 10.5 to the Company's Quarterly</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Report on Form 10-Q for the quarter ended June 30, 2012, File No. 1-1927).</w:t>
        </w:r>
      </w:hyperlink>
    </w:p>
    <w:p>
      <w:pPr>
        <w:spacing w:after="0" w:line="210" w:lineRule="exact"/>
        <w:rPr>
          <w:rFonts w:ascii="Times New Roman" w:cs="Times New Roman" w:eastAsia="Times New Roman" w:hAnsi="Times New Roman"/>
          <w:sz w:val="18"/>
          <w:szCs w:val="18"/>
          <w:u w:val="single" w:color="auto"/>
          <w:color w:val="0000EE"/>
        </w:rPr>
      </w:pPr>
    </w:p>
    <w:p>
      <w:pPr>
        <w:ind w:left="5480"/>
        <w:spacing w:after="0"/>
        <w:rPr>
          <w:sz w:val="20"/>
          <w:szCs w:val="20"/>
          <w:color w:val="auto"/>
        </w:rPr>
      </w:pPr>
      <w:r>
        <w:rPr>
          <w:rFonts w:ascii="Times New Roman" w:cs="Times New Roman" w:eastAsia="Times New Roman" w:hAnsi="Times New Roman"/>
          <w:sz w:val="18"/>
          <w:szCs w:val="18"/>
          <w:color w:val="auto"/>
        </w:rPr>
        <w:t>X-2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27" w:name="page128"/>
    <w:bookmarkEnd w:id="1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jc w:val="both"/>
        <w:ind w:left="1160" w:right="1120" w:hanging="749"/>
        <w:spacing w:after="0" w:line="256" w:lineRule="auto"/>
        <w:tabs>
          <w:tab w:leader="none" w:pos="1160" w:val="left"/>
        </w:tabs>
        <w:numPr>
          <w:ilvl w:val="0"/>
          <w:numId w:val="64"/>
        </w:numPr>
        <w:rPr>
          <w:rFonts w:ascii="Times New Roman" w:cs="Times New Roman" w:eastAsia="Times New Roman" w:hAnsi="Times New Roman"/>
          <w:sz w:val="18"/>
          <w:szCs w:val="18"/>
          <w:u w:val="single" w:color="auto"/>
          <w:color w:val="0000EE"/>
        </w:rPr>
      </w:pPr>
      <w:hyperlink r:id="rId187">
        <w:r>
          <w:rPr>
            <w:rFonts w:ascii="Times New Roman" w:cs="Times New Roman" w:eastAsia="Times New Roman" w:hAnsi="Times New Roman"/>
            <w:sz w:val="18"/>
            <w:szCs w:val="18"/>
            <w:u w:val="single" w:color="auto"/>
            <w:color w:val="0000EE"/>
          </w:rPr>
          <w:t>Amended and Restated Revolving Credit Agreement, dated as of March 27, 2019, among the Company, Goodyear Europe</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B.V., Goodyear Dunlop Tires Germany GmbH, Goodyear Dunlop Tires Operations S.A., the lenders party thereto, J.P.</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Morgan Europe Limited, as Administrative Agent, JPMorgan Chase Bank, N.A., as Collateral Agent, BGL BNP Paribas</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S.A., as Syndication Agent, and the documentation agents, joint bookrunners and joint lead arrangers identified therein</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(incorporated by reference, filed as Exhibit 10.1 to the Company’s Quarterly Report on Form 10-Q for the quarter ended</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March 31, 2019, File No. 1-1927).</w:t>
        </w:r>
      </w:hyperlink>
    </w:p>
    <w:p>
      <w:pPr>
        <w:spacing w:after="0" w:line="160" w:lineRule="exact"/>
        <w:rPr>
          <w:rFonts w:ascii="Times New Roman" w:cs="Times New Roman" w:eastAsia="Times New Roman" w:hAnsi="Times New Roman"/>
          <w:sz w:val="18"/>
          <w:szCs w:val="18"/>
          <w:u w:val="single" w:color="auto"/>
          <w:color w:val="0000EE"/>
        </w:rPr>
      </w:pPr>
    </w:p>
    <w:p>
      <w:pPr>
        <w:jc w:val="both"/>
        <w:ind w:left="1160" w:right="1120" w:hanging="764"/>
        <w:spacing w:after="0" w:line="258" w:lineRule="auto"/>
        <w:tabs>
          <w:tab w:leader="none" w:pos="1160" w:val="left"/>
        </w:tabs>
        <w:numPr>
          <w:ilvl w:val="0"/>
          <w:numId w:val="65"/>
        </w:numPr>
        <w:rPr>
          <w:rFonts w:ascii="Times New Roman" w:cs="Times New Roman" w:eastAsia="Times New Roman" w:hAnsi="Times New Roman"/>
          <w:sz w:val="18"/>
          <w:szCs w:val="18"/>
          <w:u w:val="single" w:color="auto"/>
          <w:color w:val="0000EE"/>
        </w:rPr>
      </w:pPr>
      <w:hyperlink r:id="rId188">
        <w:r>
          <w:rPr>
            <w:rFonts w:ascii="Times New Roman" w:cs="Times New Roman" w:eastAsia="Times New Roman" w:hAnsi="Times New Roman"/>
            <w:sz w:val="18"/>
            <w:szCs w:val="18"/>
            <w:u w:val="single" w:color="auto"/>
            <w:color w:val="0000EE"/>
          </w:rPr>
          <w:t>Amendment and Restatement Agreement, dated as of March 27, 2019, among the Company, Goodyear Europe B.V.,</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Goodyear Dunlop Tires Germany GmbH, Goodyear Dunlop Tires Operations S.A., J.P. Morgan Europe Limited, as</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Administrative Agent, JPMorgan Chase Bank, N.A., as Collateral Agent, and the issuing banks, subsidiary guarantors and</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lenders party thereto (incorporated by reference, filed as Exhibit 10.2 to the Company’s Quarterly Report on Form 10-Q for</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the quarter ended March 31, 2019, File No. 1-1927).</w:t>
        </w:r>
      </w:hyperlink>
    </w:p>
    <w:p>
      <w:pPr>
        <w:spacing w:after="0" w:line="196" w:lineRule="exact"/>
        <w:rPr>
          <w:rFonts w:ascii="Times New Roman" w:cs="Times New Roman" w:eastAsia="Times New Roman" w:hAnsi="Times New Roman"/>
          <w:sz w:val="18"/>
          <w:szCs w:val="18"/>
          <w:u w:val="single" w:color="auto"/>
          <w:color w:val="0000EE"/>
        </w:rPr>
      </w:pPr>
    </w:p>
    <w:p>
      <w:pPr>
        <w:jc w:val="both"/>
        <w:ind w:left="1160" w:right="1120" w:hanging="764"/>
        <w:spacing w:after="0" w:line="253" w:lineRule="auto"/>
        <w:tabs>
          <w:tab w:leader="none" w:pos="1160" w:val="left"/>
        </w:tabs>
        <w:numPr>
          <w:ilvl w:val="0"/>
          <w:numId w:val="65"/>
        </w:numPr>
        <w:rPr>
          <w:rFonts w:ascii="Times New Roman" w:cs="Times New Roman" w:eastAsia="Times New Roman" w:hAnsi="Times New Roman"/>
          <w:sz w:val="18"/>
          <w:szCs w:val="18"/>
          <w:u w:val="single" w:color="auto"/>
          <w:color w:val="0000EE"/>
        </w:rPr>
      </w:pPr>
      <w:hyperlink r:id="rId188">
        <w:r>
          <w:rPr>
            <w:rFonts w:ascii="Times New Roman" w:cs="Times New Roman" w:eastAsia="Times New Roman" w:hAnsi="Times New Roman"/>
            <w:sz w:val="18"/>
            <w:szCs w:val="18"/>
            <w:u w:val="single" w:color="auto"/>
            <w:color w:val="0000EE"/>
          </w:rPr>
          <w:t>Master Guarantee and Collateral Agreement, dated as of March 31, 2003, as amended and restated as of February 20, 2004,</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and as further amended and restated as of April 8, 2005, among the Company, Goodyear Dunlop Tires Europe B.V. (now</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known as Goodyear Europe B.V.), the other subsidiaries of the Company identified therein and JPMorgan Chase Bank,</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N.A., as Collateral Agent (incorporated by reference, filed as Exhibit 4.7 to the Company’s Quarterly Report on Form 10-Q</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for the quarter ended March 31, 2005, File No. 1-1927), as amended by the Amendment and Restatement Agreement, dated</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as of April 20, 2007 (incorporated by reference, filed as Exhibit 4.6 to the Company’s Quarterly Report on Form 10-Q for</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the quarter ended March 31, 2007, File No. 1-1927), as amended by the Amendment and Restatement Agreement, dated as</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of April 20, 2011 (incorporated by reference, filed as Exhibit 10.1 to the Company's Annual Report on Form 10-K for the</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year ended December 31, 2011, File No. 1-1927), as amended by the Amendment and Restatement Agreement, dated as of</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May 12, 2015 (incorporated by reference, filed as Exhibit 10.2 to the Company’s Quarterly Report on Form 10-Q for the</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quarter ended June 30, 2015, File No. 1-1927), and as amended by the Amendment and Restatement Agreement, dated as of</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March 27, 2019 (incorporated by reference, filed as Exhibit 10.2 to the Company's Quarterly Report on Form 10-Q for the</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quarter ended March 31, 2019, File No. 1-1927).</w:t>
        </w:r>
      </w:hyperlink>
    </w:p>
    <w:p>
      <w:pPr>
        <w:spacing w:after="0" w:line="201" w:lineRule="exact"/>
        <w:rPr>
          <w:rFonts w:ascii="Times New Roman" w:cs="Times New Roman" w:eastAsia="Times New Roman" w:hAnsi="Times New Roman"/>
          <w:sz w:val="18"/>
          <w:szCs w:val="18"/>
          <w:u w:val="single" w:color="auto"/>
          <w:color w:val="0000EE"/>
        </w:rPr>
      </w:pPr>
    </w:p>
    <w:p>
      <w:pPr>
        <w:jc w:val="both"/>
        <w:ind w:left="1160" w:right="1120" w:hanging="744"/>
        <w:spacing w:after="0" w:line="258" w:lineRule="auto"/>
        <w:tabs>
          <w:tab w:leader="none" w:pos="1160" w:val="left"/>
        </w:tabs>
        <w:numPr>
          <w:ilvl w:val="0"/>
          <w:numId w:val="66"/>
        </w:numPr>
        <w:rPr>
          <w:rFonts w:ascii="Times New Roman" w:cs="Times New Roman" w:eastAsia="Times New Roman" w:hAnsi="Times New Roman"/>
          <w:sz w:val="18"/>
          <w:szCs w:val="18"/>
          <w:u w:val="single" w:color="auto"/>
          <w:color w:val="0000EE"/>
        </w:rPr>
      </w:pPr>
      <w:hyperlink r:id="rId189">
        <w:r>
          <w:rPr>
            <w:rFonts w:ascii="Times New Roman" w:cs="Times New Roman" w:eastAsia="Times New Roman" w:hAnsi="Times New Roman"/>
            <w:sz w:val="18"/>
            <w:szCs w:val="18"/>
            <w:u w:val="single" w:color="auto"/>
            <w:color w:val="0000EE"/>
          </w:rPr>
          <w:t>Amended and Restated General Master Purchase Agreement dated December 10, 2004, as last amended and restated on</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September 26, 2018, between Ester Finance Titrisation, as Purchaser, Credit Agricole Leasing &amp; Factoring, as Agent, Credit</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Agricole Corporate and Investment Bank, as Joint Lead Arranger and as Calculation Agent, Natixis, as Joint Lead Arranger,</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Dunlop Tyres Limited, as Centralising Unit, and the Sellers listed therein (incorporated by reference, filed as Exhibit 10.2 to</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the Company’s Quarterly Report on Form 10-Q for the quarter ended September 30, 2018, File No. 1-1927).</w:t>
        </w:r>
      </w:hyperlink>
    </w:p>
    <w:p>
      <w:pPr>
        <w:spacing w:after="0" w:line="184" w:lineRule="exact"/>
        <w:rPr>
          <w:rFonts w:ascii="Times New Roman" w:cs="Times New Roman" w:eastAsia="Times New Roman" w:hAnsi="Times New Roman"/>
          <w:sz w:val="18"/>
          <w:szCs w:val="18"/>
          <w:u w:val="single" w:color="auto"/>
          <w:color w:val="0000EE"/>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w:t>
            </w:r>
          </w:p>
        </w:tc>
        <w:tc>
          <w:tcPr>
            <w:tcW w:w="89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2017 Performance Plan of the Company (incorporated by reference, filed as Exhibit 10.1 to the Company's Current Report</w:t>
              </w:r>
            </w:hyperlink>
          </w:p>
        </w:tc>
        <w:tc>
          <w:tcPr>
            <w:tcW w:w="1100" w:type="dxa"/>
            <w:vAlign w:val="bottom"/>
          </w:tcPr>
          <w:p>
            <w:pPr>
              <w:spacing w:after="0"/>
              <w:rPr>
                <w:sz w:val="18"/>
                <w:szCs w:val="18"/>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6"/>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on Form 8-K, filed April 13, 2017, File No. 1-1927)</w:t>
              </w:r>
              <w:r>
                <w:rPr>
                  <w:rFonts w:ascii="Times New Roman" w:cs="Times New Roman" w:eastAsia="Times New Roman" w:hAnsi="Times New Roman"/>
                  <w:sz w:val="18"/>
                  <w:szCs w:val="18"/>
                  <w:color w:val="000000"/>
                </w:rPr>
                <w:t>.</w:t>
              </w:r>
            </w:hyperlink>
          </w:p>
        </w:tc>
      </w:tr>
      <w:tr>
        <w:trPr>
          <w:trHeight w:val="20"/>
        </w:trPr>
        <w:tc>
          <w:tcPr>
            <w:tcW w:w="116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425"/>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w:t>
            </w:r>
          </w:p>
        </w:tc>
        <w:tc>
          <w:tcPr>
            <w:tcW w:w="89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Form of Non-Qualified Stock Option Grant Agreement (incorporated by reference, filed as Exhibit 10.1 to the Company’s</w:t>
              </w:r>
            </w:hyperlink>
          </w:p>
        </w:tc>
        <w:tc>
          <w:tcPr>
            <w:tcW w:w="112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6"/>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Current Report on Form 8-K, filed June 8, 2017, File No. 1-1927).</w:t>
              </w:r>
            </w:hyperlink>
          </w:p>
        </w:tc>
      </w:tr>
      <w:tr>
        <w:trPr>
          <w:trHeight w:val="20"/>
        </w:trPr>
        <w:tc>
          <w:tcPr>
            <w:tcW w:w="1160" w:type="dxa"/>
            <w:vAlign w:val="bottom"/>
          </w:tcPr>
          <w:p>
            <w:pPr>
              <w:spacing w:after="0" w:line="20" w:lineRule="exact"/>
              <w:rPr>
                <w:sz w:val="1"/>
                <w:szCs w:val="1"/>
                <w:color w:val="auto"/>
              </w:rPr>
            </w:pPr>
          </w:p>
        </w:tc>
        <w:tc>
          <w:tcPr>
            <w:tcW w:w="4780" w:type="dxa"/>
            <w:vAlign w:val="bottom"/>
            <w:gridSpan w:val="2"/>
            <w:shd w:val="clear" w:color="auto" w:fill="0000EE"/>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426"/>
        </w:trPr>
        <w:tc>
          <w:tcPr>
            <w:tcW w:w="1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w:t>
            </w:r>
          </w:p>
        </w:tc>
        <w:tc>
          <w:tcPr>
            <w:tcW w:w="10080" w:type="dxa"/>
            <w:vAlign w:val="bottom"/>
            <w:gridSpan w:val="6"/>
          </w:tcPr>
          <w:p>
            <w:pPr>
              <w:spacing w:after="0"/>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Form of Non-Qualified Stock Option with Tandem Stock Appreciation Right Grant Agreement (incorporated by reference,</w:t>
              </w:r>
            </w:hyperlink>
          </w:p>
        </w:tc>
      </w:tr>
      <w:tr>
        <w:trPr>
          <w:trHeight w:val="237"/>
        </w:trPr>
        <w:tc>
          <w:tcPr>
            <w:tcW w:w="1160" w:type="dxa"/>
            <w:vAlign w:val="bottom"/>
          </w:tcPr>
          <w:p>
            <w:pPr>
              <w:spacing w:after="0"/>
              <w:rPr>
                <w:sz w:val="20"/>
                <w:szCs w:val="20"/>
                <w:color w:val="auto"/>
              </w:rPr>
            </w:pPr>
          </w:p>
        </w:tc>
        <w:tc>
          <w:tcPr>
            <w:tcW w:w="8940" w:type="dxa"/>
            <w:vAlign w:val="bottom"/>
            <w:tcBorders>
              <w:top w:val="single" w:sz="8" w:color="0000EE"/>
            </w:tcBorders>
            <w:gridSpan w:val="3"/>
          </w:tcPr>
          <w:p>
            <w:pPr>
              <w:spacing w:after="0"/>
              <w:rPr>
                <w:rFonts w:ascii="Times New Roman" w:cs="Times New Roman" w:eastAsia="Times New Roman" w:hAnsi="Times New Roman"/>
                <w:sz w:val="18"/>
                <w:szCs w:val="18"/>
                <w:u w:val="single" w:color="auto"/>
                <w:color w:val="0000EE"/>
              </w:rPr>
            </w:pPr>
            <w:hyperlink r:id="rId192">
              <w:r>
                <w:rPr>
                  <w:rFonts w:ascii="Times New Roman" w:cs="Times New Roman" w:eastAsia="Times New Roman" w:hAnsi="Times New Roman"/>
                  <w:sz w:val="18"/>
                  <w:szCs w:val="18"/>
                  <w:u w:val="single" w:color="auto"/>
                  <w:color w:val="0000EE"/>
                </w:rPr>
                <w:t>filed as Exhibit 10.2 to the Company’s Current Report on Form 8-K, filed June 8, 2017, File No. 1-1927).</w:t>
              </w:r>
            </w:hyperlink>
          </w:p>
        </w:tc>
        <w:tc>
          <w:tcPr>
            <w:tcW w:w="1140" w:type="dxa"/>
            <w:vAlign w:val="bottom"/>
            <w:gridSpan w:val="3"/>
          </w:tcPr>
          <w:p>
            <w:pPr>
              <w:spacing w:after="0"/>
              <w:rPr>
                <w:sz w:val="20"/>
                <w:szCs w:val="20"/>
                <w:color w:val="auto"/>
              </w:rPr>
            </w:pPr>
          </w:p>
        </w:tc>
      </w:tr>
      <w:tr>
        <w:trPr>
          <w:trHeight w:val="459"/>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34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X-3</w:t>
            </w:r>
          </w:p>
        </w:tc>
      </w:tr>
      <w:tr>
        <w:trPr>
          <w:trHeight w:val="115"/>
        </w:trPr>
        <w:tc>
          <w:tcPr>
            <w:tcW w:w="116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(m)*</w:t>
            </w:r>
          </w:p>
        </w:tc>
        <w:tc>
          <w:tcPr>
            <w:tcW w:w="89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Form of Non-Qualified Stock Option Retention Grant Agreement (incorporated by reference, filed as Exhibit 10.1 to the</w:t>
              </w:r>
            </w:hyperlink>
          </w:p>
        </w:tc>
        <w:tc>
          <w:tcPr>
            <w:tcW w:w="112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0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Company’s Current Report on Form 8-K, filed February 28, 2020, File No. 1-1927).</w:t>
              </w:r>
            </w:hyperlink>
          </w:p>
        </w:tc>
        <w:tc>
          <w:tcPr>
            <w:tcW w:w="4020" w:type="dxa"/>
            <w:vAlign w:val="bottom"/>
            <w:gridSpan w:val="6"/>
          </w:tcPr>
          <w:p>
            <w:pPr>
              <w:spacing w:after="0"/>
              <w:rPr>
                <w:sz w:val="17"/>
                <w:szCs w:val="17"/>
                <w:color w:val="auto"/>
              </w:rPr>
            </w:pPr>
          </w:p>
        </w:tc>
      </w:tr>
      <w:tr>
        <w:trPr>
          <w:trHeight w:val="425"/>
        </w:trPr>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w:t>
            </w:r>
          </w:p>
        </w:tc>
        <w:tc>
          <w:tcPr>
            <w:tcW w:w="89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Form of Incentive Stock Option Grant Agreement (incorporated by reference, filed as Exhibit 10.3 to the Company’s</w:t>
              </w:r>
            </w:hyperlink>
          </w:p>
        </w:tc>
        <w:tc>
          <w:tcPr>
            <w:tcW w:w="112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13"/>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Current Report on Form 8-K, filed June 8, 2017, File No. 1-1927).</w:t>
              </w:r>
            </w:hyperlink>
          </w:p>
        </w:tc>
      </w:tr>
      <w:tr>
        <w:trPr>
          <w:trHeight w:val="20"/>
        </w:trPr>
        <w:tc>
          <w:tcPr>
            <w:tcW w:w="116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26"/>
        </w:trPr>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w:t>
            </w:r>
          </w:p>
        </w:tc>
        <w:tc>
          <w:tcPr>
            <w:tcW w:w="89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Form of Performance Share Grant Agreement (incorporated by reference, filed as Exhibit 10.4 to the Company’s Current</w:t>
              </w:r>
            </w:hyperlink>
          </w:p>
        </w:tc>
        <w:tc>
          <w:tcPr>
            <w:tcW w:w="112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13"/>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Report on Form 8-K, filed June 8, 2017, File No. 1-1927).</w:t>
              </w:r>
            </w:hyperlink>
          </w:p>
        </w:tc>
      </w:tr>
      <w:tr>
        <w:trPr>
          <w:trHeight w:val="20"/>
        </w:trPr>
        <w:tc>
          <w:tcPr>
            <w:tcW w:w="116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25"/>
        </w:trPr>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(p)*</w:t>
            </w:r>
          </w:p>
        </w:tc>
        <w:tc>
          <w:tcPr>
            <w:tcW w:w="89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Form of Performance Share Continuous Vesting Grant Agreement (incorporated by reference, filed as Exhibit 10.2 to the</w:t>
              </w:r>
            </w:hyperlink>
          </w:p>
        </w:tc>
        <w:tc>
          <w:tcPr>
            <w:tcW w:w="112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60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Company’s Current Report on Form 8-K, filed February 28, 2020, File No. 1-1927).</w:t>
              </w:r>
            </w:hyperlink>
          </w:p>
        </w:tc>
        <w:tc>
          <w:tcPr>
            <w:tcW w:w="4020" w:type="dxa"/>
            <w:vAlign w:val="bottom"/>
            <w:gridSpan w:val="6"/>
          </w:tcPr>
          <w:p>
            <w:pPr>
              <w:spacing w:after="0"/>
              <w:rPr>
                <w:sz w:val="17"/>
                <w:szCs w:val="17"/>
                <w:color w:val="auto"/>
              </w:rPr>
            </w:pPr>
          </w:p>
        </w:tc>
      </w:tr>
      <w:tr>
        <w:trPr>
          <w:trHeight w:val="426"/>
        </w:trPr>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(q)*</w:t>
            </w:r>
          </w:p>
        </w:tc>
        <w:tc>
          <w:tcPr>
            <w:tcW w:w="89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Form of Executive Performance Unit Grant Agreement (incorporated by reference, filed as Exhibit 10.5 to the Company’s</w:t>
              </w:r>
            </w:hyperlink>
          </w:p>
        </w:tc>
        <w:tc>
          <w:tcPr>
            <w:tcW w:w="112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13"/>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Current Report on Form 8-K, filed June 8, 2017, File No. 1-1927).</w:t>
              </w:r>
            </w:hyperlink>
          </w:p>
        </w:tc>
      </w:tr>
      <w:tr>
        <w:trPr>
          <w:trHeight w:val="20"/>
        </w:trPr>
        <w:tc>
          <w:tcPr>
            <w:tcW w:w="116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26"/>
        </w:trPr>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(r)*</w:t>
            </w:r>
          </w:p>
        </w:tc>
        <w:tc>
          <w:tcPr>
            <w:tcW w:w="10080" w:type="dxa"/>
            <w:vAlign w:val="bottom"/>
            <w:gridSpan w:val="13"/>
          </w:tcPr>
          <w:p>
            <w:pPr>
              <w:spacing w:after="0"/>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Form of Executive Performance Unit Continuous Vesting Grant Agreement (incorporated by reference, filed as Exhibit 10.3</w:t>
              </w:r>
            </w:hyperlink>
          </w:p>
        </w:tc>
      </w:tr>
      <w:tr>
        <w:trPr>
          <w:trHeight w:val="196"/>
        </w:trPr>
        <w:tc>
          <w:tcPr>
            <w:tcW w:w="1160" w:type="dxa"/>
            <w:vAlign w:val="bottom"/>
          </w:tcPr>
          <w:p>
            <w:pPr>
              <w:spacing w:after="0"/>
              <w:rPr>
                <w:sz w:val="17"/>
                <w:szCs w:val="17"/>
                <w:color w:val="auto"/>
              </w:rPr>
            </w:pPr>
          </w:p>
        </w:tc>
        <w:tc>
          <w:tcPr>
            <w:tcW w:w="89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to the Company’s Current Report on Form 8-K, filed February 28, 2020, File No. 1-1927).</w:t>
              </w:r>
            </w:hyperlink>
          </w:p>
        </w:tc>
        <w:tc>
          <w:tcPr>
            <w:tcW w:w="1140" w:type="dxa"/>
            <w:vAlign w:val="bottom"/>
            <w:gridSpan w:val="4"/>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25"/>
        </w:trPr>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w:t>
            </w:r>
          </w:p>
        </w:tc>
        <w:tc>
          <w:tcPr>
            <w:tcW w:w="89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Form of Restricted Stock Unit Retention Grant Agreement (incorporated by reference, filed as Exhibit 10.6 to the</w:t>
              </w:r>
            </w:hyperlink>
          </w:p>
        </w:tc>
        <w:tc>
          <w:tcPr>
            <w:tcW w:w="112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13"/>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Company’s Current Report on Form 8-K, filed June 8, 2017, File No. 1-1927).</w:t>
              </w:r>
            </w:hyperlink>
          </w:p>
        </w:tc>
      </w:tr>
      <w:tr>
        <w:trPr>
          <w:trHeight w:val="20"/>
        </w:trPr>
        <w:tc>
          <w:tcPr>
            <w:tcW w:w="116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26"/>
        </w:trPr>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(t)*</w:t>
            </w:r>
          </w:p>
        </w:tc>
        <w:tc>
          <w:tcPr>
            <w:tcW w:w="89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Form of Restricted Stock Unit Annual Grant Agreement (incorporated by reference, filed as Exhibit 10.7 to the Company’s</w:t>
              </w:r>
            </w:hyperlink>
          </w:p>
        </w:tc>
        <w:tc>
          <w:tcPr>
            <w:tcW w:w="110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13"/>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Current Report on Form 8-K, filed June 8, 2017, File No. 1-1927).</w:t>
              </w:r>
            </w:hyperlink>
          </w:p>
        </w:tc>
      </w:tr>
      <w:tr>
        <w:trPr>
          <w:trHeight w:val="20"/>
        </w:trPr>
        <w:tc>
          <w:tcPr>
            <w:tcW w:w="116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26"/>
        </w:trPr>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(u)*</w:t>
            </w:r>
          </w:p>
        </w:tc>
        <w:tc>
          <w:tcPr>
            <w:tcW w:w="89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Form of Restricted Stock Unit Continuous Vesting Grant Agreement (incorporated by reference, filed as Exhibit 10.4 to the</w:t>
              </w:r>
            </w:hyperlink>
          </w:p>
        </w:tc>
        <w:tc>
          <w:tcPr>
            <w:tcW w:w="112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60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Company’s Current Report on Form 8-K, filed February 28, 2020, File No. 1-1927).</w:t>
              </w:r>
            </w:hyperlink>
          </w:p>
        </w:tc>
        <w:tc>
          <w:tcPr>
            <w:tcW w:w="4020" w:type="dxa"/>
            <w:vAlign w:val="bottom"/>
            <w:gridSpan w:val="6"/>
          </w:tcPr>
          <w:p>
            <w:pPr>
              <w:spacing w:after="0"/>
              <w:rPr>
                <w:sz w:val="17"/>
                <w:szCs w:val="17"/>
                <w:color w:val="auto"/>
              </w:rPr>
            </w:pPr>
          </w:p>
        </w:tc>
      </w:tr>
      <w:tr>
        <w:trPr>
          <w:trHeight w:val="425"/>
        </w:trPr>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(v)*</w:t>
            </w:r>
          </w:p>
        </w:tc>
        <w:tc>
          <w:tcPr>
            <w:tcW w:w="89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2013 Performance Plan of the Company (incorporated by reference, filed as Exhibit 10.1 to the Company's Current Report</w:t>
              </w:r>
            </w:hyperlink>
          </w:p>
        </w:tc>
        <w:tc>
          <w:tcPr>
            <w:tcW w:w="112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8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on Form 8-K, filed April 19, 2013, File No. 1-1927).</w:t>
              </w:r>
            </w:hyperlink>
          </w:p>
        </w:tc>
        <w:tc>
          <w:tcPr>
            <w:tcW w:w="6280" w:type="dxa"/>
            <w:vAlign w:val="bottom"/>
            <w:gridSpan w:val="11"/>
          </w:tcPr>
          <w:p>
            <w:pPr>
              <w:spacing w:after="0"/>
              <w:rPr>
                <w:sz w:val="17"/>
                <w:szCs w:val="17"/>
                <w:color w:val="auto"/>
              </w:rPr>
            </w:pPr>
          </w:p>
        </w:tc>
      </w:tr>
      <w:tr>
        <w:trPr>
          <w:trHeight w:val="425"/>
        </w:trPr>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w:t>
            </w:r>
          </w:p>
        </w:tc>
        <w:tc>
          <w:tcPr>
            <w:tcW w:w="89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2008 Performance Plan of the Company (incorporated by reference, filed as Exhibit 10.2 to the Company's Annual Report</w:t>
              </w:r>
            </w:hyperlink>
          </w:p>
        </w:tc>
        <w:tc>
          <w:tcPr>
            <w:tcW w:w="110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51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on Form 10-K for the year ended December 31, 2010, File No. 1-1927).</w:t>
              </w:r>
            </w:hyperlink>
          </w:p>
        </w:tc>
        <w:tc>
          <w:tcPr>
            <w:tcW w:w="4900" w:type="dxa"/>
            <w:vAlign w:val="bottom"/>
            <w:gridSpan w:val="8"/>
          </w:tcPr>
          <w:p>
            <w:pPr>
              <w:spacing w:after="0"/>
              <w:rPr>
                <w:sz w:val="17"/>
                <w:szCs w:val="17"/>
                <w:color w:val="auto"/>
              </w:rPr>
            </w:pPr>
          </w:p>
        </w:tc>
      </w:tr>
      <w:tr>
        <w:trPr>
          <w:trHeight w:val="425"/>
        </w:trPr>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(x)*</w:t>
            </w:r>
          </w:p>
        </w:tc>
        <w:tc>
          <w:tcPr>
            <w:tcW w:w="90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The Goodyear Tire &amp; Rubber Company Executive Annual Incentive Plan, effective as of January 1, 2019 (incorporated by</w:t>
              </w:r>
            </w:hyperlink>
          </w:p>
        </w:tc>
        <w:tc>
          <w:tcPr>
            <w:tcW w:w="1080" w:type="dxa"/>
            <w:vAlign w:val="bottom"/>
          </w:tcPr>
          <w:p>
            <w:pPr>
              <w:spacing w:after="0"/>
              <w:rPr>
                <w:sz w:val="24"/>
                <w:szCs w:val="24"/>
                <w:color w:val="auto"/>
              </w:rPr>
            </w:pPr>
          </w:p>
        </w:tc>
      </w:tr>
      <w:tr>
        <w:trPr>
          <w:trHeight w:val="237"/>
        </w:trPr>
        <w:tc>
          <w:tcPr>
            <w:tcW w:w="1160" w:type="dxa"/>
            <w:vAlign w:val="bottom"/>
          </w:tcPr>
          <w:p>
            <w:pPr>
              <w:spacing w:after="0"/>
              <w:rPr>
                <w:sz w:val="20"/>
                <w:szCs w:val="20"/>
                <w:color w:val="auto"/>
              </w:rPr>
            </w:pPr>
          </w:p>
        </w:tc>
        <w:tc>
          <w:tcPr>
            <w:tcW w:w="10080" w:type="dxa"/>
            <w:vAlign w:val="bottom"/>
            <w:gridSpan w:val="13"/>
          </w:tcPr>
          <w:p>
            <w:pPr>
              <w:spacing w:after="0"/>
              <w:rPr>
                <w:rFonts w:ascii="Times New Roman" w:cs="Times New Roman" w:eastAsia="Times New Roman" w:hAnsi="Times New Roman"/>
                <w:sz w:val="18"/>
                <w:szCs w:val="18"/>
                <w:u w:val="single" w:color="auto"/>
                <w:color w:val="0000EE"/>
              </w:rPr>
            </w:pPr>
            <w:hyperlink r:id="rId206">
              <w:r>
                <w:rPr>
                  <w:rFonts w:ascii="Times New Roman" w:cs="Times New Roman" w:eastAsia="Times New Roman" w:hAnsi="Times New Roman"/>
                  <w:sz w:val="18"/>
                  <w:szCs w:val="18"/>
                  <w:u w:val="single" w:color="auto"/>
                  <w:color w:val="0000EE"/>
                </w:rPr>
                <w:t>reference, filed as Exhibit 10.1 to the Company’s Current Report on Form 8-K, filed December 10, 2018, File No. 1-1927).</w:t>
              </w:r>
            </w:hyperlink>
          </w:p>
        </w:tc>
      </w:tr>
      <w:tr>
        <w:trPr>
          <w:trHeight w:val="405"/>
        </w:trPr>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(y)*</w:t>
            </w:r>
          </w:p>
        </w:tc>
        <w:tc>
          <w:tcPr>
            <w:tcW w:w="89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Goodyear Supplementary Pension Plan (October 7, 2008 Restatement) (incorporated by reference, filed as Exhibit 10.10 to</w:t>
              </w:r>
            </w:hyperlink>
          </w:p>
        </w:tc>
        <w:tc>
          <w:tcPr>
            <w:tcW w:w="1120" w:type="dxa"/>
            <w:vAlign w:val="bottom"/>
            <w:gridSpan w:val="3"/>
          </w:tcPr>
          <w:p>
            <w:pPr>
              <w:spacing w:after="0"/>
              <w:rPr>
                <w:sz w:val="24"/>
                <w:szCs w:val="24"/>
                <w:color w:val="auto"/>
              </w:rPr>
            </w:pPr>
          </w:p>
        </w:tc>
      </w:tr>
      <w:tr>
        <w:trPr>
          <w:trHeight w:val="237"/>
        </w:trPr>
        <w:tc>
          <w:tcPr>
            <w:tcW w:w="1160" w:type="dxa"/>
            <w:vAlign w:val="bottom"/>
          </w:tcPr>
          <w:p>
            <w:pPr>
              <w:spacing w:after="0"/>
              <w:rPr>
                <w:sz w:val="20"/>
                <w:szCs w:val="20"/>
                <w:color w:val="auto"/>
              </w:rPr>
            </w:pPr>
          </w:p>
        </w:tc>
        <w:tc>
          <w:tcPr>
            <w:tcW w:w="10080" w:type="dxa"/>
            <w:vAlign w:val="bottom"/>
            <w:gridSpan w:val="13"/>
          </w:tcPr>
          <w:p>
            <w:pPr>
              <w:spacing w:after="0"/>
              <w:rPr>
                <w:rFonts w:ascii="Times New Roman" w:cs="Times New Roman" w:eastAsia="Times New Roman" w:hAnsi="Times New Roman"/>
                <w:sz w:val="18"/>
                <w:szCs w:val="18"/>
                <w:u w:val="single" w:color="auto"/>
                <w:color w:val="0000EE"/>
              </w:rPr>
            </w:pPr>
            <w:hyperlink r:id="rId207">
              <w:r>
                <w:rPr>
                  <w:rFonts w:ascii="Times New Roman" w:cs="Times New Roman" w:eastAsia="Times New Roman" w:hAnsi="Times New Roman"/>
                  <w:sz w:val="18"/>
                  <w:szCs w:val="18"/>
                  <w:u w:val="single" w:color="auto"/>
                  <w:color w:val="0000EE"/>
                </w:rPr>
                <w:t>the Company’s Annual Report on Form 10-K for the year ended December 31, 2008, File No. 1-1927).</w:t>
              </w:r>
            </w:hyperlink>
          </w:p>
        </w:tc>
      </w:tr>
      <w:tr>
        <w:trPr>
          <w:trHeight w:val="405"/>
        </w:trPr>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(z)*</w:t>
            </w:r>
          </w:p>
        </w:tc>
        <w:tc>
          <w:tcPr>
            <w:tcW w:w="89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Defined Benefit Excess Benefit Plan of the Company, as amended and restated as of October 7, 2008, effective as of</w:t>
              </w:r>
            </w:hyperlink>
          </w:p>
        </w:tc>
        <w:tc>
          <w:tcPr>
            <w:tcW w:w="112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January 1, 2005 (incorporated by reference, filed as Exhibit 10.11 to the Company’s Annual Report on Form 10-K for the</w:t>
              </w:r>
            </w:hyperlink>
          </w:p>
        </w:tc>
        <w:tc>
          <w:tcPr>
            <w:tcW w:w="110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13"/>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year ended December 31, 2008, File No. 1-1927).</w:t>
              </w:r>
            </w:hyperlink>
          </w:p>
        </w:tc>
      </w:tr>
      <w:tr>
        <w:trPr>
          <w:trHeight w:val="480"/>
        </w:trPr>
        <w:tc>
          <w:tcPr>
            <w:tcW w:w="1160" w:type="dxa"/>
            <w:vAlign w:val="bottom"/>
          </w:tcPr>
          <w:p>
            <w:pPr>
              <w:spacing w:after="0"/>
              <w:rPr>
                <w:sz w:val="24"/>
                <w:szCs w:val="24"/>
                <w:color w:val="auto"/>
              </w:rPr>
            </w:pPr>
          </w:p>
        </w:tc>
        <w:tc>
          <w:tcPr>
            <w:tcW w:w="35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0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X-4</w:t>
            </w:r>
          </w:p>
        </w:tc>
      </w:tr>
      <w:tr>
        <w:trPr>
          <w:trHeight w:val="115"/>
        </w:trPr>
        <w:tc>
          <w:tcPr>
            <w:tcW w:w="116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w:t>
            </w:r>
          </w:p>
        </w:tc>
        <w:tc>
          <w:tcPr>
            <w:tcW w:w="89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Defined Contribution Excess Benefit Plan of the Company, adopted October 7, 2008, effective as of January 1, 2005, as</w:t>
              </w:r>
            </w:hyperlink>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89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further amended September 7, 2012 (incorporated by reference, filed as Exhibit 10.1 to the Company's Annual Report on</w:t>
              </w:r>
            </w:hyperlink>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9200" w:type="dxa"/>
            <w:vAlign w:val="bottom"/>
            <w:gridSpan w:val="6"/>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Form 10-K for the year ended December 31, 2012, File No. 1-1927).</w:t>
              </w:r>
            </w:hyperlink>
          </w:p>
        </w:tc>
        <w:tc>
          <w:tcPr>
            <w:tcW w:w="5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(bb)*</w:t>
            </w:r>
          </w:p>
        </w:tc>
        <w:tc>
          <w:tcPr>
            <w:tcW w:w="9200" w:type="dxa"/>
            <w:vAlign w:val="bottom"/>
            <w:gridSpan w:val="6"/>
          </w:tcPr>
          <w:p>
            <w:pPr>
              <w:spacing w:after="0"/>
              <w:rPr>
                <w:rFonts w:ascii="Times New Roman" w:cs="Times New Roman" w:eastAsia="Times New Roman" w:hAnsi="Times New Roman"/>
                <w:sz w:val="18"/>
                <w:szCs w:val="18"/>
                <w:u w:val="single" w:color="auto"/>
                <w:color w:val="0000EE"/>
              </w:rPr>
            </w:pPr>
            <w:hyperlink w:anchor="page133">
              <w:r>
                <w:rPr>
                  <w:rFonts w:ascii="Times New Roman" w:cs="Times New Roman" w:eastAsia="Times New Roman" w:hAnsi="Times New Roman"/>
                  <w:sz w:val="18"/>
                  <w:szCs w:val="18"/>
                  <w:u w:val="single" w:color="auto"/>
                  <w:color w:val="0000EE"/>
                </w:rPr>
                <w:t>Deferred Compensation Plan for Executives, as amended and restated on October 12, 2020.</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05"/>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(cc)*</w:t>
            </w:r>
          </w:p>
        </w:tc>
        <w:tc>
          <w:tcPr>
            <w:tcW w:w="89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Outside Directors’ Equity Participation Plan, as adopted February 2, 1996 and last amended as of October 8, 2019</w:t>
              </w:r>
            </w:hyperlink>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9200" w:type="dxa"/>
            <w:vAlign w:val="bottom"/>
            <w:gridSpan w:val="6"/>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(incorporated by reference, filed as Exhibit 10.1 to the Company’s Annual Report on Form 10-K for the year ended</w:t>
              </w:r>
            </w:hyperlink>
          </w:p>
        </w:tc>
        <w:tc>
          <w:tcPr>
            <w:tcW w:w="5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894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December 31, 2019, File No. 1-1927).</w:t>
              </w:r>
            </w:hyperlink>
          </w:p>
        </w:tc>
        <w:tc>
          <w:tcPr>
            <w:tcW w:w="26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(dd)*</w:t>
            </w:r>
          </w:p>
        </w:tc>
        <w:tc>
          <w:tcPr>
            <w:tcW w:w="89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The Goodyear Tire &amp; Rubber Company Executive Severance and Change in Control Plan, adopted February 28, 2013</w:t>
              </w:r>
            </w:hyperlink>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89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(incorporated by reference, filed as Exhibit 10.1 to the Company’s Current Report on Form 8-K, filed March 6, 2013, File</w:t>
              </w:r>
            </w:hyperlink>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213">
              <w:r>
                <w:rPr>
                  <w:rFonts w:ascii="Times New Roman" w:cs="Times New Roman" w:eastAsia="Times New Roman" w:hAnsi="Times New Roman"/>
                  <w:sz w:val="18"/>
                  <w:szCs w:val="18"/>
                  <w:color w:val="0000EE"/>
                  <w:w w:val="97"/>
                </w:rPr>
                <w:t>No. 1-1927).</w:t>
              </w:r>
            </w:hyperlink>
          </w:p>
        </w:tc>
        <w:tc>
          <w:tcPr>
            <w:tcW w:w="828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r>
    </w:tbl>
    <w:p>
      <w:pPr>
        <w:spacing w:after="0" w:line="234" w:lineRule="exact"/>
        <w:rPr>
          <w:sz w:val="20"/>
          <w:szCs w:val="20"/>
          <w:color w:val="auto"/>
        </w:rPr>
      </w:pPr>
    </w:p>
    <w:p>
      <w:pPr>
        <w:ind w:left="1160" w:hanging="749"/>
        <w:spacing w:after="0"/>
        <w:tabs>
          <w:tab w:leader="none" w:pos="11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Subsidiaries</w:t>
      </w:r>
    </w:p>
    <w:p>
      <w:pPr>
        <w:spacing w:after="0" w:line="243" w:lineRule="exact"/>
        <w:rPr>
          <w:sz w:val="20"/>
          <w:szCs w:val="20"/>
          <w:color w:val="auto"/>
        </w:rPr>
      </w:pPr>
    </w:p>
    <w:p>
      <w:pPr>
        <w:ind w:left="400"/>
        <w:spacing w:after="0"/>
        <w:tabs>
          <w:tab w:leader="none" w:pos="1140" w:val="left"/>
          <w:tab w:leader="none" w:pos="105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(a)</w:t>
      </w:r>
      <w:r>
        <w:rPr>
          <w:sz w:val="20"/>
          <w:szCs w:val="20"/>
          <w:color w:val="auto"/>
        </w:rPr>
        <w:tab/>
      </w:r>
      <w:hyperlink w:anchor="page172">
        <w:r>
          <w:rPr>
            <w:rFonts w:ascii="Times New Roman" w:cs="Times New Roman" w:eastAsia="Times New Roman" w:hAnsi="Times New Roman"/>
            <w:sz w:val="18"/>
            <w:szCs w:val="18"/>
            <w:u w:val="single" w:color="auto"/>
            <w:color w:val="0000EE"/>
          </w:rPr>
          <w:t>List of Subsidiaries of the Company at December 31, 2020.</w:t>
        </w:r>
      </w:hyperlink>
      <w:r>
        <w:rPr>
          <w:rFonts w:ascii="Times New Roman" w:cs="Times New Roman" w:eastAsia="Times New Roman" w:hAnsi="Times New Roman"/>
          <w:sz w:val="18"/>
          <w:szCs w:val="18"/>
          <w:color w:val="0000EE"/>
        </w:rPr>
        <w:tab/>
        <w:t>21.1</w:t>
      </w:r>
    </w:p>
    <w:p>
      <w:pPr>
        <w:spacing w:after="0" w:line="235" w:lineRule="exact"/>
        <w:rPr>
          <w:sz w:val="20"/>
          <w:szCs w:val="20"/>
          <w:color w:val="auto"/>
        </w:rPr>
      </w:pPr>
    </w:p>
    <w:p>
      <w:pPr>
        <w:ind w:left="1160" w:hanging="749"/>
        <w:spacing w:after="0"/>
        <w:tabs>
          <w:tab w:leader="none" w:pos="11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Subsidiary Guarantors of Guaranteed Securities</w:t>
      </w:r>
    </w:p>
    <w:p>
      <w:pPr>
        <w:spacing w:after="0" w:line="283" w:lineRule="exact"/>
        <w:rPr>
          <w:sz w:val="20"/>
          <w:szCs w:val="20"/>
          <w:color w:val="auto"/>
        </w:rPr>
      </w:pPr>
    </w:p>
    <w:p>
      <w:pPr>
        <w:ind w:left="400"/>
        <w:spacing w:after="0"/>
        <w:tabs>
          <w:tab w:leader="none" w:pos="1140" w:val="left"/>
          <w:tab w:leader="none" w:pos="105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(a)</w:t>
      </w:r>
      <w:r>
        <w:rPr>
          <w:sz w:val="20"/>
          <w:szCs w:val="20"/>
          <w:color w:val="auto"/>
        </w:rPr>
        <w:tab/>
      </w:r>
      <w:hyperlink w:anchor="page176">
        <w:r>
          <w:rPr>
            <w:rFonts w:ascii="Times New Roman" w:cs="Times New Roman" w:eastAsia="Times New Roman" w:hAnsi="Times New Roman"/>
            <w:sz w:val="18"/>
            <w:szCs w:val="18"/>
            <w:u w:val="single" w:color="auto"/>
            <w:color w:val="0000EE"/>
          </w:rPr>
          <w:t>List of Subsidiary Guarantors</w:t>
        </w:r>
        <w:r>
          <w:rPr>
            <w:rFonts w:ascii="Times New Roman" w:cs="Times New Roman" w:eastAsia="Times New Roman" w:hAnsi="Times New Roman"/>
            <w:sz w:val="18"/>
            <w:szCs w:val="18"/>
            <w:color w:val="0000EE"/>
          </w:rPr>
          <w:t>.</w:t>
        </w:r>
      </w:hyperlink>
      <w:r>
        <w:rPr>
          <w:rFonts w:ascii="Times New Roman" w:cs="Times New Roman" w:eastAsia="Times New Roman" w:hAnsi="Times New Roman"/>
          <w:sz w:val="18"/>
          <w:szCs w:val="18"/>
          <w:color w:val="0000EE"/>
        </w:rPr>
        <w:tab/>
        <w:t>22.1</w:t>
      </w:r>
    </w:p>
    <w:p>
      <w:pPr>
        <w:spacing w:after="0" w:line="356" w:lineRule="exact"/>
        <w:rPr>
          <w:sz w:val="20"/>
          <w:szCs w:val="20"/>
          <w:color w:val="auto"/>
        </w:rPr>
      </w:pPr>
    </w:p>
    <w:p>
      <w:pPr>
        <w:ind w:left="1160" w:hanging="749"/>
        <w:spacing w:after="0"/>
        <w:tabs>
          <w:tab w:leader="none" w:pos="11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Consents</w:t>
      </w:r>
    </w:p>
    <w:p>
      <w:pPr>
        <w:spacing w:after="0" w:line="243" w:lineRule="exact"/>
        <w:rPr>
          <w:sz w:val="20"/>
          <w:szCs w:val="20"/>
          <w:color w:val="auto"/>
        </w:rPr>
      </w:pPr>
    </w:p>
    <w:p>
      <w:pPr>
        <w:ind w:left="400"/>
        <w:spacing w:after="0"/>
        <w:tabs>
          <w:tab w:leader="none" w:pos="1140" w:val="left"/>
          <w:tab w:leader="none" w:pos="105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(a)</w:t>
      </w:r>
      <w:r>
        <w:rPr>
          <w:sz w:val="20"/>
          <w:szCs w:val="20"/>
          <w:color w:val="auto"/>
        </w:rPr>
        <w:tab/>
      </w:r>
      <w:hyperlink w:anchor="page177">
        <w:r>
          <w:rPr>
            <w:rFonts w:ascii="Times New Roman" w:cs="Times New Roman" w:eastAsia="Times New Roman" w:hAnsi="Times New Roman"/>
            <w:sz w:val="18"/>
            <w:szCs w:val="18"/>
            <w:u w:val="single" w:color="auto"/>
            <w:color w:val="0000EE"/>
          </w:rPr>
          <w:t>Consent of PricewaterhouseCoopers LLP.</w:t>
        </w:r>
      </w:hyperlink>
      <w:r>
        <w:rPr>
          <w:rFonts w:ascii="Times New Roman" w:cs="Times New Roman" w:eastAsia="Times New Roman" w:hAnsi="Times New Roman"/>
          <w:sz w:val="18"/>
          <w:szCs w:val="18"/>
          <w:color w:val="0000EE"/>
        </w:rPr>
        <w:tab/>
        <w:t>23.1</w:t>
      </w:r>
    </w:p>
    <w:p>
      <w:pPr>
        <w:spacing w:after="0" w:line="235" w:lineRule="exact"/>
        <w:rPr>
          <w:sz w:val="20"/>
          <w:szCs w:val="20"/>
          <w:color w:val="auto"/>
        </w:rPr>
      </w:pPr>
    </w:p>
    <w:p>
      <w:pPr>
        <w:ind w:left="1160" w:hanging="749"/>
        <w:spacing w:after="0"/>
        <w:tabs>
          <w:tab w:leader="none" w:pos="11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Powers of Attorney</w:t>
      </w:r>
    </w:p>
    <w:p>
      <w:pPr>
        <w:spacing w:after="0" w:line="243" w:lineRule="exact"/>
        <w:rPr>
          <w:sz w:val="20"/>
          <w:szCs w:val="20"/>
          <w:color w:val="auto"/>
        </w:rPr>
      </w:pPr>
    </w:p>
    <w:p>
      <w:pPr>
        <w:ind w:left="400"/>
        <w:spacing w:after="0"/>
        <w:tabs>
          <w:tab w:leader="none" w:pos="1140" w:val="left"/>
          <w:tab w:leader="none" w:pos="105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(a)</w:t>
      </w:r>
      <w:r>
        <w:rPr>
          <w:sz w:val="20"/>
          <w:szCs w:val="20"/>
          <w:color w:val="auto"/>
        </w:rPr>
        <w:tab/>
      </w:r>
      <w:hyperlink w:anchor="page178">
        <w:r>
          <w:rPr>
            <w:rFonts w:ascii="Times New Roman" w:cs="Times New Roman" w:eastAsia="Times New Roman" w:hAnsi="Times New Roman"/>
            <w:sz w:val="18"/>
            <w:szCs w:val="18"/>
            <w:u w:val="single" w:color="auto"/>
            <w:color w:val="0000EE"/>
          </w:rPr>
          <w:t>Power of Attorney of Officers and Directors signing this report.</w:t>
        </w:r>
      </w:hyperlink>
      <w:r>
        <w:rPr>
          <w:rFonts w:ascii="Times New Roman" w:cs="Times New Roman" w:eastAsia="Times New Roman" w:hAnsi="Times New Roman"/>
          <w:sz w:val="18"/>
          <w:szCs w:val="18"/>
          <w:color w:val="0000EE"/>
        </w:rPr>
        <w:tab/>
        <w:t>24.1</w:t>
      </w:r>
    </w:p>
    <w:p>
      <w:pPr>
        <w:spacing w:after="0" w:line="235" w:lineRule="exact"/>
        <w:rPr>
          <w:sz w:val="20"/>
          <w:szCs w:val="20"/>
          <w:color w:val="auto"/>
        </w:rPr>
      </w:pPr>
    </w:p>
    <w:p>
      <w:pPr>
        <w:ind w:left="1160" w:hanging="749"/>
        <w:spacing w:after="0"/>
        <w:tabs>
          <w:tab w:leader="none" w:pos="11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13a-14(a) Certifications</w:t>
      </w:r>
    </w:p>
    <w:p>
      <w:pPr>
        <w:spacing w:after="0" w:line="243"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940" w:type="dxa"/>
            <w:vAlign w:val="bottom"/>
          </w:tcPr>
          <w:p>
            <w:pPr>
              <w:ind w:left="280"/>
              <w:spacing w:after="0"/>
              <w:rPr>
                <w:rFonts w:ascii="Times New Roman" w:cs="Times New Roman" w:eastAsia="Times New Roman" w:hAnsi="Times New Roman"/>
                <w:sz w:val="18"/>
                <w:szCs w:val="18"/>
                <w:u w:val="single" w:color="auto"/>
                <w:color w:val="0000EE"/>
              </w:rPr>
            </w:pPr>
            <w:hyperlink w:anchor="page179">
              <w:r>
                <w:rPr>
                  <w:rFonts w:ascii="Times New Roman" w:cs="Times New Roman" w:eastAsia="Times New Roman" w:hAnsi="Times New Roman"/>
                  <w:sz w:val="18"/>
                  <w:szCs w:val="18"/>
                  <w:u w:val="single" w:color="auto"/>
                  <w:color w:val="0000EE"/>
                </w:rPr>
                <w:t>Certificate of Chief Executive Officer pursuant to Rule 13a-14(a) under the Securities Exchange Act of 1934.</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4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940" w:type="dxa"/>
            <w:vAlign w:val="bottom"/>
          </w:tcPr>
          <w:p>
            <w:pPr>
              <w:ind w:left="280"/>
              <w:spacing w:after="0"/>
              <w:rPr>
                <w:rFonts w:ascii="Times New Roman" w:cs="Times New Roman" w:eastAsia="Times New Roman" w:hAnsi="Times New Roman"/>
                <w:sz w:val="18"/>
                <w:szCs w:val="18"/>
                <w:u w:val="single" w:color="auto"/>
                <w:color w:val="0000EE"/>
              </w:rPr>
            </w:pPr>
            <w:hyperlink w:anchor="page180">
              <w:r>
                <w:rPr>
                  <w:rFonts w:ascii="Times New Roman" w:cs="Times New Roman" w:eastAsia="Times New Roman" w:hAnsi="Times New Roman"/>
                  <w:sz w:val="18"/>
                  <w:szCs w:val="18"/>
                  <w:u w:val="single" w:color="auto"/>
                  <w:color w:val="0000EE"/>
                </w:rPr>
                <w:t>Certificate of Chief Financial Officer pursuant to Rule 13a-14(a) under the Securities Exchange Act of 1934.</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bl>
    <w:p>
      <w:pPr>
        <w:spacing w:after="0" w:line="207" w:lineRule="exact"/>
        <w:rPr>
          <w:sz w:val="20"/>
          <w:szCs w:val="20"/>
          <w:color w:val="auto"/>
        </w:rPr>
      </w:pPr>
    </w:p>
    <w:p>
      <w:pPr>
        <w:ind w:left="1160" w:hanging="749"/>
        <w:spacing w:after="0"/>
        <w:tabs>
          <w:tab w:leader="none" w:pos="11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1350 Certifications</w:t>
      </w:r>
    </w:p>
    <w:p>
      <w:pPr>
        <w:spacing w:after="0" w:line="243" w:lineRule="exact"/>
        <w:rPr>
          <w:sz w:val="20"/>
          <w:szCs w:val="20"/>
          <w:color w:val="auto"/>
        </w:rPr>
      </w:pPr>
    </w:p>
    <w:p>
      <w:pPr>
        <w:ind w:left="1160" w:hanging="759"/>
        <w:spacing w:after="0" w:line="282" w:lineRule="auto"/>
        <w:tabs>
          <w:tab w:leader="none" w:pos="1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(a)</w:t>
      </w:r>
      <w:r>
        <w:rPr>
          <w:sz w:val="20"/>
          <w:szCs w:val="20"/>
          <w:color w:val="auto"/>
        </w:rPr>
        <w:tab/>
      </w:r>
      <w:hyperlink w:anchor="page181">
        <w:r>
          <w:rPr>
            <w:rFonts w:ascii="Times New Roman" w:cs="Times New Roman" w:eastAsia="Times New Roman" w:hAnsi="Times New Roman"/>
            <w:sz w:val="18"/>
            <w:szCs w:val="18"/>
            <w:u w:val="single" w:color="auto"/>
            <w:color w:val="0000EE"/>
          </w:rPr>
          <w:t>Certificate of Chief Executive Officer and Chief Financial Officer pursuant to Rule 13a-14(b) under the Securities</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32.1</w:t>
      </w:r>
      <w:r>
        <w:rPr>
          <w:rFonts w:ascii="Times New Roman" w:cs="Times New Roman" w:eastAsia="Times New Roman" w:hAnsi="Times New Roman"/>
          <w:sz w:val="18"/>
          <w:szCs w:val="18"/>
          <w:color w:val="0000EE"/>
        </w:rPr>
        <w:t xml:space="preserve"> </w:t>
      </w:r>
      <w:hyperlink w:anchor="page181">
        <w:r>
          <w:rPr>
            <w:rFonts w:ascii="Times New Roman" w:cs="Times New Roman" w:eastAsia="Times New Roman" w:hAnsi="Times New Roman"/>
            <w:sz w:val="18"/>
            <w:szCs w:val="18"/>
            <w:u w:val="single" w:color="auto"/>
            <w:color w:val="0000EE"/>
          </w:rPr>
          <w:t>Exchange Act of 1934.</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X-5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8" w:right="659" w:bottom="1440" w:gutter="0" w:footer="0" w:header="0"/>
        </w:sectPr>
      </w:pPr>
    </w:p>
    <w:bookmarkStart w:id="130" w:name="page131"/>
    <w:bookmarkEnd w:id="1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6"/>
              </w:rPr>
              <w:t>101</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Interactive Data Files</w:t>
            </w:r>
          </w:p>
        </w:tc>
        <w:tc>
          <w:tcPr>
            <w:tcW w:w="840" w:type="dxa"/>
            <w:vAlign w:val="bottom"/>
          </w:tcPr>
          <w:p>
            <w:pPr>
              <w:spacing w:after="0"/>
              <w:rPr>
                <w:sz w:val="20"/>
                <w:szCs w:val="20"/>
                <w:color w:val="auto"/>
              </w:rPr>
            </w:pPr>
          </w:p>
        </w:tc>
      </w:tr>
      <w:tr>
        <w:trPr>
          <w:trHeight w:val="427"/>
        </w:trPr>
        <w:tc>
          <w:tcPr>
            <w:tcW w:w="540" w:type="dxa"/>
            <w:vAlign w:val="bottom"/>
          </w:tcPr>
          <w:p>
            <w:pPr>
              <w:spacing w:after="0"/>
              <w:rPr>
                <w:sz w:val="24"/>
                <w:szCs w:val="24"/>
                <w:color w:val="auto"/>
              </w:rPr>
            </w:pP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c>
          <w:tcPr>
            <w:tcW w:w="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101.INS</w:t>
            </w:r>
          </w:p>
        </w:tc>
      </w:tr>
      <w:tr>
        <w:trPr>
          <w:trHeight w:val="234"/>
        </w:trPr>
        <w:tc>
          <w:tcPr>
            <w:tcW w:w="540" w:type="dxa"/>
            <w:vAlign w:val="bottom"/>
          </w:tcPr>
          <w:p>
            <w:pPr>
              <w:spacing w:after="0"/>
              <w:rPr>
                <w:sz w:val="20"/>
                <w:szCs w:val="20"/>
                <w:color w:val="auto"/>
              </w:rPr>
            </w:pP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840" w:type="dxa"/>
            <w:vAlign w:val="bottom"/>
          </w:tcPr>
          <w:p>
            <w:pPr>
              <w:spacing w:after="0"/>
              <w:rPr>
                <w:sz w:val="20"/>
                <w:szCs w:val="20"/>
                <w:color w:val="auto"/>
              </w:rPr>
            </w:pPr>
          </w:p>
        </w:tc>
      </w:tr>
      <w:tr>
        <w:trPr>
          <w:trHeight w:val="446"/>
        </w:trPr>
        <w:tc>
          <w:tcPr>
            <w:tcW w:w="540" w:type="dxa"/>
            <w:vAlign w:val="bottom"/>
          </w:tcPr>
          <w:p>
            <w:pPr>
              <w:spacing w:after="0"/>
              <w:rPr>
                <w:sz w:val="24"/>
                <w:szCs w:val="24"/>
                <w:color w:val="auto"/>
              </w:rPr>
            </w:pP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101.SCH</w:t>
            </w:r>
          </w:p>
        </w:tc>
      </w:tr>
      <w:tr>
        <w:trPr>
          <w:trHeight w:val="445"/>
        </w:trPr>
        <w:tc>
          <w:tcPr>
            <w:tcW w:w="540" w:type="dxa"/>
            <w:vAlign w:val="bottom"/>
          </w:tcPr>
          <w:p>
            <w:pPr>
              <w:spacing w:after="0"/>
              <w:rPr>
                <w:sz w:val="24"/>
                <w:szCs w:val="24"/>
                <w:color w:val="auto"/>
              </w:rPr>
            </w:pP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101.CAL</w:t>
            </w:r>
          </w:p>
        </w:tc>
      </w:tr>
      <w:tr>
        <w:trPr>
          <w:trHeight w:val="446"/>
        </w:trPr>
        <w:tc>
          <w:tcPr>
            <w:tcW w:w="540" w:type="dxa"/>
            <w:vAlign w:val="bottom"/>
          </w:tcPr>
          <w:p>
            <w:pPr>
              <w:spacing w:after="0"/>
              <w:rPr>
                <w:sz w:val="24"/>
                <w:szCs w:val="24"/>
                <w:color w:val="auto"/>
              </w:rPr>
            </w:pP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101.DEF</w:t>
            </w:r>
          </w:p>
        </w:tc>
      </w:tr>
      <w:tr>
        <w:trPr>
          <w:trHeight w:val="446"/>
        </w:trPr>
        <w:tc>
          <w:tcPr>
            <w:tcW w:w="540" w:type="dxa"/>
            <w:vAlign w:val="bottom"/>
          </w:tcPr>
          <w:p>
            <w:pPr>
              <w:spacing w:after="0"/>
              <w:rPr>
                <w:sz w:val="24"/>
                <w:szCs w:val="24"/>
                <w:color w:val="auto"/>
              </w:rPr>
            </w:pP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101.LAB</w:t>
            </w:r>
          </w:p>
        </w:tc>
      </w:tr>
      <w:tr>
        <w:trPr>
          <w:trHeight w:val="445"/>
        </w:trPr>
        <w:tc>
          <w:tcPr>
            <w:tcW w:w="540" w:type="dxa"/>
            <w:vAlign w:val="bottom"/>
          </w:tcPr>
          <w:p>
            <w:pPr>
              <w:spacing w:after="0"/>
              <w:rPr>
                <w:sz w:val="24"/>
                <w:szCs w:val="24"/>
                <w:color w:val="auto"/>
              </w:rPr>
            </w:pP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101.PRE</w:t>
            </w:r>
          </w:p>
        </w:tc>
      </w:tr>
    </w:tbl>
    <w:p>
      <w:pPr>
        <w:spacing w:after="0" w:line="207" w:lineRule="exact"/>
        <w:rPr>
          <w:sz w:val="20"/>
          <w:szCs w:val="20"/>
          <w:color w:val="auto"/>
        </w:rPr>
      </w:pPr>
    </w:p>
    <w:p>
      <w:pPr>
        <w:ind w:left="1160" w:hanging="794"/>
        <w:spacing w:after="0"/>
        <w:tabs>
          <w:tab w:leader="none" w:pos="11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 Page Interactive Data File</w:t>
      </w:r>
    </w:p>
    <w:p>
      <w:pPr>
        <w:spacing w:after="0" w:line="242" w:lineRule="exact"/>
        <w:rPr>
          <w:rFonts w:ascii="Times New Roman" w:cs="Times New Roman" w:eastAsia="Times New Roman" w:hAnsi="Times New Roman"/>
          <w:sz w:val="18"/>
          <w:szCs w:val="18"/>
          <w:color w:val="auto"/>
        </w:rPr>
      </w:pPr>
    </w:p>
    <w:p>
      <w:pPr>
        <w:ind w:left="1160" w:righ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year ended December 31, 2020, formatted in Inline XBRL (included as Exhibit 101).</w:t>
      </w:r>
    </w:p>
    <w:p>
      <w:pPr>
        <w:spacing w:after="0" w:line="9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X-6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131" w:name="page132"/>
    <w:bookmarkEnd w:id="1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54"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7"/>
          <w:szCs w:val="17"/>
          <w:color w:val="auto"/>
        </w:rPr>
        <w:t>THE GOODYEAR TIRE &amp; RUBBER COMPANY</w:t>
      </w:r>
    </w:p>
    <w:p>
      <w:pPr>
        <w:spacing w:after="0" w:line="3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71" w:lineRule="exact"/>
        <w:rPr>
          <w:sz w:val="20"/>
          <w:szCs w:val="20"/>
          <w:color w:val="auto"/>
        </w:rPr>
      </w:pPr>
    </w:p>
    <w:p>
      <w:pPr>
        <w:ind w:left="40"/>
        <w:spacing w:after="0"/>
        <w:tabs>
          <w:tab w:leader="none" w:pos="700" w:val="left"/>
          <w:tab w:leader="none" w:pos="81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9, 2021</w:t>
      </w:r>
      <w:r>
        <w:rPr>
          <w:sz w:val="20"/>
          <w:szCs w:val="20"/>
          <w:color w:val="auto"/>
        </w:rPr>
        <w:tab/>
      </w: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18"/>
          <w:szCs w:val="18"/>
          <w:color w:val="auto"/>
        </w:rPr>
        <w:t xml:space="preserve"> J. K</w:t>
      </w:r>
      <w:r>
        <w:rPr>
          <w:rFonts w:ascii="Times New Roman" w:cs="Times New Roman" w:eastAsia="Times New Roman" w:hAnsi="Times New Roman"/>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34290</wp:posOffset>
            </wp:positionV>
            <wp:extent cx="27774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2"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color w:val="auto"/>
        </w:rPr>
        <w:t>Richard J. Kramer, Chairman of the Board,</w:t>
      </w:r>
    </w:p>
    <w:p>
      <w:pPr>
        <w:spacing w:after="0" w:line="4"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2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200" w:lineRule="exact"/>
        <w:rPr>
          <w:sz w:val="20"/>
          <w:szCs w:val="20"/>
          <w:color w:val="auto"/>
        </w:rPr>
      </w:pP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9, 2021</w:t>
            </w:r>
          </w:p>
        </w:tc>
        <w:tc>
          <w:tcPr>
            <w:tcW w:w="2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18"/>
                <w:szCs w:val="18"/>
                <w:color w:val="auto"/>
              </w:rPr>
              <w:t xml:space="preserve"> J. K</w:t>
            </w:r>
            <w:r>
              <w:rPr>
                <w:rFonts w:ascii="Times New Roman" w:cs="Times New Roman" w:eastAsia="Times New Roman" w:hAnsi="Times New Roman"/>
                <w:sz w:val="14"/>
                <w:szCs w:val="14"/>
                <w:color w:val="auto"/>
              </w:rPr>
              <w:t>RAMER</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3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Richard J. Kramer, Chairman of the Board,</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0" w:type="dxa"/>
            <w:vAlign w:val="bottom"/>
          </w:tcPr>
          <w:p>
            <w:pPr>
              <w:spacing w:after="0"/>
              <w:rPr>
                <w:sz w:val="1"/>
                <w:szCs w:val="1"/>
                <w:color w:val="auto"/>
              </w:rPr>
            </w:pPr>
          </w:p>
        </w:tc>
      </w:tr>
      <w:tr>
        <w:trPr>
          <w:trHeight w:val="188"/>
        </w:trPr>
        <w:tc>
          <w:tcPr>
            <w:tcW w:w="5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0" w:type="dxa"/>
            <w:vAlign w:val="bottom"/>
          </w:tcPr>
          <w:p>
            <w:pPr>
              <w:spacing w:after="0"/>
              <w:rPr>
                <w:sz w:val="1"/>
                <w:szCs w:val="1"/>
                <w:color w:val="auto"/>
              </w:rPr>
            </w:pPr>
          </w:p>
        </w:tc>
      </w:tr>
      <w:tr>
        <w:trPr>
          <w:trHeight w:val="5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9, 2021</w:t>
            </w:r>
          </w:p>
        </w:tc>
        <w:tc>
          <w:tcPr>
            <w:tcW w:w="2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ARREN</w:t>
            </w:r>
            <w:r>
              <w:rPr>
                <w:rFonts w:ascii="Times New Roman" w:cs="Times New Roman" w:eastAsia="Times New Roman" w:hAnsi="Times New Roman"/>
                <w:sz w:val="18"/>
                <w:szCs w:val="18"/>
                <w:color w:val="auto"/>
              </w:rPr>
              <w:t xml:space="preserve"> R. W</w:t>
            </w:r>
            <w:r>
              <w:rPr>
                <w:rFonts w:ascii="Times New Roman" w:cs="Times New Roman" w:eastAsia="Times New Roman" w:hAnsi="Times New Roman"/>
                <w:sz w:val="14"/>
                <w:szCs w:val="14"/>
                <w:color w:val="auto"/>
              </w:rPr>
              <w:t>ELLS</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3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Darren R. Wells, Executive Vice President</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and Chief Financial Officer</w:t>
            </w:r>
          </w:p>
        </w:tc>
        <w:tc>
          <w:tcPr>
            <w:tcW w:w="0" w:type="dxa"/>
            <w:vAlign w:val="bottom"/>
          </w:tcPr>
          <w:p>
            <w:pPr>
              <w:spacing w:after="0"/>
              <w:rPr>
                <w:sz w:val="1"/>
                <w:szCs w:val="1"/>
                <w:color w:val="auto"/>
              </w:rPr>
            </w:pPr>
          </w:p>
        </w:tc>
      </w:tr>
      <w:tr>
        <w:trPr>
          <w:trHeight w:val="188"/>
        </w:trPr>
        <w:tc>
          <w:tcPr>
            <w:tcW w:w="5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0" w:type="dxa"/>
            <w:vAlign w:val="bottom"/>
          </w:tcPr>
          <w:p>
            <w:pPr>
              <w:spacing w:after="0"/>
              <w:rPr>
                <w:sz w:val="1"/>
                <w:szCs w:val="1"/>
                <w:color w:val="auto"/>
              </w:rPr>
            </w:pPr>
          </w:p>
        </w:tc>
      </w:tr>
      <w:tr>
        <w:trPr>
          <w:trHeight w:val="5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9, 2021</w:t>
            </w:r>
          </w:p>
        </w:tc>
        <w:tc>
          <w:tcPr>
            <w:tcW w:w="2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4"/>
                <w:szCs w:val="14"/>
                <w:color w:val="auto"/>
              </w:rPr>
              <w:t>VAN</w:t>
            </w:r>
            <w:r>
              <w:rPr>
                <w:rFonts w:ascii="Times New Roman" w:cs="Times New Roman" w:eastAsia="Times New Roman" w:hAnsi="Times New Roman"/>
                <w:sz w:val="18"/>
                <w:szCs w:val="18"/>
                <w:color w:val="auto"/>
              </w:rPr>
              <w:t xml:space="preserve"> M. S</w:t>
            </w:r>
            <w:r>
              <w:rPr>
                <w:rFonts w:ascii="Times New Roman" w:cs="Times New Roman" w:eastAsia="Times New Roman" w:hAnsi="Times New Roman"/>
                <w:sz w:val="14"/>
                <w:szCs w:val="14"/>
                <w:color w:val="auto"/>
              </w:rPr>
              <w:t>COCOS</w:t>
            </w:r>
          </w:p>
        </w:tc>
        <w:tc>
          <w:tcPr>
            <w:tcW w:w="0" w:type="dxa"/>
            <w:vAlign w:val="bottom"/>
          </w:tcPr>
          <w:p>
            <w:pPr>
              <w:spacing w:after="0"/>
              <w:rPr>
                <w:sz w:val="1"/>
                <w:szCs w:val="1"/>
                <w:color w:val="auto"/>
              </w:rPr>
            </w:pPr>
          </w:p>
        </w:tc>
      </w:tr>
      <w:tr>
        <w:trPr>
          <w:trHeight w:val="146"/>
        </w:trPr>
        <w:tc>
          <w:tcPr>
            <w:tcW w:w="5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3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Evan M. Scocos, Vice President and Controller (Principal Accounting</w:t>
            </w:r>
          </w:p>
        </w:tc>
        <w:tc>
          <w:tcPr>
            <w:tcW w:w="0" w:type="dxa"/>
            <w:vAlign w:val="bottom"/>
          </w:tcPr>
          <w:p>
            <w:pPr>
              <w:spacing w:after="0"/>
              <w:rPr>
                <w:sz w:val="1"/>
                <w:szCs w:val="1"/>
                <w:color w:val="auto"/>
              </w:rPr>
            </w:pPr>
          </w:p>
        </w:tc>
      </w:tr>
      <w:tr>
        <w:trPr>
          <w:trHeight w:val="188"/>
        </w:trPr>
        <w:tc>
          <w:tcPr>
            <w:tcW w:w="5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Officer)</w:t>
            </w:r>
          </w:p>
        </w:tc>
        <w:tc>
          <w:tcPr>
            <w:tcW w:w="0" w:type="dxa"/>
            <w:vAlign w:val="bottom"/>
          </w:tcPr>
          <w:p>
            <w:pPr>
              <w:spacing w:after="0"/>
              <w:rPr>
                <w:sz w:val="1"/>
                <w:szCs w:val="1"/>
                <w:color w:val="auto"/>
              </w:rPr>
            </w:pPr>
          </w:p>
        </w:tc>
      </w:tr>
      <w:tr>
        <w:trPr>
          <w:trHeight w:val="431"/>
        </w:trPr>
        <w:tc>
          <w:tcPr>
            <w:tcW w:w="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 xml:space="preserve">JAMES A. FIRESTONE, </w:t>
            </w:r>
            <w:r>
              <w:rPr>
                <w:rFonts w:ascii="Times New Roman" w:cs="Times New Roman" w:eastAsia="Times New Roman" w:hAnsi="Times New Roman"/>
                <w:sz w:val="14"/>
                <w:szCs w:val="14"/>
                <w:i w:val="1"/>
                <w:iCs w:val="1"/>
                <w:color w:val="auto"/>
              </w:rPr>
              <w:t>Director</w:t>
            </w:r>
          </w:p>
        </w:tc>
        <w:tc>
          <w:tcPr>
            <w:tcW w:w="13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92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 xml:space="preserve">WERNER GEISSLER, </w:t>
            </w:r>
            <w:r>
              <w:rPr>
                <w:rFonts w:ascii="Times New Roman" w:cs="Times New Roman" w:eastAsia="Times New Roman" w:hAnsi="Times New Roman"/>
                <w:sz w:val="14"/>
                <w:szCs w:val="14"/>
                <w:i w:val="1"/>
                <w:iCs w:val="1"/>
                <w:color w:val="auto"/>
              </w:rPr>
              <w:t>Director</w:t>
            </w:r>
          </w:p>
        </w:tc>
        <w:tc>
          <w:tcPr>
            <w:tcW w:w="13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92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 xml:space="preserve">PETER S. HELLMAN, </w:t>
            </w:r>
            <w:r>
              <w:rPr>
                <w:rFonts w:ascii="Times New Roman" w:cs="Times New Roman" w:eastAsia="Times New Roman" w:hAnsi="Times New Roman"/>
                <w:sz w:val="14"/>
                <w:szCs w:val="14"/>
                <w:i w:val="1"/>
                <w:iCs w:val="1"/>
                <w:color w:val="auto"/>
              </w:rPr>
              <w:t>Director</w:t>
            </w:r>
          </w:p>
        </w:tc>
        <w:tc>
          <w:tcPr>
            <w:tcW w:w="13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92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 xml:space="preserve">LAURETTE T. KOELLNER, </w:t>
            </w:r>
            <w:r>
              <w:rPr>
                <w:rFonts w:ascii="Times New Roman" w:cs="Times New Roman" w:eastAsia="Times New Roman" w:hAnsi="Times New Roman"/>
                <w:sz w:val="14"/>
                <w:szCs w:val="14"/>
                <w:i w:val="1"/>
                <w:iCs w:val="1"/>
                <w:color w:val="auto"/>
              </w:rPr>
              <w:t>Director</w:t>
            </w:r>
          </w:p>
        </w:tc>
        <w:tc>
          <w:tcPr>
            <w:tcW w:w="138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ARREN</w:t>
            </w:r>
            <w:r>
              <w:rPr>
                <w:rFonts w:ascii="Times New Roman" w:cs="Times New Roman" w:eastAsia="Times New Roman" w:hAnsi="Times New Roman"/>
                <w:sz w:val="18"/>
                <w:szCs w:val="18"/>
                <w:color w:val="auto"/>
              </w:rPr>
              <w:t xml:space="preserve"> R. W</w:t>
            </w:r>
            <w:r>
              <w:rPr>
                <w:rFonts w:ascii="Times New Roman" w:cs="Times New Roman" w:eastAsia="Times New Roman" w:hAnsi="Times New Roman"/>
                <w:sz w:val="14"/>
                <w:szCs w:val="14"/>
                <w:color w:val="auto"/>
              </w:rPr>
              <w:t>ELLS</w:t>
            </w:r>
          </w:p>
        </w:tc>
        <w:tc>
          <w:tcPr>
            <w:tcW w:w="0" w:type="dxa"/>
            <w:vAlign w:val="bottom"/>
          </w:tcPr>
          <w:p>
            <w:pPr>
              <w:spacing w:after="0"/>
              <w:rPr>
                <w:sz w:val="1"/>
                <w:szCs w:val="1"/>
                <w:color w:val="auto"/>
              </w:rPr>
            </w:pPr>
          </w:p>
        </w:tc>
      </w:tr>
      <w:tr>
        <w:trPr>
          <w:trHeight w:val="178"/>
        </w:trPr>
        <w:tc>
          <w:tcPr>
            <w:tcW w:w="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 xml:space="preserve">W. ALAN McCOLLOUGH, </w:t>
            </w:r>
            <w:r>
              <w:rPr>
                <w:rFonts w:ascii="Times New Roman" w:cs="Times New Roman" w:eastAsia="Times New Roman" w:hAnsi="Times New Roman"/>
                <w:sz w:val="14"/>
                <w:szCs w:val="14"/>
                <w:i w:val="1"/>
                <w:iCs w:val="1"/>
                <w:color w:val="auto"/>
              </w:rPr>
              <w:t>Director</w:t>
            </w:r>
          </w:p>
        </w:tc>
        <w:tc>
          <w:tcPr>
            <w:tcW w:w="138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Date:</w:t>
            </w:r>
          </w:p>
        </w:tc>
        <w:tc>
          <w:tcPr>
            <w:tcW w:w="2000" w:type="dxa"/>
            <w:vAlign w:val="bottom"/>
          </w:tcPr>
          <w:p>
            <w:pPr>
              <w:ind w:left="160"/>
              <w:spacing w:after="0" w:line="182" w:lineRule="exact"/>
              <w:rPr>
                <w:sz w:val="20"/>
                <w:szCs w:val="20"/>
                <w:color w:val="auto"/>
              </w:rPr>
            </w:pPr>
            <w:r>
              <w:rPr>
                <w:rFonts w:ascii="Times New Roman" w:cs="Times New Roman" w:eastAsia="Times New Roman" w:hAnsi="Times New Roman"/>
                <w:sz w:val="18"/>
                <w:szCs w:val="18"/>
                <w:color w:val="auto"/>
              </w:rPr>
              <w:t>February 9, 2021</w:t>
            </w:r>
          </w:p>
        </w:tc>
        <w:tc>
          <w:tcPr>
            <w:tcW w:w="2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 xml:space="preserve">JOHN E. McGLADE, </w:t>
            </w:r>
            <w:r>
              <w:rPr>
                <w:rFonts w:ascii="Times New Roman" w:cs="Times New Roman" w:eastAsia="Times New Roman" w:hAnsi="Times New Roman"/>
                <w:sz w:val="14"/>
                <w:szCs w:val="14"/>
                <w:i w:val="1"/>
                <w:iCs w:val="1"/>
                <w:color w:val="auto"/>
              </w:rPr>
              <w:t>Director</w:t>
            </w:r>
          </w:p>
        </w:tc>
        <w:tc>
          <w:tcPr>
            <w:tcW w:w="1380" w:type="dxa"/>
            <w:vAlign w:val="bottom"/>
          </w:tcPr>
          <w:p>
            <w:pPr>
              <w:spacing w:after="0"/>
              <w:rPr>
                <w:sz w:val="15"/>
                <w:szCs w:val="15"/>
                <w:color w:val="auto"/>
              </w:rPr>
            </w:pPr>
          </w:p>
        </w:tc>
        <w:tc>
          <w:tcPr>
            <w:tcW w:w="4380" w:type="dxa"/>
            <w:vAlign w:val="bottom"/>
          </w:tcPr>
          <w:p>
            <w:pPr>
              <w:jc w:val="center"/>
              <w:ind w:left="23"/>
              <w:spacing w:after="0"/>
              <w:rPr>
                <w:sz w:val="20"/>
                <w:szCs w:val="20"/>
                <w:color w:val="auto"/>
              </w:rPr>
            </w:pPr>
            <w:r>
              <w:rPr>
                <w:rFonts w:ascii="Times New Roman" w:cs="Times New Roman" w:eastAsia="Times New Roman" w:hAnsi="Times New Roman"/>
                <w:sz w:val="14"/>
                <w:szCs w:val="14"/>
                <w:color w:val="auto"/>
              </w:rPr>
              <w:t>Darren R. Wells, Signing as</w:t>
            </w:r>
          </w:p>
        </w:tc>
        <w:tc>
          <w:tcPr>
            <w:tcW w:w="0" w:type="dxa"/>
            <w:vAlign w:val="bottom"/>
          </w:tcPr>
          <w:p>
            <w:pPr>
              <w:spacing w:after="0"/>
              <w:rPr>
                <w:sz w:val="1"/>
                <w:szCs w:val="1"/>
                <w:color w:val="auto"/>
              </w:rPr>
            </w:pPr>
          </w:p>
        </w:tc>
      </w:tr>
      <w:tr>
        <w:trPr>
          <w:trHeight w:val="110"/>
        </w:trPr>
        <w:tc>
          <w:tcPr>
            <w:tcW w:w="5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920" w:type="dxa"/>
            <w:vAlign w:val="bottom"/>
          </w:tcPr>
          <w:p>
            <w:pPr>
              <w:ind w:left="640"/>
              <w:spacing w:after="0" w:line="110" w:lineRule="exact"/>
              <w:rPr>
                <w:sz w:val="20"/>
                <w:szCs w:val="20"/>
                <w:color w:val="auto"/>
              </w:rPr>
            </w:pPr>
            <w:r>
              <w:rPr>
                <w:rFonts w:ascii="Times New Roman" w:cs="Times New Roman" w:eastAsia="Times New Roman" w:hAnsi="Times New Roman"/>
                <w:sz w:val="12"/>
                <w:szCs w:val="12"/>
                <w:color w:val="auto"/>
              </w:rPr>
              <w:t xml:space="preserve">RODERICK A. PALMORE, </w:t>
            </w:r>
            <w:r>
              <w:rPr>
                <w:rFonts w:ascii="Times New Roman" w:cs="Times New Roman" w:eastAsia="Times New Roman" w:hAnsi="Times New Roman"/>
                <w:sz w:val="12"/>
                <w:szCs w:val="12"/>
                <w:i w:val="1"/>
                <w:iCs w:val="1"/>
                <w:color w:val="auto"/>
              </w:rPr>
              <w:t>Director</w:t>
            </w:r>
          </w:p>
        </w:tc>
        <w:tc>
          <w:tcPr>
            <w:tcW w:w="1380" w:type="dxa"/>
            <w:vAlign w:val="bottom"/>
          </w:tcPr>
          <w:p>
            <w:pPr>
              <w:spacing w:after="0"/>
              <w:rPr>
                <w:sz w:val="9"/>
                <w:szCs w:val="9"/>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Attorney-in-Fact for the Directors</w:t>
            </w:r>
          </w:p>
        </w:tc>
        <w:tc>
          <w:tcPr>
            <w:tcW w:w="0" w:type="dxa"/>
            <w:vAlign w:val="bottom"/>
          </w:tcPr>
          <w:p>
            <w:pPr>
              <w:spacing w:after="0"/>
              <w:rPr>
                <w:sz w:val="1"/>
                <w:szCs w:val="1"/>
                <w:color w:val="auto"/>
              </w:rPr>
            </w:pPr>
          </w:p>
        </w:tc>
      </w:tr>
      <w:tr>
        <w:trPr>
          <w:trHeight w:val="70"/>
        </w:trPr>
        <w:tc>
          <w:tcPr>
            <w:tcW w:w="5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2920" w:type="dxa"/>
            <w:vAlign w:val="bottom"/>
            <w:vMerge w:val="restart"/>
          </w:tcPr>
          <w:p>
            <w:pPr>
              <w:ind w:left="640"/>
              <w:spacing w:after="0" w:line="149" w:lineRule="exact"/>
              <w:rPr>
                <w:sz w:val="20"/>
                <w:szCs w:val="20"/>
                <w:color w:val="auto"/>
              </w:rPr>
            </w:pPr>
            <w:r>
              <w:rPr>
                <w:rFonts w:ascii="Times New Roman" w:cs="Times New Roman" w:eastAsia="Times New Roman" w:hAnsi="Times New Roman"/>
                <w:sz w:val="14"/>
                <w:szCs w:val="14"/>
                <w:color w:val="auto"/>
              </w:rPr>
              <w:t xml:space="preserve">HERA SIU, </w:t>
            </w:r>
            <w:r>
              <w:rPr>
                <w:rFonts w:ascii="Times New Roman" w:cs="Times New Roman" w:eastAsia="Times New Roman" w:hAnsi="Times New Roman"/>
                <w:sz w:val="14"/>
                <w:szCs w:val="14"/>
                <w:i w:val="1"/>
                <w:iCs w:val="1"/>
                <w:color w:val="auto"/>
              </w:rPr>
              <w:t>Director</w:t>
            </w:r>
          </w:p>
        </w:tc>
        <w:tc>
          <w:tcPr>
            <w:tcW w:w="1380" w:type="dxa"/>
            <w:vAlign w:val="bottom"/>
          </w:tcPr>
          <w:p>
            <w:pPr>
              <w:spacing w:after="0"/>
              <w:rPr>
                <w:sz w:val="6"/>
                <w:szCs w:val="6"/>
                <w:color w:val="auto"/>
              </w:rPr>
            </w:pPr>
          </w:p>
        </w:tc>
        <w:tc>
          <w:tcPr>
            <w:tcW w:w="4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5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1380" w:type="dxa"/>
            <w:vAlign w:val="bottom"/>
          </w:tcPr>
          <w:p>
            <w:pPr>
              <w:spacing w:after="0"/>
              <w:rPr>
                <w:sz w:val="6"/>
                <w:szCs w:val="6"/>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whose names appear opposite.</w:t>
            </w:r>
          </w:p>
        </w:tc>
        <w:tc>
          <w:tcPr>
            <w:tcW w:w="0" w:type="dxa"/>
            <w:vAlign w:val="bottom"/>
          </w:tcPr>
          <w:p>
            <w:pPr>
              <w:spacing w:after="0"/>
              <w:rPr>
                <w:sz w:val="1"/>
                <w:szCs w:val="1"/>
                <w:color w:val="auto"/>
              </w:rPr>
            </w:pPr>
          </w:p>
        </w:tc>
      </w:tr>
      <w:tr>
        <w:trPr>
          <w:trHeight w:val="109"/>
        </w:trPr>
        <w:tc>
          <w:tcPr>
            <w:tcW w:w="5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920" w:type="dxa"/>
            <w:vAlign w:val="bottom"/>
            <w:vMerge w:val="restart"/>
          </w:tcPr>
          <w:p>
            <w:pPr>
              <w:ind w:left="640"/>
              <w:spacing w:after="0" w:line="149" w:lineRule="exact"/>
              <w:rPr>
                <w:sz w:val="20"/>
                <w:szCs w:val="20"/>
                <w:color w:val="auto"/>
              </w:rPr>
            </w:pPr>
            <w:r>
              <w:rPr>
                <w:rFonts w:ascii="Times New Roman" w:cs="Times New Roman" w:eastAsia="Times New Roman" w:hAnsi="Times New Roman"/>
                <w:sz w:val="14"/>
                <w:szCs w:val="14"/>
                <w:color w:val="auto"/>
              </w:rPr>
              <w:t xml:space="preserve">STEPHANIE A. STREETER, </w:t>
            </w:r>
            <w:r>
              <w:rPr>
                <w:rFonts w:ascii="Times New Roman" w:cs="Times New Roman" w:eastAsia="Times New Roman" w:hAnsi="Times New Roman"/>
                <w:sz w:val="14"/>
                <w:szCs w:val="14"/>
                <w:i w:val="1"/>
                <w:iCs w:val="1"/>
                <w:color w:val="auto"/>
              </w:rPr>
              <w:t>Director</w:t>
            </w:r>
          </w:p>
        </w:tc>
        <w:tc>
          <w:tcPr>
            <w:tcW w:w="1380" w:type="dxa"/>
            <w:vAlign w:val="bottom"/>
          </w:tcPr>
          <w:p>
            <w:pPr>
              <w:spacing w:after="0"/>
              <w:rPr>
                <w:sz w:val="9"/>
                <w:szCs w:val="9"/>
                <w:color w:val="auto"/>
              </w:rPr>
            </w:pPr>
          </w:p>
        </w:tc>
        <w:tc>
          <w:tcPr>
            <w:tcW w:w="4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920" w:type="dxa"/>
            <w:vAlign w:val="bottom"/>
            <w:vMerge w:val="continue"/>
          </w:tcPr>
          <w:p>
            <w:pPr>
              <w:spacing w:after="0"/>
              <w:rPr>
                <w:sz w:val="3"/>
                <w:szCs w:val="3"/>
                <w:color w:val="auto"/>
              </w:rPr>
            </w:pPr>
          </w:p>
        </w:tc>
        <w:tc>
          <w:tcPr>
            <w:tcW w:w="13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5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92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 xml:space="preserve">MICHAEL R. WESSEL, </w:t>
            </w:r>
            <w:r>
              <w:rPr>
                <w:rFonts w:ascii="Times New Roman" w:cs="Times New Roman" w:eastAsia="Times New Roman" w:hAnsi="Times New Roman"/>
                <w:sz w:val="14"/>
                <w:szCs w:val="14"/>
                <w:i w:val="1"/>
                <w:iCs w:val="1"/>
                <w:color w:val="auto"/>
              </w:rPr>
              <w:t>Director</w:t>
            </w:r>
          </w:p>
        </w:tc>
        <w:tc>
          <w:tcPr>
            <w:tcW w:w="13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 xml:space="preserve">THOMAS L. WILLIAMS, </w:t>
            </w:r>
            <w:r>
              <w:rPr>
                <w:rFonts w:ascii="Times New Roman" w:cs="Times New Roman" w:eastAsia="Times New Roman" w:hAnsi="Times New Roman"/>
                <w:sz w:val="14"/>
                <w:szCs w:val="14"/>
                <w:i w:val="1"/>
                <w:iCs w:val="1"/>
                <w:color w:val="auto"/>
              </w:rPr>
              <w:t>Director</w:t>
            </w:r>
          </w:p>
        </w:tc>
        <w:tc>
          <w:tcPr>
            <w:tcW w:w="13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4"/>
        </w:trPr>
        <w:tc>
          <w:tcPr>
            <w:tcW w:w="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left="1700" w:right="2800"/>
        <w:spacing w:after="0" w:line="478" w:lineRule="auto"/>
        <w:rPr>
          <w:sz w:val="20"/>
          <w:szCs w:val="20"/>
          <w:color w:val="auto"/>
        </w:rPr>
      </w:pPr>
      <w:r>
        <w:rPr>
          <w:rFonts w:ascii="Times New Roman" w:cs="Times New Roman" w:eastAsia="Times New Roman" w:hAnsi="Times New Roman"/>
          <w:sz w:val="21"/>
          <w:szCs w:val="21"/>
          <w:b w:val="1"/>
          <w:bCs w:val="1"/>
          <w:color w:val="auto"/>
        </w:rPr>
        <w:t>THE GOODYEAR TIRE &amp; RUBBER COMPANY DEFERRED COMPENSATION PLAN FOR EXECUTIVES (As Amended and Restated On October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184150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24"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86"/>
        </w:trPr>
        <w:tc>
          <w:tcPr>
            <w:tcW w:w="1300" w:type="dxa"/>
            <w:vAlign w:val="bottom"/>
          </w:tcPr>
          <w:p>
            <w:pPr>
              <w:spacing w:after="0"/>
              <w:rPr>
                <w:sz w:val="24"/>
                <w:szCs w:val="24"/>
                <w:color w:val="auto"/>
              </w:rPr>
            </w:pPr>
          </w:p>
        </w:tc>
        <w:tc>
          <w:tcPr>
            <w:tcW w:w="882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980" w:type="dxa"/>
            <w:vAlign w:val="bottom"/>
          </w:tcPr>
          <w:p>
            <w:pPr>
              <w:spacing w:after="0"/>
              <w:rPr>
                <w:sz w:val="24"/>
                <w:szCs w:val="24"/>
                <w:color w:val="auto"/>
              </w:rPr>
            </w:pPr>
          </w:p>
        </w:tc>
      </w:tr>
      <w:tr>
        <w:trPr>
          <w:trHeight w:val="459"/>
        </w:trPr>
        <w:tc>
          <w:tcPr>
            <w:tcW w:w="130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3"/>
              </w:rPr>
              <w:t>Page</w:t>
            </w:r>
          </w:p>
        </w:tc>
      </w:tr>
      <w:tr>
        <w:trPr>
          <w:trHeight w:val="459"/>
        </w:trPr>
        <w:tc>
          <w:tcPr>
            <w:tcW w:w="1300" w:type="dxa"/>
            <w:vAlign w:val="bottom"/>
          </w:tcPr>
          <w:p>
            <w:pPr>
              <w:spacing w:after="0"/>
              <w:rPr>
                <w:sz w:val="24"/>
                <w:szCs w:val="24"/>
                <w:color w:val="auto"/>
              </w:rPr>
            </w:pPr>
          </w:p>
        </w:tc>
        <w:tc>
          <w:tcPr>
            <w:tcW w:w="882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ARTICLE I - GENERAL</w:t>
            </w:r>
          </w:p>
        </w:tc>
        <w:tc>
          <w:tcPr>
            <w:tcW w:w="980" w:type="dxa"/>
            <w:vAlign w:val="bottom"/>
          </w:tcPr>
          <w:p>
            <w:pPr>
              <w:spacing w:after="0"/>
              <w:rPr>
                <w:sz w:val="24"/>
                <w:szCs w:val="24"/>
                <w:color w:val="auto"/>
              </w:rPr>
            </w:pPr>
          </w:p>
        </w:tc>
      </w:tr>
      <w:tr>
        <w:trPr>
          <w:trHeight w:val="420"/>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1.1</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Purpose</w:t>
            </w:r>
          </w:p>
        </w:tc>
        <w:tc>
          <w:tcPr>
            <w:tcW w:w="980" w:type="dxa"/>
            <w:vAlign w:val="bottom"/>
          </w:tcPr>
          <w:p>
            <w:pPr>
              <w:jc w:val="center"/>
              <w:ind w:left="592"/>
              <w:spacing w:after="0"/>
              <w:rPr>
                <w:sz w:val="20"/>
                <w:szCs w:val="20"/>
                <w:color w:val="auto"/>
              </w:rPr>
            </w:pPr>
            <w:r>
              <w:rPr>
                <w:rFonts w:ascii="Times New Roman" w:cs="Times New Roman" w:eastAsia="Times New Roman" w:hAnsi="Times New Roman"/>
                <w:sz w:val="22"/>
                <w:szCs w:val="22"/>
                <w:color w:val="auto"/>
              </w:rPr>
              <w:t>1</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1.2</w:t>
            </w:r>
          </w:p>
        </w:tc>
        <w:tc>
          <w:tcPr>
            <w:tcW w:w="88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Intent</w:t>
            </w:r>
          </w:p>
        </w:tc>
        <w:tc>
          <w:tcPr>
            <w:tcW w:w="980" w:type="dxa"/>
            <w:vAlign w:val="bottom"/>
          </w:tcPr>
          <w:p>
            <w:pPr>
              <w:jc w:val="center"/>
              <w:ind w:left="592"/>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1.3</w:t>
            </w:r>
          </w:p>
        </w:tc>
        <w:tc>
          <w:tcPr>
            <w:tcW w:w="88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Effective Date</w:t>
            </w:r>
          </w:p>
        </w:tc>
        <w:tc>
          <w:tcPr>
            <w:tcW w:w="980" w:type="dxa"/>
            <w:vAlign w:val="bottom"/>
          </w:tcPr>
          <w:p>
            <w:pPr>
              <w:jc w:val="center"/>
              <w:ind w:left="592"/>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1.4</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Contractual Obligation of Employer</w:t>
            </w:r>
          </w:p>
        </w:tc>
        <w:tc>
          <w:tcPr>
            <w:tcW w:w="980" w:type="dxa"/>
            <w:vAlign w:val="bottom"/>
          </w:tcPr>
          <w:p>
            <w:pPr>
              <w:jc w:val="center"/>
              <w:ind w:left="592"/>
              <w:spacing w:after="0"/>
              <w:rPr>
                <w:sz w:val="20"/>
                <w:szCs w:val="20"/>
                <w:color w:val="auto"/>
              </w:rPr>
            </w:pPr>
            <w:r>
              <w:rPr>
                <w:rFonts w:ascii="Times New Roman" w:cs="Times New Roman" w:eastAsia="Times New Roman" w:hAnsi="Times New Roman"/>
                <w:sz w:val="22"/>
                <w:szCs w:val="22"/>
                <w:color w:val="auto"/>
              </w:rPr>
              <w:t>2</w:t>
            </w:r>
          </w:p>
        </w:tc>
      </w:tr>
      <w:tr>
        <w:trPr>
          <w:trHeight w:val="416"/>
        </w:trPr>
        <w:tc>
          <w:tcPr>
            <w:tcW w:w="1300" w:type="dxa"/>
            <w:vAlign w:val="bottom"/>
          </w:tcPr>
          <w:p>
            <w:pPr>
              <w:spacing w:after="0"/>
              <w:rPr>
                <w:sz w:val="24"/>
                <w:szCs w:val="24"/>
                <w:color w:val="auto"/>
              </w:rPr>
            </w:pPr>
          </w:p>
        </w:tc>
        <w:tc>
          <w:tcPr>
            <w:tcW w:w="882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ARTICLE II</w:t>
            </w:r>
          </w:p>
        </w:tc>
        <w:tc>
          <w:tcPr>
            <w:tcW w:w="980" w:type="dxa"/>
            <w:vAlign w:val="bottom"/>
          </w:tcPr>
          <w:p>
            <w:pPr>
              <w:spacing w:after="0"/>
              <w:rPr>
                <w:sz w:val="24"/>
                <w:szCs w:val="24"/>
                <w:color w:val="auto"/>
              </w:rPr>
            </w:pPr>
          </w:p>
        </w:tc>
      </w:tr>
      <w:tr>
        <w:trPr>
          <w:trHeight w:val="286"/>
        </w:trPr>
        <w:tc>
          <w:tcPr>
            <w:tcW w:w="1300" w:type="dxa"/>
            <w:vAlign w:val="bottom"/>
          </w:tcPr>
          <w:p>
            <w:pPr>
              <w:spacing w:after="0"/>
              <w:rPr>
                <w:sz w:val="24"/>
                <w:szCs w:val="24"/>
                <w:color w:val="auto"/>
              </w:rPr>
            </w:pPr>
          </w:p>
        </w:tc>
        <w:tc>
          <w:tcPr>
            <w:tcW w:w="882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8"/>
              </w:rPr>
              <w:t>DEFINITIONS AND USAGE</w:t>
            </w:r>
          </w:p>
        </w:tc>
        <w:tc>
          <w:tcPr>
            <w:tcW w:w="980" w:type="dxa"/>
            <w:vAlign w:val="bottom"/>
          </w:tcPr>
          <w:p>
            <w:pPr>
              <w:spacing w:after="0"/>
              <w:rPr>
                <w:sz w:val="24"/>
                <w:szCs w:val="24"/>
                <w:color w:val="auto"/>
              </w:rPr>
            </w:pPr>
          </w:p>
        </w:tc>
      </w:tr>
      <w:tr>
        <w:trPr>
          <w:trHeight w:val="420"/>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2.1</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Definitions</w:t>
            </w:r>
          </w:p>
        </w:tc>
        <w:tc>
          <w:tcPr>
            <w:tcW w:w="980" w:type="dxa"/>
            <w:vAlign w:val="bottom"/>
          </w:tcPr>
          <w:p>
            <w:pPr>
              <w:jc w:val="center"/>
              <w:ind w:left="592"/>
              <w:spacing w:after="0"/>
              <w:rPr>
                <w:sz w:val="20"/>
                <w:szCs w:val="20"/>
                <w:color w:val="auto"/>
              </w:rPr>
            </w:pPr>
            <w:r>
              <w:rPr>
                <w:rFonts w:ascii="Times New Roman" w:cs="Times New Roman" w:eastAsia="Times New Roman" w:hAnsi="Times New Roman"/>
                <w:sz w:val="22"/>
                <w:szCs w:val="22"/>
                <w:color w:val="auto"/>
              </w:rPr>
              <w:t>2</w:t>
            </w: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2.2</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Usage</w:t>
            </w:r>
          </w:p>
        </w:tc>
        <w:tc>
          <w:tcPr>
            <w:tcW w:w="980" w:type="dxa"/>
            <w:vAlign w:val="bottom"/>
          </w:tcPr>
          <w:p>
            <w:pPr>
              <w:jc w:val="center"/>
              <w:ind w:left="592"/>
              <w:spacing w:after="0"/>
              <w:rPr>
                <w:sz w:val="20"/>
                <w:szCs w:val="20"/>
                <w:color w:val="auto"/>
              </w:rPr>
            </w:pPr>
            <w:r>
              <w:rPr>
                <w:rFonts w:ascii="Times New Roman" w:cs="Times New Roman" w:eastAsia="Times New Roman" w:hAnsi="Times New Roman"/>
                <w:sz w:val="22"/>
                <w:szCs w:val="22"/>
                <w:color w:val="auto"/>
              </w:rPr>
              <w:t>9</w:t>
            </w:r>
          </w:p>
        </w:tc>
      </w:tr>
      <w:tr>
        <w:trPr>
          <w:trHeight w:val="416"/>
        </w:trPr>
        <w:tc>
          <w:tcPr>
            <w:tcW w:w="1300" w:type="dxa"/>
            <w:vAlign w:val="bottom"/>
          </w:tcPr>
          <w:p>
            <w:pPr>
              <w:spacing w:after="0"/>
              <w:rPr>
                <w:sz w:val="24"/>
                <w:szCs w:val="24"/>
                <w:color w:val="auto"/>
              </w:rPr>
            </w:pPr>
          </w:p>
        </w:tc>
        <w:tc>
          <w:tcPr>
            <w:tcW w:w="882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ARTICLE III</w:t>
            </w:r>
          </w:p>
        </w:tc>
        <w:tc>
          <w:tcPr>
            <w:tcW w:w="980" w:type="dxa"/>
            <w:vAlign w:val="bottom"/>
          </w:tcPr>
          <w:p>
            <w:pPr>
              <w:spacing w:after="0"/>
              <w:rPr>
                <w:sz w:val="24"/>
                <w:szCs w:val="24"/>
                <w:color w:val="auto"/>
              </w:rPr>
            </w:pPr>
          </w:p>
        </w:tc>
      </w:tr>
      <w:tr>
        <w:trPr>
          <w:trHeight w:val="286"/>
        </w:trPr>
        <w:tc>
          <w:tcPr>
            <w:tcW w:w="1300" w:type="dxa"/>
            <w:vAlign w:val="bottom"/>
          </w:tcPr>
          <w:p>
            <w:pPr>
              <w:spacing w:after="0"/>
              <w:rPr>
                <w:sz w:val="24"/>
                <w:szCs w:val="24"/>
                <w:color w:val="auto"/>
              </w:rPr>
            </w:pPr>
          </w:p>
        </w:tc>
        <w:tc>
          <w:tcPr>
            <w:tcW w:w="882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8"/>
              </w:rPr>
              <w:t>ELIGIBILITY</w:t>
            </w:r>
          </w:p>
        </w:tc>
        <w:tc>
          <w:tcPr>
            <w:tcW w:w="980" w:type="dxa"/>
            <w:vAlign w:val="bottom"/>
          </w:tcPr>
          <w:p>
            <w:pPr>
              <w:spacing w:after="0"/>
              <w:rPr>
                <w:sz w:val="24"/>
                <w:szCs w:val="24"/>
                <w:color w:val="auto"/>
              </w:rPr>
            </w:pPr>
          </w:p>
        </w:tc>
      </w:tr>
      <w:tr>
        <w:trPr>
          <w:trHeight w:val="420"/>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3.1</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Eligibility to Defer Performance Compensation</w:t>
            </w:r>
          </w:p>
        </w:tc>
        <w:tc>
          <w:tcPr>
            <w:tcW w:w="980" w:type="dxa"/>
            <w:vAlign w:val="bottom"/>
          </w:tcPr>
          <w:p>
            <w:pPr>
              <w:jc w:val="center"/>
              <w:ind w:left="592"/>
              <w:spacing w:after="0"/>
              <w:rPr>
                <w:sz w:val="20"/>
                <w:szCs w:val="20"/>
                <w:color w:val="auto"/>
              </w:rPr>
            </w:pPr>
            <w:r>
              <w:rPr>
                <w:rFonts w:ascii="Times New Roman" w:cs="Times New Roman" w:eastAsia="Times New Roman" w:hAnsi="Times New Roman"/>
                <w:sz w:val="22"/>
                <w:szCs w:val="22"/>
                <w:color w:val="auto"/>
              </w:rPr>
              <w:t>9</w:t>
            </w: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3.2</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Eligibility to Defer Salary</w:t>
            </w:r>
          </w:p>
        </w:tc>
        <w:tc>
          <w:tcPr>
            <w:tcW w:w="980" w:type="dxa"/>
            <w:vAlign w:val="bottom"/>
          </w:tcPr>
          <w:p>
            <w:pPr>
              <w:jc w:val="center"/>
              <w:ind w:left="592"/>
              <w:spacing w:after="0"/>
              <w:rPr>
                <w:sz w:val="20"/>
                <w:szCs w:val="20"/>
                <w:color w:val="auto"/>
              </w:rPr>
            </w:pPr>
            <w:r>
              <w:rPr>
                <w:rFonts w:ascii="Times New Roman" w:cs="Times New Roman" w:eastAsia="Times New Roman" w:hAnsi="Times New Roman"/>
                <w:sz w:val="22"/>
                <w:szCs w:val="22"/>
                <w:color w:val="auto"/>
              </w:rPr>
              <w:t>9</w:t>
            </w:r>
          </w:p>
        </w:tc>
      </w:tr>
      <w:tr>
        <w:trPr>
          <w:trHeight w:val="416"/>
        </w:trPr>
        <w:tc>
          <w:tcPr>
            <w:tcW w:w="1300" w:type="dxa"/>
            <w:vAlign w:val="bottom"/>
          </w:tcPr>
          <w:p>
            <w:pPr>
              <w:spacing w:after="0"/>
              <w:rPr>
                <w:sz w:val="24"/>
                <w:szCs w:val="24"/>
                <w:color w:val="auto"/>
              </w:rPr>
            </w:pPr>
          </w:p>
        </w:tc>
        <w:tc>
          <w:tcPr>
            <w:tcW w:w="882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8"/>
              </w:rPr>
              <w:t>ARTICLE IV</w:t>
            </w:r>
          </w:p>
        </w:tc>
        <w:tc>
          <w:tcPr>
            <w:tcW w:w="980" w:type="dxa"/>
            <w:vAlign w:val="bottom"/>
          </w:tcPr>
          <w:p>
            <w:pPr>
              <w:spacing w:after="0"/>
              <w:rPr>
                <w:sz w:val="24"/>
                <w:szCs w:val="24"/>
                <w:color w:val="auto"/>
              </w:rPr>
            </w:pPr>
          </w:p>
        </w:tc>
      </w:tr>
      <w:tr>
        <w:trPr>
          <w:trHeight w:val="286"/>
        </w:trPr>
        <w:tc>
          <w:tcPr>
            <w:tcW w:w="1300" w:type="dxa"/>
            <w:vAlign w:val="bottom"/>
          </w:tcPr>
          <w:p>
            <w:pPr>
              <w:spacing w:after="0"/>
              <w:rPr>
                <w:sz w:val="24"/>
                <w:szCs w:val="24"/>
                <w:color w:val="auto"/>
              </w:rPr>
            </w:pPr>
          </w:p>
        </w:tc>
        <w:tc>
          <w:tcPr>
            <w:tcW w:w="882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COMPENSATION ELIGIBLE FOR DEFERRAL; NOTICE AND PARTICIPATION</w:t>
            </w:r>
          </w:p>
        </w:tc>
        <w:tc>
          <w:tcPr>
            <w:tcW w:w="980" w:type="dxa"/>
            <w:vAlign w:val="bottom"/>
          </w:tcPr>
          <w:p>
            <w:pPr>
              <w:spacing w:after="0"/>
              <w:rPr>
                <w:sz w:val="24"/>
                <w:szCs w:val="24"/>
                <w:color w:val="auto"/>
              </w:rPr>
            </w:pPr>
          </w:p>
        </w:tc>
      </w:tr>
      <w:tr>
        <w:trPr>
          <w:trHeight w:val="420"/>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4.1</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Performance Compensation</w:t>
            </w:r>
          </w:p>
        </w:tc>
        <w:tc>
          <w:tcPr>
            <w:tcW w:w="980" w:type="dxa"/>
            <w:vAlign w:val="bottom"/>
          </w:tcPr>
          <w:p>
            <w:pPr>
              <w:jc w:val="center"/>
              <w:ind w:left="612"/>
              <w:spacing w:after="0"/>
              <w:rPr>
                <w:sz w:val="20"/>
                <w:szCs w:val="20"/>
                <w:color w:val="auto"/>
              </w:rPr>
            </w:pPr>
            <w:r>
              <w:rPr>
                <w:rFonts w:ascii="Times New Roman" w:cs="Times New Roman" w:eastAsia="Times New Roman" w:hAnsi="Times New Roman"/>
                <w:sz w:val="22"/>
                <w:szCs w:val="22"/>
                <w:color w:val="auto"/>
                <w:w w:val="99"/>
              </w:rPr>
              <w:t>10</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4.2</w:t>
            </w:r>
          </w:p>
        </w:tc>
        <w:tc>
          <w:tcPr>
            <w:tcW w:w="88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Deferrable Salary</w:t>
            </w:r>
          </w:p>
        </w:tc>
        <w:tc>
          <w:tcPr>
            <w:tcW w:w="980" w:type="dxa"/>
            <w:vAlign w:val="bottom"/>
          </w:tcPr>
          <w:p>
            <w:pPr>
              <w:jc w:val="center"/>
              <w:ind w:left="612"/>
              <w:spacing w:after="0" w:line="243" w:lineRule="exact"/>
              <w:rPr>
                <w:sz w:val="20"/>
                <w:szCs w:val="20"/>
                <w:color w:val="auto"/>
              </w:rPr>
            </w:pPr>
            <w:r>
              <w:rPr>
                <w:rFonts w:ascii="Times New Roman" w:cs="Times New Roman" w:eastAsia="Times New Roman" w:hAnsi="Times New Roman"/>
                <w:sz w:val="22"/>
                <w:szCs w:val="22"/>
                <w:color w:val="auto"/>
                <w:w w:val="99"/>
              </w:rPr>
              <w:t>10</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4.3</w:t>
            </w:r>
          </w:p>
        </w:tc>
        <w:tc>
          <w:tcPr>
            <w:tcW w:w="88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Participation; Notice and Agreement Procedure</w:t>
            </w:r>
          </w:p>
        </w:tc>
        <w:tc>
          <w:tcPr>
            <w:tcW w:w="980" w:type="dxa"/>
            <w:vAlign w:val="bottom"/>
          </w:tcPr>
          <w:p>
            <w:pPr>
              <w:jc w:val="center"/>
              <w:ind w:left="592"/>
              <w:spacing w:after="0" w:line="243" w:lineRule="exact"/>
              <w:rPr>
                <w:sz w:val="20"/>
                <w:szCs w:val="20"/>
                <w:color w:val="auto"/>
              </w:rPr>
            </w:pPr>
            <w:r>
              <w:rPr>
                <w:rFonts w:ascii="Times New Roman" w:cs="Times New Roman" w:eastAsia="Times New Roman" w:hAnsi="Times New Roman"/>
                <w:sz w:val="22"/>
                <w:szCs w:val="22"/>
                <w:color w:val="auto"/>
                <w:w w:val="90"/>
              </w:rPr>
              <w:t>11</w:t>
            </w: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4.4</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Time for Filing Elections</w:t>
            </w:r>
          </w:p>
        </w:tc>
        <w:tc>
          <w:tcPr>
            <w:tcW w:w="980" w:type="dxa"/>
            <w:vAlign w:val="bottom"/>
          </w:tcPr>
          <w:p>
            <w:pPr>
              <w:jc w:val="center"/>
              <w:ind w:left="612"/>
              <w:spacing w:after="0"/>
              <w:rPr>
                <w:sz w:val="20"/>
                <w:szCs w:val="20"/>
                <w:color w:val="auto"/>
              </w:rPr>
            </w:pPr>
            <w:r>
              <w:rPr>
                <w:rFonts w:ascii="Times New Roman" w:cs="Times New Roman" w:eastAsia="Times New Roman" w:hAnsi="Times New Roman"/>
                <w:sz w:val="22"/>
                <w:szCs w:val="22"/>
                <w:color w:val="auto"/>
                <w:w w:val="99"/>
              </w:rPr>
              <w:t>12</w:t>
            </w:r>
          </w:p>
        </w:tc>
      </w:tr>
    </w:tbl>
    <w:p>
      <w:pPr>
        <w:spacing w:after="0" w:line="17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ACCOUNTS AND REFERENCE INVESTMENT ELECTIONS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6.1</w:t>
            </w:r>
          </w:p>
        </w:tc>
        <w:tc>
          <w:tcPr>
            <w:tcW w:w="6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Deferred Compensation</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6.2</w:t>
            </w:r>
          </w:p>
        </w:tc>
        <w:tc>
          <w:tcPr>
            <w:tcW w:w="68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Accounts</w:t>
            </w:r>
          </w:p>
        </w:tc>
        <w:tc>
          <w:tcPr>
            <w:tcW w:w="2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6.3</w:t>
            </w:r>
          </w:p>
        </w:tc>
        <w:tc>
          <w:tcPr>
            <w:tcW w:w="68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Reference Investment Procedure</w:t>
            </w:r>
          </w:p>
        </w:tc>
        <w:tc>
          <w:tcPr>
            <w:tcW w:w="2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6.4</w:t>
            </w:r>
          </w:p>
        </w:tc>
        <w:tc>
          <w:tcPr>
            <w:tcW w:w="68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Equivalents; Reference Investment Elections</w:t>
            </w:r>
          </w:p>
        </w:tc>
        <w:tc>
          <w:tcPr>
            <w:tcW w:w="2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6.5</w:t>
            </w:r>
          </w:p>
        </w:tc>
        <w:tc>
          <w:tcPr>
            <w:tcW w:w="6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Failure to Elect Reference Investments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bl>
    <w:p>
      <w:pPr>
        <w:spacing w:after="0" w:line="1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24" w:right="47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6.6</w:t>
            </w:r>
          </w:p>
        </w:tc>
        <w:tc>
          <w:tcPr>
            <w:tcW w:w="8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Adjustments to Account Balances</w:t>
            </w:r>
          </w:p>
        </w:tc>
        <w:tc>
          <w:tcPr>
            <w:tcW w:w="19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15</w:t>
            </w: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6.7</w:t>
            </w:r>
          </w:p>
        </w:tc>
        <w:tc>
          <w:tcPr>
            <w:tcW w:w="8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Responsibility for Results of Reference Investment Funds.</w:t>
            </w:r>
          </w:p>
        </w:tc>
        <w:tc>
          <w:tcPr>
            <w:tcW w:w="19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16</w:t>
            </w:r>
          </w:p>
        </w:tc>
      </w:tr>
      <w:tr>
        <w:trPr>
          <w:trHeight w:val="416"/>
        </w:trPr>
        <w:tc>
          <w:tcPr>
            <w:tcW w:w="1340" w:type="dxa"/>
            <w:vAlign w:val="bottom"/>
          </w:tcPr>
          <w:p>
            <w:pPr>
              <w:spacing w:after="0"/>
              <w:rPr>
                <w:sz w:val="24"/>
                <w:szCs w:val="24"/>
                <w:color w:val="auto"/>
              </w:rPr>
            </w:pPr>
          </w:p>
        </w:tc>
        <w:tc>
          <w:tcPr>
            <w:tcW w:w="8020" w:type="dxa"/>
            <w:vAlign w:val="bottom"/>
          </w:tcPr>
          <w:p>
            <w:pPr>
              <w:jc w:val="center"/>
              <w:ind w:left="432"/>
              <w:spacing w:after="0"/>
              <w:rPr>
                <w:sz w:val="20"/>
                <w:szCs w:val="20"/>
                <w:color w:val="auto"/>
              </w:rPr>
            </w:pPr>
            <w:r>
              <w:rPr>
                <w:rFonts w:ascii="Times New Roman" w:cs="Times New Roman" w:eastAsia="Times New Roman" w:hAnsi="Times New Roman"/>
                <w:sz w:val="22"/>
                <w:szCs w:val="22"/>
                <w:b w:val="1"/>
                <w:bCs w:val="1"/>
                <w:color w:val="auto"/>
                <w:w w:val="97"/>
              </w:rPr>
              <w:t>ARTICLE VII</w:t>
            </w:r>
          </w:p>
        </w:tc>
        <w:tc>
          <w:tcPr>
            <w:tcW w:w="1900" w:type="dxa"/>
            <w:vAlign w:val="bottom"/>
          </w:tcPr>
          <w:p>
            <w:pPr>
              <w:spacing w:after="0"/>
              <w:rPr>
                <w:sz w:val="24"/>
                <w:szCs w:val="24"/>
                <w:color w:val="auto"/>
              </w:rPr>
            </w:pPr>
          </w:p>
        </w:tc>
      </w:tr>
      <w:tr>
        <w:trPr>
          <w:trHeight w:val="286"/>
        </w:trPr>
        <w:tc>
          <w:tcPr>
            <w:tcW w:w="1340" w:type="dxa"/>
            <w:vAlign w:val="bottom"/>
          </w:tcPr>
          <w:p>
            <w:pPr>
              <w:spacing w:after="0"/>
              <w:rPr>
                <w:sz w:val="24"/>
                <w:szCs w:val="24"/>
                <w:color w:val="auto"/>
              </w:rPr>
            </w:pPr>
          </w:p>
        </w:tc>
        <w:tc>
          <w:tcPr>
            <w:tcW w:w="8020" w:type="dxa"/>
            <w:vAlign w:val="bottom"/>
          </w:tcPr>
          <w:p>
            <w:pPr>
              <w:jc w:val="center"/>
              <w:ind w:left="432"/>
              <w:spacing w:after="0"/>
              <w:rPr>
                <w:sz w:val="20"/>
                <w:szCs w:val="20"/>
                <w:color w:val="auto"/>
              </w:rPr>
            </w:pPr>
            <w:r>
              <w:rPr>
                <w:rFonts w:ascii="Times New Roman" w:cs="Times New Roman" w:eastAsia="Times New Roman" w:hAnsi="Times New Roman"/>
                <w:sz w:val="22"/>
                <w:szCs w:val="22"/>
                <w:b w:val="1"/>
                <w:bCs w:val="1"/>
                <w:color w:val="auto"/>
                <w:w w:val="97"/>
              </w:rPr>
              <w:t>PAYMENT OF DEFERRED COMPENSATION</w:t>
            </w:r>
          </w:p>
        </w:tc>
        <w:tc>
          <w:tcPr>
            <w:tcW w:w="1900" w:type="dxa"/>
            <w:vAlign w:val="bottom"/>
          </w:tcPr>
          <w:p>
            <w:pPr>
              <w:spacing w:after="0"/>
              <w:rPr>
                <w:sz w:val="24"/>
                <w:szCs w:val="24"/>
                <w:color w:val="auto"/>
              </w:rPr>
            </w:pPr>
          </w:p>
        </w:tc>
      </w:tr>
      <w:tr>
        <w:trPr>
          <w:trHeight w:val="42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7.1</w:t>
            </w:r>
          </w:p>
        </w:tc>
        <w:tc>
          <w:tcPr>
            <w:tcW w:w="8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Distribution Events</w:t>
            </w:r>
          </w:p>
        </w:tc>
        <w:tc>
          <w:tcPr>
            <w:tcW w:w="19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16</w:t>
            </w: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7.2</w:t>
            </w:r>
          </w:p>
        </w:tc>
        <w:tc>
          <w:tcPr>
            <w:tcW w:w="80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Elections of Deferral Period and Payment Forms</w:t>
            </w:r>
          </w:p>
        </w:tc>
        <w:tc>
          <w:tcPr>
            <w:tcW w:w="19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20</w:t>
            </w: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7.3</w:t>
            </w:r>
          </w:p>
        </w:tc>
        <w:tc>
          <w:tcPr>
            <w:tcW w:w="8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Minimum Balance</w:t>
            </w:r>
          </w:p>
        </w:tc>
        <w:tc>
          <w:tcPr>
            <w:tcW w:w="19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21</w:t>
            </w:r>
          </w:p>
        </w:tc>
      </w:tr>
      <w:tr>
        <w:trPr>
          <w:trHeight w:val="416"/>
        </w:trPr>
        <w:tc>
          <w:tcPr>
            <w:tcW w:w="1340" w:type="dxa"/>
            <w:vAlign w:val="bottom"/>
          </w:tcPr>
          <w:p>
            <w:pPr>
              <w:spacing w:after="0"/>
              <w:rPr>
                <w:sz w:val="24"/>
                <w:szCs w:val="24"/>
                <w:color w:val="auto"/>
              </w:rPr>
            </w:pPr>
          </w:p>
        </w:tc>
        <w:tc>
          <w:tcPr>
            <w:tcW w:w="8020" w:type="dxa"/>
            <w:vAlign w:val="bottom"/>
          </w:tcPr>
          <w:p>
            <w:pPr>
              <w:jc w:val="center"/>
              <w:ind w:left="432"/>
              <w:spacing w:after="0"/>
              <w:rPr>
                <w:sz w:val="20"/>
                <w:szCs w:val="20"/>
                <w:color w:val="auto"/>
              </w:rPr>
            </w:pPr>
            <w:r>
              <w:rPr>
                <w:rFonts w:ascii="Times New Roman" w:cs="Times New Roman" w:eastAsia="Times New Roman" w:hAnsi="Times New Roman"/>
                <w:sz w:val="22"/>
                <w:szCs w:val="22"/>
                <w:b w:val="1"/>
                <w:bCs w:val="1"/>
                <w:color w:val="auto"/>
                <w:w w:val="97"/>
              </w:rPr>
              <w:t>ARTICLE VIII</w:t>
            </w:r>
          </w:p>
        </w:tc>
        <w:tc>
          <w:tcPr>
            <w:tcW w:w="1900" w:type="dxa"/>
            <w:vAlign w:val="bottom"/>
          </w:tcPr>
          <w:p>
            <w:pPr>
              <w:spacing w:after="0"/>
              <w:rPr>
                <w:sz w:val="24"/>
                <w:szCs w:val="24"/>
                <w:color w:val="auto"/>
              </w:rPr>
            </w:pPr>
          </w:p>
        </w:tc>
      </w:tr>
      <w:tr>
        <w:trPr>
          <w:trHeight w:val="286"/>
        </w:trPr>
        <w:tc>
          <w:tcPr>
            <w:tcW w:w="1340" w:type="dxa"/>
            <w:vAlign w:val="bottom"/>
          </w:tcPr>
          <w:p>
            <w:pPr>
              <w:spacing w:after="0"/>
              <w:rPr>
                <w:sz w:val="24"/>
                <w:szCs w:val="24"/>
                <w:color w:val="auto"/>
              </w:rPr>
            </w:pPr>
          </w:p>
        </w:tc>
        <w:tc>
          <w:tcPr>
            <w:tcW w:w="8020" w:type="dxa"/>
            <w:vAlign w:val="bottom"/>
          </w:tcPr>
          <w:p>
            <w:pPr>
              <w:jc w:val="center"/>
              <w:ind w:left="432"/>
              <w:spacing w:after="0"/>
              <w:rPr>
                <w:sz w:val="20"/>
                <w:szCs w:val="20"/>
                <w:color w:val="auto"/>
              </w:rPr>
            </w:pPr>
            <w:r>
              <w:rPr>
                <w:rFonts w:ascii="Times New Roman" w:cs="Times New Roman" w:eastAsia="Times New Roman" w:hAnsi="Times New Roman"/>
                <w:sz w:val="22"/>
                <w:szCs w:val="22"/>
                <w:b w:val="1"/>
                <w:bCs w:val="1"/>
                <w:color w:val="auto"/>
                <w:w w:val="96"/>
              </w:rPr>
              <w:t>PAYMENTS FROM THE PLAN</w:t>
            </w:r>
          </w:p>
        </w:tc>
        <w:tc>
          <w:tcPr>
            <w:tcW w:w="1900" w:type="dxa"/>
            <w:vAlign w:val="bottom"/>
          </w:tcPr>
          <w:p>
            <w:pPr>
              <w:spacing w:after="0"/>
              <w:rPr>
                <w:sz w:val="24"/>
                <w:szCs w:val="24"/>
                <w:color w:val="auto"/>
              </w:rPr>
            </w:pPr>
          </w:p>
        </w:tc>
      </w:tr>
      <w:tr>
        <w:trPr>
          <w:trHeight w:val="42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8.1</w:t>
            </w:r>
          </w:p>
        </w:tc>
        <w:tc>
          <w:tcPr>
            <w:tcW w:w="8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Time, Amount and Form of Payment</w:t>
            </w:r>
          </w:p>
        </w:tc>
        <w:tc>
          <w:tcPr>
            <w:tcW w:w="19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21</w:t>
            </w: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8.2</w:t>
            </w:r>
          </w:p>
        </w:tc>
        <w:tc>
          <w:tcPr>
            <w:tcW w:w="8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Acceleration of Payment Upon Change of Control</w:t>
            </w:r>
          </w:p>
        </w:tc>
        <w:tc>
          <w:tcPr>
            <w:tcW w:w="19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21</w:t>
            </w:r>
          </w:p>
        </w:tc>
      </w:tr>
      <w:tr>
        <w:trPr>
          <w:trHeight w:val="416"/>
        </w:trPr>
        <w:tc>
          <w:tcPr>
            <w:tcW w:w="1340" w:type="dxa"/>
            <w:vAlign w:val="bottom"/>
          </w:tcPr>
          <w:p>
            <w:pPr>
              <w:spacing w:after="0"/>
              <w:rPr>
                <w:sz w:val="24"/>
                <w:szCs w:val="24"/>
                <w:color w:val="auto"/>
              </w:rPr>
            </w:pPr>
          </w:p>
        </w:tc>
        <w:tc>
          <w:tcPr>
            <w:tcW w:w="8020" w:type="dxa"/>
            <w:vAlign w:val="bottom"/>
          </w:tcPr>
          <w:p>
            <w:pPr>
              <w:jc w:val="center"/>
              <w:ind w:left="432"/>
              <w:spacing w:after="0"/>
              <w:rPr>
                <w:sz w:val="20"/>
                <w:szCs w:val="20"/>
                <w:color w:val="auto"/>
              </w:rPr>
            </w:pPr>
            <w:r>
              <w:rPr>
                <w:rFonts w:ascii="Times New Roman" w:cs="Times New Roman" w:eastAsia="Times New Roman" w:hAnsi="Times New Roman"/>
                <w:sz w:val="22"/>
                <w:szCs w:val="22"/>
                <w:b w:val="1"/>
                <w:bCs w:val="1"/>
                <w:color w:val="auto"/>
                <w:w w:val="98"/>
              </w:rPr>
              <w:t>ARTICLE IX</w:t>
            </w:r>
          </w:p>
        </w:tc>
        <w:tc>
          <w:tcPr>
            <w:tcW w:w="1900" w:type="dxa"/>
            <w:vAlign w:val="bottom"/>
          </w:tcPr>
          <w:p>
            <w:pPr>
              <w:spacing w:after="0"/>
              <w:rPr>
                <w:sz w:val="24"/>
                <w:szCs w:val="24"/>
                <w:color w:val="auto"/>
              </w:rPr>
            </w:pPr>
          </w:p>
        </w:tc>
      </w:tr>
      <w:tr>
        <w:trPr>
          <w:trHeight w:val="286"/>
        </w:trPr>
        <w:tc>
          <w:tcPr>
            <w:tcW w:w="1340" w:type="dxa"/>
            <w:vAlign w:val="bottom"/>
          </w:tcPr>
          <w:p>
            <w:pPr>
              <w:spacing w:after="0"/>
              <w:rPr>
                <w:sz w:val="24"/>
                <w:szCs w:val="24"/>
                <w:color w:val="auto"/>
              </w:rPr>
            </w:pPr>
          </w:p>
        </w:tc>
        <w:tc>
          <w:tcPr>
            <w:tcW w:w="8020" w:type="dxa"/>
            <w:vAlign w:val="bottom"/>
          </w:tcPr>
          <w:p>
            <w:pPr>
              <w:jc w:val="center"/>
              <w:ind w:left="432"/>
              <w:spacing w:after="0"/>
              <w:rPr>
                <w:sz w:val="20"/>
                <w:szCs w:val="20"/>
                <w:color w:val="auto"/>
              </w:rPr>
            </w:pPr>
            <w:r>
              <w:rPr>
                <w:rFonts w:ascii="Times New Roman" w:cs="Times New Roman" w:eastAsia="Times New Roman" w:hAnsi="Times New Roman"/>
                <w:sz w:val="22"/>
                <w:szCs w:val="22"/>
                <w:b w:val="1"/>
                <w:bCs w:val="1"/>
                <w:color w:val="auto"/>
                <w:w w:val="96"/>
              </w:rPr>
              <w:t>SOURCE OF PAYMENTS</w:t>
            </w:r>
          </w:p>
        </w:tc>
        <w:tc>
          <w:tcPr>
            <w:tcW w:w="1900" w:type="dxa"/>
            <w:vAlign w:val="bottom"/>
          </w:tcPr>
          <w:p>
            <w:pPr>
              <w:spacing w:after="0"/>
              <w:rPr>
                <w:sz w:val="24"/>
                <w:szCs w:val="24"/>
                <w:color w:val="auto"/>
              </w:rPr>
            </w:pPr>
          </w:p>
        </w:tc>
      </w:tr>
      <w:tr>
        <w:trPr>
          <w:trHeight w:val="42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9.1</w:t>
            </w:r>
          </w:p>
        </w:tc>
        <w:tc>
          <w:tcPr>
            <w:tcW w:w="8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Payments from General Funds of Employers and Rabbi Trusts</w:t>
            </w:r>
          </w:p>
        </w:tc>
        <w:tc>
          <w:tcPr>
            <w:tcW w:w="19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22</w:t>
            </w: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9.2</w:t>
            </w:r>
          </w:p>
        </w:tc>
        <w:tc>
          <w:tcPr>
            <w:tcW w:w="80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The Trusts</w:t>
            </w:r>
          </w:p>
        </w:tc>
        <w:tc>
          <w:tcPr>
            <w:tcW w:w="19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9.3</w:t>
            </w:r>
          </w:p>
        </w:tc>
        <w:tc>
          <w:tcPr>
            <w:tcW w:w="80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Contributions and Expenses</w:t>
            </w:r>
          </w:p>
        </w:tc>
        <w:tc>
          <w:tcPr>
            <w:tcW w:w="19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9.4</w:t>
            </w:r>
          </w:p>
        </w:tc>
        <w:tc>
          <w:tcPr>
            <w:tcW w:w="80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Trustee Duties</w:t>
            </w:r>
          </w:p>
        </w:tc>
        <w:tc>
          <w:tcPr>
            <w:tcW w:w="19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9.5</w:t>
            </w:r>
          </w:p>
        </w:tc>
        <w:tc>
          <w:tcPr>
            <w:tcW w:w="8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Reversion of Trust Funds to Company or Participating Employer</w:t>
            </w:r>
          </w:p>
        </w:tc>
        <w:tc>
          <w:tcPr>
            <w:tcW w:w="19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23</w:t>
            </w:r>
          </w:p>
        </w:tc>
      </w:tr>
      <w:tr>
        <w:trPr>
          <w:trHeight w:val="416"/>
        </w:trPr>
        <w:tc>
          <w:tcPr>
            <w:tcW w:w="1340" w:type="dxa"/>
            <w:vAlign w:val="bottom"/>
          </w:tcPr>
          <w:p>
            <w:pPr>
              <w:spacing w:after="0"/>
              <w:rPr>
                <w:sz w:val="24"/>
                <w:szCs w:val="24"/>
                <w:color w:val="auto"/>
              </w:rPr>
            </w:pPr>
          </w:p>
        </w:tc>
        <w:tc>
          <w:tcPr>
            <w:tcW w:w="8020" w:type="dxa"/>
            <w:vAlign w:val="bottom"/>
          </w:tcPr>
          <w:p>
            <w:pPr>
              <w:jc w:val="center"/>
              <w:ind w:left="452"/>
              <w:spacing w:after="0"/>
              <w:rPr>
                <w:sz w:val="20"/>
                <w:szCs w:val="20"/>
                <w:color w:val="auto"/>
              </w:rPr>
            </w:pPr>
            <w:r>
              <w:rPr>
                <w:rFonts w:ascii="Times New Roman" w:cs="Times New Roman" w:eastAsia="Times New Roman" w:hAnsi="Times New Roman"/>
                <w:sz w:val="22"/>
                <w:szCs w:val="22"/>
                <w:b w:val="1"/>
                <w:bCs w:val="1"/>
                <w:color w:val="auto"/>
                <w:w w:val="96"/>
              </w:rPr>
              <w:t>ARTICLE X</w:t>
            </w:r>
          </w:p>
        </w:tc>
        <w:tc>
          <w:tcPr>
            <w:tcW w:w="1900" w:type="dxa"/>
            <w:vAlign w:val="bottom"/>
          </w:tcPr>
          <w:p>
            <w:pPr>
              <w:spacing w:after="0"/>
              <w:rPr>
                <w:sz w:val="24"/>
                <w:szCs w:val="24"/>
                <w:color w:val="auto"/>
              </w:rPr>
            </w:pPr>
          </w:p>
        </w:tc>
      </w:tr>
      <w:tr>
        <w:trPr>
          <w:trHeight w:val="286"/>
        </w:trPr>
        <w:tc>
          <w:tcPr>
            <w:tcW w:w="1340" w:type="dxa"/>
            <w:vAlign w:val="bottom"/>
          </w:tcPr>
          <w:p>
            <w:pPr>
              <w:spacing w:after="0"/>
              <w:rPr>
                <w:sz w:val="24"/>
                <w:szCs w:val="24"/>
                <w:color w:val="auto"/>
              </w:rPr>
            </w:pPr>
          </w:p>
        </w:tc>
        <w:tc>
          <w:tcPr>
            <w:tcW w:w="8020" w:type="dxa"/>
            <w:vAlign w:val="bottom"/>
          </w:tcPr>
          <w:p>
            <w:pPr>
              <w:jc w:val="center"/>
              <w:ind w:left="432"/>
              <w:spacing w:after="0"/>
              <w:rPr>
                <w:sz w:val="20"/>
                <w:szCs w:val="20"/>
                <w:color w:val="auto"/>
              </w:rPr>
            </w:pPr>
            <w:r>
              <w:rPr>
                <w:rFonts w:ascii="Times New Roman" w:cs="Times New Roman" w:eastAsia="Times New Roman" w:hAnsi="Times New Roman"/>
                <w:sz w:val="22"/>
                <w:szCs w:val="22"/>
                <w:b w:val="1"/>
                <w:bCs w:val="1"/>
                <w:color w:val="auto"/>
                <w:w w:val="97"/>
              </w:rPr>
              <w:t>DESIGNATION OF BENEFICIARIES</w:t>
            </w:r>
          </w:p>
        </w:tc>
        <w:tc>
          <w:tcPr>
            <w:tcW w:w="1900" w:type="dxa"/>
            <w:vAlign w:val="bottom"/>
          </w:tcPr>
          <w:p>
            <w:pPr>
              <w:spacing w:after="0"/>
              <w:rPr>
                <w:sz w:val="24"/>
                <w:szCs w:val="24"/>
                <w:color w:val="auto"/>
              </w:rPr>
            </w:pPr>
          </w:p>
        </w:tc>
      </w:tr>
      <w:tr>
        <w:trPr>
          <w:trHeight w:val="42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10.1</w:t>
            </w:r>
          </w:p>
        </w:tc>
        <w:tc>
          <w:tcPr>
            <w:tcW w:w="8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Designation Procedure</w:t>
            </w:r>
          </w:p>
        </w:tc>
        <w:tc>
          <w:tcPr>
            <w:tcW w:w="19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23</w:t>
            </w: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10.2</w:t>
            </w:r>
          </w:p>
        </w:tc>
        <w:tc>
          <w:tcPr>
            <w:tcW w:w="80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Payment to the Participant’s Representative</w:t>
            </w:r>
          </w:p>
        </w:tc>
        <w:tc>
          <w:tcPr>
            <w:tcW w:w="19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10.3</w:t>
            </w:r>
          </w:p>
        </w:tc>
        <w:tc>
          <w:tcPr>
            <w:tcW w:w="8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Unclaimed Benefits</w:t>
            </w:r>
          </w:p>
        </w:tc>
        <w:tc>
          <w:tcPr>
            <w:tcW w:w="19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25</w:t>
            </w:r>
          </w:p>
        </w:tc>
      </w:tr>
      <w:tr>
        <w:trPr>
          <w:trHeight w:val="416"/>
        </w:trPr>
        <w:tc>
          <w:tcPr>
            <w:tcW w:w="1340" w:type="dxa"/>
            <w:vAlign w:val="bottom"/>
          </w:tcPr>
          <w:p>
            <w:pPr>
              <w:spacing w:after="0"/>
              <w:rPr>
                <w:sz w:val="24"/>
                <w:szCs w:val="24"/>
                <w:color w:val="auto"/>
              </w:rPr>
            </w:pPr>
          </w:p>
        </w:tc>
        <w:tc>
          <w:tcPr>
            <w:tcW w:w="8020" w:type="dxa"/>
            <w:vAlign w:val="bottom"/>
          </w:tcPr>
          <w:p>
            <w:pPr>
              <w:jc w:val="center"/>
              <w:ind w:left="432"/>
              <w:spacing w:after="0"/>
              <w:rPr>
                <w:sz w:val="20"/>
                <w:szCs w:val="20"/>
                <w:color w:val="auto"/>
              </w:rPr>
            </w:pPr>
            <w:r>
              <w:rPr>
                <w:rFonts w:ascii="Times New Roman" w:cs="Times New Roman" w:eastAsia="Times New Roman" w:hAnsi="Times New Roman"/>
                <w:sz w:val="22"/>
                <w:szCs w:val="22"/>
                <w:b w:val="1"/>
                <w:bCs w:val="1"/>
                <w:color w:val="auto"/>
                <w:w w:val="98"/>
              </w:rPr>
              <w:t>ARTICLE XI</w:t>
            </w:r>
          </w:p>
        </w:tc>
        <w:tc>
          <w:tcPr>
            <w:tcW w:w="1900" w:type="dxa"/>
            <w:vAlign w:val="bottom"/>
          </w:tcPr>
          <w:p>
            <w:pPr>
              <w:spacing w:after="0"/>
              <w:rPr>
                <w:sz w:val="24"/>
                <w:szCs w:val="24"/>
                <w:color w:val="auto"/>
              </w:rPr>
            </w:pPr>
          </w:p>
        </w:tc>
      </w:tr>
      <w:tr>
        <w:trPr>
          <w:trHeight w:val="286"/>
        </w:trPr>
        <w:tc>
          <w:tcPr>
            <w:tcW w:w="1340" w:type="dxa"/>
            <w:vAlign w:val="bottom"/>
          </w:tcPr>
          <w:p>
            <w:pPr>
              <w:spacing w:after="0"/>
              <w:rPr>
                <w:sz w:val="24"/>
                <w:szCs w:val="24"/>
                <w:color w:val="auto"/>
              </w:rPr>
            </w:pPr>
          </w:p>
        </w:tc>
        <w:tc>
          <w:tcPr>
            <w:tcW w:w="8020" w:type="dxa"/>
            <w:vAlign w:val="bottom"/>
          </w:tcPr>
          <w:p>
            <w:pPr>
              <w:jc w:val="center"/>
              <w:ind w:left="452"/>
              <w:spacing w:after="0"/>
              <w:rPr>
                <w:sz w:val="20"/>
                <w:szCs w:val="20"/>
                <w:color w:val="auto"/>
              </w:rPr>
            </w:pPr>
            <w:r>
              <w:rPr>
                <w:rFonts w:ascii="Times New Roman" w:cs="Times New Roman" w:eastAsia="Times New Roman" w:hAnsi="Times New Roman"/>
                <w:sz w:val="22"/>
                <w:szCs w:val="22"/>
                <w:b w:val="1"/>
                <w:bCs w:val="1"/>
                <w:color w:val="auto"/>
                <w:w w:val="97"/>
              </w:rPr>
              <w:t>ADMINISTRATION OF PLAN</w:t>
            </w:r>
          </w:p>
        </w:tc>
        <w:tc>
          <w:tcPr>
            <w:tcW w:w="1900" w:type="dxa"/>
            <w:vAlign w:val="bottom"/>
          </w:tcPr>
          <w:p>
            <w:pPr>
              <w:spacing w:after="0"/>
              <w:rPr>
                <w:sz w:val="24"/>
                <w:szCs w:val="24"/>
                <w:color w:val="auto"/>
              </w:rPr>
            </w:pPr>
          </w:p>
        </w:tc>
      </w:tr>
      <w:tr>
        <w:trPr>
          <w:trHeight w:val="42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11.1</w:t>
            </w:r>
          </w:p>
        </w:tc>
        <w:tc>
          <w:tcPr>
            <w:tcW w:w="8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Administration</w:t>
            </w:r>
          </w:p>
        </w:tc>
        <w:tc>
          <w:tcPr>
            <w:tcW w:w="19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25</w:t>
            </w: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11.2</w:t>
            </w:r>
          </w:p>
        </w:tc>
        <w:tc>
          <w:tcPr>
            <w:tcW w:w="80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Allocation of Fiduciary Responsibilities; Composition and</w:t>
            </w:r>
          </w:p>
        </w:tc>
        <w:tc>
          <w:tcPr>
            <w:tcW w:w="19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340" w:type="dxa"/>
            <w:vAlign w:val="bottom"/>
          </w:tcPr>
          <w:p>
            <w:pPr>
              <w:spacing w:after="0"/>
              <w:rPr>
                <w:sz w:val="21"/>
                <w:szCs w:val="21"/>
                <w:color w:val="auto"/>
              </w:rPr>
            </w:pPr>
          </w:p>
        </w:tc>
        <w:tc>
          <w:tcPr>
            <w:tcW w:w="80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Powers of Committee</w:t>
            </w:r>
          </w:p>
        </w:tc>
        <w:tc>
          <w:tcPr>
            <w:tcW w:w="1900" w:type="dxa"/>
            <w:vAlign w:val="bottom"/>
          </w:tcPr>
          <w:p>
            <w:pPr>
              <w:spacing w:after="0"/>
              <w:rPr>
                <w:sz w:val="21"/>
                <w:szCs w:val="2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11.3</w:t>
            </w:r>
          </w:p>
        </w:tc>
        <w:tc>
          <w:tcPr>
            <w:tcW w:w="80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Indemnification</w:t>
            </w:r>
          </w:p>
        </w:tc>
        <w:tc>
          <w:tcPr>
            <w:tcW w:w="19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11.4</w:t>
            </w:r>
          </w:p>
        </w:tc>
        <w:tc>
          <w:tcPr>
            <w:tcW w:w="8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Claims Procedures</w:t>
            </w:r>
          </w:p>
        </w:tc>
        <w:tc>
          <w:tcPr>
            <w:tcW w:w="19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27</w:t>
            </w:r>
          </w:p>
        </w:tc>
      </w:tr>
      <w:tr>
        <w:trPr>
          <w:trHeight w:val="416"/>
        </w:trPr>
        <w:tc>
          <w:tcPr>
            <w:tcW w:w="1340" w:type="dxa"/>
            <w:vAlign w:val="bottom"/>
          </w:tcPr>
          <w:p>
            <w:pPr>
              <w:spacing w:after="0"/>
              <w:rPr>
                <w:sz w:val="24"/>
                <w:szCs w:val="24"/>
                <w:color w:val="auto"/>
              </w:rPr>
            </w:pPr>
          </w:p>
        </w:tc>
        <w:tc>
          <w:tcPr>
            <w:tcW w:w="8020" w:type="dxa"/>
            <w:vAlign w:val="bottom"/>
          </w:tcPr>
          <w:p>
            <w:pPr>
              <w:jc w:val="center"/>
              <w:ind w:left="432"/>
              <w:spacing w:after="0"/>
              <w:rPr>
                <w:sz w:val="20"/>
                <w:szCs w:val="20"/>
                <w:color w:val="auto"/>
              </w:rPr>
            </w:pPr>
            <w:r>
              <w:rPr>
                <w:rFonts w:ascii="Times New Roman" w:cs="Times New Roman" w:eastAsia="Times New Roman" w:hAnsi="Times New Roman"/>
                <w:sz w:val="22"/>
                <w:szCs w:val="22"/>
                <w:b w:val="1"/>
                <w:bCs w:val="1"/>
                <w:color w:val="auto"/>
                <w:w w:val="97"/>
              </w:rPr>
              <w:t>ARTICLE XII</w:t>
            </w:r>
          </w:p>
        </w:tc>
        <w:tc>
          <w:tcPr>
            <w:tcW w:w="1900" w:type="dxa"/>
            <w:vAlign w:val="bottom"/>
          </w:tcPr>
          <w:p>
            <w:pPr>
              <w:spacing w:after="0"/>
              <w:rPr>
                <w:sz w:val="24"/>
                <w:szCs w:val="24"/>
                <w:color w:val="auto"/>
              </w:rPr>
            </w:pPr>
          </w:p>
        </w:tc>
      </w:tr>
      <w:tr>
        <w:trPr>
          <w:trHeight w:val="286"/>
        </w:trPr>
        <w:tc>
          <w:tcPr>
            <w:tcW w:w="1340" w:type="dxa"/>
            <w:vAlign w:val="bottom"/>
          </w:tcPr>
          <w:p>
            <w:pPr>
              <w:spacing w:after="0"/>
              <w:rPr>
                <w:sz w:val="24"/>
                <w:szCs w:val="24"/>
                <w:color w:val="auto"/>
              </w:rPr>
            </w:pPr>
          </w:p>
        </w:tc>
        <w:tc>
          <w:tcPr>
            <w:tcW w:w="8020" w:type="dxa"/>
            <w:vAlign w:val="bottom"/>
          </w:tcPr>
          <w:p>
            <w:pPr>
              <w:jc w:val="center"/>
              <w:ind w:left="452"/>
              <w:spacing w:after="0"/>
              <w:rPr>
                <w:sz w:val="20"/>
                <w:szCs w:val="20"/>
                <w:color w:val="auto"/>
              </w:rPr>
            </w:pPr>
            <w:r>
              <w:rPr>
                <w:rFonts w:ascii="Times New Roman" w:cs="Times New Roman" w:eastAsia="Times New Roman" w:hAnsi="Times New Roman"/>
                <w:sz w:val="22"/>
                <w:szCs w:val="22"/>
                <w:b w:val="1"/>
                <w:bCs w:val="1"/>
                <w:color w:val="auto"/>
                <w:w w:val="97"/>
              </w:rPr>
              <w:t>AMENDMENT AND TERMINATION</w:t>
            </w:r>
          </w:p>
        </w:tc>
        <w:tc>
          <w:tcPr>
            <w:tcW w:w="1900" w:type="dxa"/>
            <w:vAlign w:val="bottom"/>
          </w:tcPr>
          <w:p>
            <w:pPr>
              <w:spacing w:after="0"/>
              <w:rPr>
                <w:sz w:val="24"/>
                <w:szCs w:val="24"/>
                <w:color w:val="auto"/>
              </w:rPr>
            </w:pPr>
          </w:p>
        </w:tc>
      </w:tr>
      <w:tr>
        <w:trPr>
          <w:trHeight w:val="459"/>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12.1</w:t>
            </w:r>
          </w:p>
        </w:tc>
        <w:tc>
          <w:tcPr>
            <w:tcW w:w="8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Amendment of the Plan</w:t>
            </w:r>
          </w:p>
        </w:tc>
        <w:tc>
          <w:tcPr>
            <w:tcW w:w="19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28</w:t>
            </w:r>
          </w:p>
        </w:tc>
      </w:tr>
      <w:tr>
        <w:trPr>
          <w:trHeight w:val="459"/>
        </w:trPr>
        <w:tc>
          <w:tcPr>
            <w:tcW w:w="1340" w:type="dxa"/>
            <w:vAlign w:val="bottom"/>
          </w:tcPr>
          <w:p>
            <w:pPr>
              <w:spacing w:after="0"/>
              <w:rPr>
                <w:sz w:val="24"/>
                <w:szCs w:val="24"/>
                <w:color w:val="auto"/>
              </w:rPr>
            </w:pPr>
          </w:p>
        </w:tc>
        <w:tc>
          <w:tcPr>
            <w:tcW w:w="8020" w:type="dxa"/>
            <w:vAlign w:val="bottom"/>
          </w:tcPr>
          <w:p>
            <w:pPr>
              <w:jc w:val="center"/>
              <w:ind w:left="452"/>
              <w:spacing w:after="0"/>
              <w:rPr>
                <w:sz w:val="20"/>
                <w:szCs w:val="20"/>
                <w:color w:val="auto"/>
              </w:rPr>
            </w:pPr>
            <w:r>
              <w:rPr>
                <w:rFonts w:ascii="Times New Roman" w:cs="Times New Roman" w:eastAsia="Times New Roman" w:hAnsi="Times New Roman"/>
                <w:sz w:val="22"/>
                <w:szCs w:val="22"/>
                <w:color w:val="auto"/>
                <w:w w:val="97"/>
              </w:rPr>
              <w:t>iii</w:t>
            </w:r>
          </w:p>
        </w:tc>
        <w:tc>
          <w:tcPr>
            <w:tcW w:w="1900" w:type="dxa"/>
            <w:vAlign w:val="bottom"/>
          </w:tcPr>
          <w:p>
            <w:pPr>
              <w:spacing w:after="0"/>
              <w:rPr>
                <w:sz w:val="24"/>
                <w:szCs w:val="24"/>
                <w:color w:val="auto"/>
              </w:rPr>
            </w:pPr>
          </w:p>
        </w:tc>
      </w:tr>
      <w:tr>
        <w:trPr>
          <w:trHeight w:val="103"/>
        </w:trPr>
        <w:tc>
          <w:tcPr>
            <w:tcW w:w="1340" w:type="dxa"/>
            <w:vAlign w:val="bottom"/>
            <w:tcBorders>
              <w:bottom w:val="single" w:sz="8" w:color="9A9A9A"/>
            </w:tcBorders>
          </w:tcPr>
          <w:p>
            <w:pPr>
              <w:spacing w:after="0"/>
              <w:rPr>
                <w:sz w:val="8"/>
                <w:szCs w:val="8"/>
                <w:color w:val="auto"/>
              </w:rPr>
            </w:pPr>
          </w:p>
        </w:tc>
        <w:tc>
          <w:tcPr>
            <w:tcW w:w="802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12.2</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Termination of the Plan</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416"/>
        </w:trPr>
        <w:tc>
          <w:tcPr>
            <w:tcW w:w="1400" w:type="dxa"/>
            <w:vAlign w:val="bottom"/>
          </w:tcPr>
          <w:p>
            <w:pPr>
              <w:spacing w:after="0"/>
              <w:rPr>
                <w:sz w:val="24"/>
                <w:szCs w:val="24"/>
                <w:color w:val="auto"/>
              </w:rPr>
            </w:pPr>
          </w:p>
        </w:tc>
        <w:tc>
          <w:tcPr>
            <w:tcW w:w="7760" w:type="dxa"/>
            <w:vAlign w:val="bottom"/>
          </w:tcPr>
          <w:p>
            <w:pPr>
              <w:ind w:left="3500"/>
              <w:spacing w:after="0"/>
              <w:rPr>
                <w:sz w:val="20"/>
                <w:szCs w:val="20"/>
                <w:color w:val="auto"/>
              </w:rPr>
            </w:pPr>
            <w:r>
              <w:rPr>
                <w:rFonts w:ascii="Times New Roman" w:cs="Times New Roman" w:eastAsia="Times New Roman" w:hAnsi="Times New Roman"/>
                <w:sz w:val="22"/>
                <w:szCs w:val="22"/>
                <w:b w:val="1"/>
                <w:bCs w:val="1"/>
                <w:color w:val="auto"/>
              </w:rPr>
              <w:t>ARTICLE XIII</w:t>
            </w:r>
          </w:p>
        </w:tc>
        <w:tc>
          <w:tcPr>
            <w:tcW w:w="1920" w:type="dxa"/>
            <w:vAlign w:val="bottom"/>
          </w:tcPr>
          <w:p>
            <w:pPr>
              <w:spacing w:after="0"/>
              <w:rPr>
                <w:sz w:val="24"/>
                <w:szCs w:val="24"/>
                <w:color w:val="auto"/>
              </w:rPr>
            </w:pPr>
          </w:p>
        </w:tc>
      </w:tr>
      <w:tr>
        <w:trPr>
          <w:trHeight w:val="286"/>
        </w:trPr>
        <w:tc>
          <w:tcPr>
            <w:tcW w:w="1400" w:type="dxa"/>
            <w:vAlign w:val="bottom"/>
          </w:tcPr>
          <w:p>
            <w:pPr>
              <w:spacing w:after="0"/>
              <w:rPr>
                <w:sz w:val="24"/>
                <w:szCs w:val="24"/>
                <w:color w:val="auto"/>
              </w:rPr>
            </w:pPr>
          </w:p>
        </w:tc>
        <w:tc>
          <w:tcPr>
            <w:tcW w:w="7760" w:type="dxa"/>
            <w:vAlign w:val="bottom"/>
          </w:tcPr>
          <w:p>
            <w:pPr>
              <w:ind w:left="2580"/>
              <w:spacing w:after="0"/>
              <w:rPr>
                <w:sz w:val="20"/>
                <w:szCs w:val="20"/>
                <w:color w:val="auto"/>
              </w:rPr>
            </w:pPr>
            <w:r>
              <w:rPr>
                <w:rFonts w:ascii="Times New Roman" w:cs="Times New Roman" w:eastAsia="Times New Roman" w:hAnsi="Times New Roman"/>
                <w:sz w:val="22"/>
                <w:szCs w:val="22"/>
                <w:b w:val="1"/>
                <w:bCs w:val="1"/>
                <w:color w:val="auto"/>
              </w:rPr>
              <w:t>MISCELLANEOUS PROVISIONS</w:t>
            </w:r>
          </w:p>
        </w:tc>
        <w:tc>
          <w:tcPr>
            <w:tcW w:w="1920" w:type="dxa"/>
            <w:vAlign w:val="bottom"/>
          </w:tcPr>
          <w:p>
            <w:pPr>
              <w:spacing w:after="0"/>
              <w:rPr>
                <w:sz w:val="24"/>
                <w:szCs w:val="24"/>
                <w:color w:val="auto"/>
              </w:rPr>
            </w:pPr>
          </w:p>
        </w:tc>
      </w:tr>
      <w:tr>
        <w:trPr>
          <w:trHeight w:val="42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13.1</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 Assignment</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13.2</w:t>
            </w:r>
          </w:p>
        </w:tc>
        <w:tc>
          <w:tcPr>
            <w:tcW w:w="7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Adoption of and Withdrawal from Plan by a Participating Employer</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13.3</w:t>
            </w:r>
          </w:p>
        </w:tc>
        <w:tc>
          <w:tcPr>
            <w:tcW w:w="7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Information Required</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13.4</w:t>
            </w:r>
          </w:p>
        </w:tc>
        <w:tc>
          <w:tcPr>
            <w:tcW w:w="7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Elections by Eligible Employees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13.5</w:t>
            </w:r>
          </w:p>
        </w:tc>
        <w:tc>
          <w:tcPr>
            <w:tcW w:w="7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Notices by Committee or any Employer</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13.6</w:t>
            </w:r>
          </w:p>
        </w:tc>
        <w:tc>
          <w:tcPr>
            <w:tcW w:w="7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No Employment Contract or Commitment</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13.7</w:t>
            </w:r>
          </w:p>
        </w:tc>
        <w:tc>
          <w:tcPr>
            <w:tcW w:w="7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13.8</w:t>
            </w:r>
          </w:p>
        </w:tc>
        <w:tc>
          <w:tcPr>
            <w:tcW w:w="7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Effect of IRS Determination</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13.9</w:t>
            </w:r>
          </w:p>
        </w:tc>
        <w:tc>
          <w:tcPr>
            <w:tcW w:w="7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Taxes and Withholding</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13.10</w:t>
            </w:r>
          </w:p>
        </w:tc>
        <w:tc>
          <w:tcPr>
            <w:tcW w:w="7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No Rights to Assets Created</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13.11</w:t>
            </w:r>
          </w:p>
        </w:tc>
        <w:tc>
          <w:tcPr>
            <w:tcW w:w="7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Precedent</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13.12</w:t>
            </w:r>
          </w:p>
        </w:tc>
        <w:tc>
          <w:tcPr>
            <w:tcW w:w="7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No Guarantees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13.13</w:t>
            </w:r>
          </w:p>
        </w:tc>
        <w:tc>
          <w:tcPr>
            <w:tcW w:w="7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Expenses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13.14</w:t>
            </w:r>
          </w:p>
        </w:tc>
        <w:tc>
          <w:tcPr>
            <w:tcW w:w="7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Claims of Other Persons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13.15</w:t>
            </w:r>
          </w:p>
        </w:tc>
        <w:tc>
          <w:tcPr>
            <w:tcW w:w="7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Captions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13.16</w:t>
            </w:r>
          </w:p>
        </w:tc>
        <w:tc>
          <w:tcPr>
            <w:tcW w:w="7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Validity of the Plan</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13.17</w:t>
            </w:r>
          </w:p>
        </w:tc>
        <w:tc>
          <w:tcPr>
            <w:tcW w:w="7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Plan Binding on Parties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13.18</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Compliance with Section 409A of the Code</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328" w:right="49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2"/>
          <w:szCs w:val="22"/>
          <w:b w:val="1"/>
          <w:bCs w:val="1"/>
          <w:color w:val="auto"/>
        </w:rPr>
        <w:t>THE GOODYEAR TIRE &amp; RUBBER COMPANY</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DEFERRED COMPENSATION PLAN FOR EXECUTIVES</w:t>
      </w:r>
    </w:p>
    <w:p>
      <w:pPr>
        <w:spacing w:after="0" w:line="18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restatement incorporates a September 1, 2016 amendment to allow certain subsequent deferral elections by Participants. The prior 2008 Restatement provided provisions for compliance with Section 409A of the Internal Revenue Code for all benefits under this Plan that were not both earned and vested prior to January 1, 2005 within the meaning of Section 409A of the Code ("Post-2004 Benefits"). All provisions of the Plan amended on or prior to December 3, 2002 apply to the accrued benefits that were earned and vested as of December 31, 2004 within the meaning of Section 409A of the Code ("Pre-2005 Benefits"). Where a provision no longer applies under Section 409A, that Section will be shown as the original applying to Pre-2005 Benefits ("Pre-2005 Provisions") and the revised sections applying only to Post-2004 Benefits ("Post-2004 Provisions"). Nothing contained herein was intended to materially enhance a benefit or right with respect to Pre-2005 Benefits under the Plan as of October 3, 2004 or add a new material benefit or right to such Pre-2005 Benefits.</w:t>
      </w:r>
    </w:p>
    <w:p>
      <w:pPr>
        <w:spacing w:after="0" w:line="179" w:lineRule="exact"/>
        <w:rPr>
          <w:sz w:val="20"/>
          <w:szCs w:val="20"/>
          <w:color w:val="auto"/>
        </w:rPr>
      </w:pPr>
    </w:p>
    <w:p>
      <w:pPr>
        <w:jc w:val="both"/>
        <w:ind w:right="20" w:firstLine="864"/>
        <w:spacing w:after="0" w:line="262" w:lineRule="auto"/>
        <w:rPr>
          <w:sz w:val="20"/>
          <w:szCs w:val="20"/>
          <w:color w:val="auto"/>
        </w:rPr>
      </w:pPr>
      <w:r>
        <w:rPr>
          <w:rFonts w:ascii="Times New Roman" w:cs="Times New Roman" w:eastAsia="Times New Roman" w:hAnsi="Times New Roman"/>
          <w:sz w:val="22"/>
          <w:szCs w:val="22"/>
          <w:b w:val="1"/>
          <w:bCs w:val="1"/>
          <w:color w:val="auto"/>
        </w:rPr>
        <w:t>THE GOODYEAR TIRE &amp; RUBBER COMPANY</w:t>
      </w:r>
      <w:r>
        <w:rPr>
          <w:rFonts w:ascii="Times New Roman" w:cs="Times New Roman" w:eastAsia="Times New Roman" w:hAnsi="Times New Roman"/>
          <w:sz w:val="22"/>
          <w:szCs w:val="22"/>
          <w:color w:val="auto"/>
        </w:rPr>
        <w:t>, an Ohio corporation (“Goodyear” or the “Company”)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amends and restates the Deferred Compensation Plan for Executives of the Company (the “Plan”) as hereinafter provided.</w:t>
      </w:r>
    </w:p>
    <w:p>
      <w:pPr>
        <w:spacing w:after="0" w:line="36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u w:val="single" w:color="auto"/>
          <w:color w:val="auto"/>
        </w:rPr>
        <w:t>GENERAL</w:t>
      </w:r>
    </w:p>
    <w:p>
      <w:pPr>
        <w:spacing w:after="0" w:line="178"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1.1 </w:t>
      </w:r>
      <w:r>
        <w:rPr>
          <w:rFonts w:ascii="Times New Roman" w:cs="Times New Roman" w:eastAsia="Times New Roman" w:hAnsi="Times New Roman"/>
          <w:sz w:val="22"/>
          <w:szCs w:val="22"/>
          <w:b w:val="1"/>
          <w:bCs w:val="1"/>
          <w:u w:val="single" w:color="auto"/>
          <w:color w:val="auto"/>
        </w:rPr>
        <w:t>Purpose</w:t>
      </w:r>
      <w:r>
        <w:rPr>
          <w:rFonts w:ascii="Times New Roman" w:cs="Times New Roman" w:eastAsia="Times New Roman" w:hAnsi="Times New Roman"/>
          <w:sz w:val="22"/>
          <w:szCs w:val="22"/>
          <w:color w:val="auto"/>
        </w:rPr>
        <w:t>. The purpose of the Plan is to promote the greater success of Goodyear and its Subsidiaries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providing a means for a select group of management and highly compensated employees of Goodyear and such subsidiaries (whose positions enable them to make significant contributions to the profitability, competitiveness and growth of the Company and its subsidiaries) to defer certain incentive and salary compensation.</w:t>
      </w:r>
    </w:p>
    <w:p>
      <w:pPr>
        <w:spacing w:after="0" w:line="172"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1.2. </w:t>
      </w:r>
      <w:r>
        <w:rPr>
          <w:rFonts w:ascii="Times New Roman" w:cs="Times New Roman" w:eastAsia="Times New Roman" w:hAnsi="Times New Roman"/>
          <w:sz w:val="22"/>
          <w:szCs w:val="22"/>
          <w:b w:val="1"/>
          <w:bCs w:val="1"/>
          <w:u w:val="single" w:color="auto"/>
          <w:color w:val="auto"/>
        </w:rPr>
        <w:t>Intent</w:t>
      </w:r>
      <w:r>
        <w:rPr>
          <w:rFonts w:ascii="Times New Roman" w:cs="Times New Roman" w:eastAsia="Times New Roman" w:hAnsi="Times New Roman"/>
          <w:sz w:val="22"/>
          <w:szCs w:val="22"/>
          <w:color w:val="auto"/>
        </w:rPr>
        <w:t>. The Plan is intended to be an unfunded, non-qualified plan primarily for the purpose of providing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opportunity to officers and a select group of management and highly compensated employees of the Company and participating wholly-owned subsidiaries of the Company, as described under Sections 201(2), 301(a)(3), and 401(a)(l) of ERISA, to defer certain compensation. The Plan is not intended to be a plan described in Section 401(a) of the Code.</w:t>
      </w:r>
    </w:p>
    <w:p>
      <w:pPr>
        <w:spacing w:after="0" w:line="172"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Section 1.3. </w:t>
      </w: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 The original provisions of the Plan shall be effective as of January 1, 2002. If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is implementing Code Section 409A requirements, the effective date will be January 1, 2005. Otherwise the effective date of any other provision will be as specified in the plan, or if not specified, it will be the date for which the applicable changes to the Plan were approved by the Compensation Committee of the Goodyear Board of Directors and adopted by the Goodyear Board of Directors. The rights, if any, of any Participant (as hereinafter defined) in the Plan whose status as an employee of the Company or any Participating Employer (as hereinafter defined) terminates for any reason shall be determined pursuant to the Plan as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7" w:name="page138"/>
    <w:bookmarkEnd w:id="137"/>
    <w:p>
      <w:pPr>
        <w:jc w:val="both"/>
        <w:spacing w:after="0" w:line="258" w:lineRule="auto"/>
        <w:rPr>
          <w:sz w:val="20"/>
          <w:szCs w:val="20"/>
          <w:color w:val="auto"/>
        </w:rPr>
      </w:pPr>
      <w:r>
        <w:rPr>
          <w:rFonts w:ascii="Times New Roman" w:cs="Times New Roman" w:eastAsia="Times New Roman" w:hAnsi="Times New Roman"/>
          <w:sz w:val="22"/>
          <w:szCs w:val="22"/>
          <w:color w:val="auto"/>
        </w:rPr>
        <w:t>effect on the date such Participant ceases to be an employee of the Company or any Participating Employer, unless a subsequently adopted provision of the Plan states otherwise.</w:t>
      </w:r>
    </w:p>
    <w:p>
      <w:pPr>
        <w:spacing w:after="0" w:line="154" w:lineRule="exact"/>
        <w:rPr>
          <w:sz w:val="20"/>
          <w:szCs w:val="20"/>
          <w:color w:val="auto"/>
        </w:rPr>
      </w:pPr>
    </w:p>
    <w:p>
      <w:pPr>
        <w:jc w:val="both"/>
        <w:ind w:firstLine="864"/>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Section 1.4. </w:t>
      </w:r>
      <w:r>
        <w:rPr>
          <w:rFonts w:ascii="Times New Roman" w:cs="Times New Roman" w:eastAsia="Times New Roman" w:hAnsi="Times New Roman"/>
          <w:sz w:val="22"/>
          <w:szCs w:val="22"/>
          <w:b w:val="1"/>
          <w:bCs w:val="1"/>
          <w:u w:val="single" w:color="auto"/>
          <w:color w:val="auto"/>
        </w:rPr>
        <w:t>Contractual Obligation of Employer</w:t>
      </w:r>
      <w:r>
        <w:rPr>
          <w:rFonts w:ascii="Times New Roman" w:cs="Times New Roman" w:eastAsia="Times New Roman" w:hAnsi="Times New Roman"/>
          <w:sz w:val="22"/>
          <w:szCs w:val="22"/>
          <w:color w:val="auto"/>
        </w:rPr>
        <w:t>. The obligation of the Company and Participating Employers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make payments of Deferred Compensation (as hereinafter defined) in accordance with the Plan are contractual, general unsecured obligations and liabilities of the Company and, as applicable, Participating Employers to pay for services in accordance with the terms of the Plan. It is intended that payments of Deferred Compensation under the Plan shall be paid from one or more Trusts (as hereinafter defined) established for that purpose. If, and to the extent that, the assets of such Trusts are not sufficient to make all payments of Deferred Compensation required by the terms of the Plan, such shortfall shall be paid by the Company and, as applicable, the Participating Employers. All Deferred Performance Amounts (as hereinafter defined) and Deferred Salary Amounts (as hereinafter defined) will be recorded in Accounts (as hereinafter defined) and, ordinarily, amounts equivalent thereto will be transferred by the Company and, as applicable, the Participating Employers to their respective Trusts. Each Participant may elect, from alternatives available under the Plan, to have Deferred Performance Amounts and Deferred Salary Amounts, if any, adjusted by amounts equivalent to the amounts such Deferred Amounts, if any, would realize (as earnings, gains and losses, net of expenses and taxes) if invested (for the relevant period) in one or more of the mutual funds or other investment vehicles or reference rates designated from time to time as the Reference Investment Funds (as hereinafter defined) available under the Plan. No Participant or Beneficiary (as hereinafter defined) shall have any right, title or interest whatever in or to any investment reserves, accounts, trusts or other funds or assets that the Company or the Participating Employers may purchase, establish, or accumulate to aid in paying Deferred Compensation as and when due to the Participants under the Plan. Nothing contained in the Plan, and no action taken pursuant to its provisions, shall create or be construed to create a trust or a fiduciary relationship of any kind between the Company (or a Participating Employer) and a Participant, his or her Beneficiaries or any other person. Neither a Participant nor his or her Beneficiaries shall acquire any right or interest under the Plan other or greater than that of an unsecured creditor.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 AND USAGE</w:t>
      </w:r>
    </w:p>
    <w:p>
      <w:pPr>
        <w:spacing w:after="0" w:line="178" w:lineRule="exact"/>
        <w:rPr>
          <w:sz w:val="20"/>
          <w:szCs w:val="20"/>
          <w:color w:val="auto"/>
        </w:rPr>
      </w:pPr>
    </w:p>
    <w:p>
      <w:pPr>
        <w:jc w:val="both"/>
        <w:ind w:right="20" w:firstLine="864"/>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2.1. </w:t>
      </w: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Wherever used in the Plan, the following words and phrases shall have the meaning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unless the context plainly requires a different meaning:</w:t>
      </w:r>
    </w:p>
    <w:p>
      <w:pPr>
        <w:spacing w:after="0" w:line="154"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means the following “</w:t>
      </w: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to be maintained by the Committee for each Participant for recordkeeping, measurement and accounting purposes; provided, that any Plan assets will not be segregated among such “Accounts” and each Participant will have only an unsecured contractual claim against his or her Employer for the amount of his or her “Account” balances:</w:t>
      </w:r>
    </w:p>
    <w:p>
      <w:pPr>
        <w:spacing w:after="0" w:line="180" w:lineRule="exact"/>
        <w:rPr>
          <w:sz w:val="20"/>
          <w:szCs w:val="20"/>
          <w:color w:val="auto"/>
        </w:rPr>
      </w:pPr>
    </w:p>
    <w:p>
      <w:pPr>
        <w:ind w:left="880" w:firstLine="789"/>
        <w:spacing w:after="0" w:line="258" w:lineRule="auto"/>
        <w:tabs>
          <w:tab w:leader="none" w:pos="256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Plan Account</w:t>
      </w:r>
      <w:r>
        <w:rPr>
          <w:rFonts w:ascii="Times New Roman" w:cs="Times New Roman" w:eastAsia="Times New Roman" w:hAnsi="Times New Roman"/>
          <w:sz w:val="22"/>
          <w:szCs w:val="22"/>
          <w:color w:val="auto"/>
        </w:rPr>
        <w:t>. An Account to record the amount of a Participant’s Performance Compensation deferred pursuant to the provisions of Article IV</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8" w:name="page139"/>
    <w:bookmarkEnd w:id="138"/>
    <w:p>
      <w:pPr>
        <w:ind w:left="880"/>
        <w:spacing w:after="0" w:line="258" w:lineRule="auto"/>
        <w:rPr>
          <w:sz w:val="20"/>
          <w:szCs w:val="20"/>
          <w:color w:val="auto"/>
        </w:rPr>
      </w:pPr>
      <w:r>
        <w:rPr>
          <w:rFonts w:ascii="Times New Roman" w:cs="Times New Roman" w:eastAsia="Times New Roman" w:hAnsi="Times New Roman"/>
          <w:sz w:val="22"/>
          <w:szCs w:val="22"/>
          <w:color w:val="auto"/>
        </w:rPr>
        <w:t>of the Plan in respect of a Performance Grant Period, as from time to time adjusted to reflect any and all Equivalents attributable to such Deferred Performance Amount.</w:t>
      </w:r>
    </w:p>
    <w:p>
      <w:pPr>
        <w:spacing w:after="0" w:line="158" w:lineRule="exact"/>
        <w:rPr>
          <w:sz w:val="20"/>
          <w:szCs w:val="20"/>
          <w:color w:val="auto"/>
        </w:rPr>
      </w:pPr>
    </w:p>
    <w:p>
      <w:pPr>
        <w:jc w:val="both"/>
        <w:ind w:left="880" w:firstLine="789"/>
        <w:spacing w:after="0" w:line="244" w:lineRule="auto"/>
        <w:tabs>
          <w:tab w:leader="none" w:pos="2577"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Salary Account</w:t>
      </w:r>
      <w:r>
        <w:rPr>
          <w:rFonts w:ascii="Times New Roman" w:cs="Times New Roman" w:eastAsia="Times New Roman" w:hAnsi="Times New Roman"/>
          <w:sz w:val="22"/>
          <w:szCs w:val="22"/>
          <w:color w:val="auto"/>
        </w:rPr>
        <w:t>. An Account to record the aggregate amount of a Participant’s Salary deferred pursuant to the provisions of Article IV of the Plan in respect of a Plan Year, as from time to time adjusted to reflect any and all Equivalents attributable to such Deferred Salary Amount.</w:t>
      </w:r>
    </w:p>
    <w:p>
      <w:pPr>
        <w:spacing w:after="0" w:line="173"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Associate</w:t>
      </w:r>
      <w:r>
        <w:rPr>
          <w:rFonts w:ascii="Times New Roman" w:cs="Times New Roman" w:eastAsia="Times New Roman" w:hAnsi="Times New Roman"/>
          <w:sz w:val="22"/>
          <w:szCs w:val="22"/>
          <w:color w:val="auto"/>
        </w:rPr>
        <w:t>” shall have the respective meanings ascribed to such terms in Rule 12b-2 of the General Rules and Regulations under the Securities Exchange Act of 1934, as amended.</w:t>
      </w:r>
    </w:p>
    <w:p>
      <w:pPr>
        <w:spacing w:after="0" w:line="158"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Deferred Amount</w:t>
      </w:r>
      <w:r>
        <w:rPr>
          <w:rFonts w:ascii="Times New Roman" w:cs="Times New Roman" w:eastAsia="Times New Roman" w:hAnsi="Times New Roman"/>
          <w:sz w:val="22"/>
          <w:szCs w:val="22"/>
          <w:color w:val="auto"/>
        </w:rPr>
        <w:t>” means, with respect to any Participant, the sum of all Deferred Amounts with respect to such Participant during all Plan Years to the date (or Valuation Date) on or as of which any determination of the amount thereof is being or to be made.</w:t>
      </w:r>
    </w:p>
    <w:p>
      <w:pPr>
        <w:spacing w:after="0" w:line="173"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Notice and Agreement</w:t>
      </w:r>
      <w:r>
        <w:rPr>
          <w:rFonts w:ascii="Times New Roman" w:cs="Times New Roman" w:eastAsia="Times New Roman" w:hAnsi="Times New Roman"/>
          <w:sz w:val="21"/>
          <w:szCs w:val="21"/>
          <w:color w:val="auto"/>
        </w:rPr>
        <w:t>” means an instrument executed and delivered in accordance with Section 4.3 of the Plan, whereunder an Eligible Employee elects and agrees with his or her Employer to (i) participate in the Plan in respect of a Plan Year by deferring Performance Compensation or Deferrable Salary, as the case may be, in accordance with Article IV of the Plan (a Participant must enter into a separate Agreement in respect of the deferral of Performance Compensation and a separate Agreement in respect of the deferral of Salary each Plan Year in order to defer Performance Compensation and Salary),</w:t>
      </w:r>
    </w:p>
    <w:p>
      <w:pPr>
        <w:spacing w:after="0" w:line="1" w:lineRule="exact"/>
        <w:rPr>
          <w:sz w:val="20"/>
          <w:szCs w:val="20"/>
          <w:color w:val="auto"/>
        </w:rPr>
      </w:pPr>
    </w:p>
    <w:p>
      <w:pPr>
        <w:ind w:left="320" w:hanging="312"/>
        <w:spacing w:after="0"/>
        <w:tabs>
          <w:tab w:leader="none" w:pos="32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defer all or a specific portion by either an amount or percentage of such Performance Compensation or Deferrable Salary, and</w:t>
      </w:r>
    </w:p>
    <w:p>
      <w:pPr>
        <w:spacing w:after="0" w:line="1"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and be bound by all the terms and conditions of the Plan.</w:t>
      </w:r>
    </w:p>
    <w:p>
      <w:pPr>
        <w:spacing w:after="0" w:line="182"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Salary Rate</w:t>
      </w:r>
      <w:r>
        <w:rPr>
          <w:rFonts w:ascii="Times New Roman" w:cs="Times New Roman" w:eastAsia="Times New Roman" w:hAnsi="Times New Roman"/>
          <w:sz w:val="22"/>
          <w:szCs w:val="22"/>
          <w:color w:val="auto"/>
        </w:rPr>
        <w:t>” means, with respect to each Plan Year: (i) if the Salary Measurement Date is December 1 of the year preceding such Plan Year, the Salary payable to an Employee during or in respect of the month of December of the year preceding such Plan Year multiplied by twelve (12), or (ii) if the Salary Measurement Date is an Eligibility Date, the Salary payable to an Employee during or in respect of such person’s first full month of Employment multiplied by twelve.</w:t>
      </w:r>
    </w:p>
    <w:p>
      <w:pPr>
        <w:spacing w:after="0" w:line="18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means any person or entity (including a trust or the estate of a Participant) designated in a written instrument executed by a Participant and delivered to the Committee in accordance with the provisions of Section 10.1 of the Plan.</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Goodyear.</w:t>
      </w:r>
    </w:p>
    <w:p>
      <w:pPr>
        <w:spacing w:after="0" w:line="206"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Event</w:t>
      </w:r>
      <w:r>
        <w:rPr>
          <w:rFonts w:ascii="Times New Roman" w:cs="Times New Roman" w:eastAsia="Times New Roman" w:hAnsi="Times New Roman"/>
          <w:sz w:val="22"/>
          <w:szCs w:val="22"/>
          <w:color w:val="auto"/>
        </w:rPr>
        <w:t>” means (i) the first date that any one person, or more than one person acting as a group (as defined in Treasury Regulation Section 1.409A-3(i)(5)(v)(B), acquires ownership of stock of the Company that, together with stock held by such person or group, constitutes more than 50 percent of the total fair market value or total voting power of the stock of the Company; or (ii) the first date any one person or more than one person acting as a group (as determined under Treasury Regulation Section 1.409A-3(i)(5)(v)(B), acquires (or has acquired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9" w:name="page140"/>
    <w:bookmarkEnd w:id="139"/>
    <w:p>
      <w:pPr>
        <w:jc w:val="both"/>
        <w:spacing w:after="0" w:line="238" w:lineRule="auto"/>
        <w:rPr>
          <w:sz w:val="20"/>
          <w:szCs w:val="20"/>
          <w:color w:val="auto"/>
        </w:rPr>
      </w:pPr>
      <w:r>
        <w:rPr>
          <w:rFonts w:ascii="Times New Roman" w:cs="Times New Roman" w:eastAsia="Times New Roman" w:hAnsi="Times New Roman"/>
          <w:sz w:val="22"/>
          <w:szCs w:val="22"/>
          <w:color w:val="auto"/>
        </w:rPr>
        <w:t>during the 12-month period ending on the date of the most recent acquisition by such person or persons) ownership of stock of the Company possessing 30 percent or more of the total voting power of the stock of the Company; or (iii) the first date a majority of members of the Board is replaced during any 12-month period by directors whose appointment or election is not endorsed by a majority of the members of the Board before the date of the appointment or election. In any event, a change in Control Event only occurs to the extent it qualifies as a change of Control Event under Treasury Regulation Section 1.409A-3.</w:t>
      </w:r>
    </w:p>
    <w:p>
      <w:pPr>
        <w:spacing w:after="0" w:line="177"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 and regulations and rulings promulgated thereunder.</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Committee established under, and operating pursuant to the provisions of, Article XI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182" w:lineRule="exact"/>
        <w:rPr>
          <w:sz w:val="20"/>
          <w:szCs w:val="20"/>
          <w:color w:val="auto"/>
        </w:rPr>
      </w:pPr>
    </w:p>
    <w:p>
      <w:pPr>
        <w:jc w:val="both"/>
        <w:ind w:right="20" w:firstLine="86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The Goodyear Tire &amp; Rubber Company, its successors and any corporation into which it may be merged or consolidated.</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means the Compensation Committee of the Board.</w:t>
      </w:r>
    </w:p>
    <w:p>
      <w:pPr>
        <w:spacing w:after="0" w:line="20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Deferrable Salary</w:t>
      </w:r>
      <w:r>
        <w:rPr>
          <w:rFonts w:ascii="Times New Roman" w:cs="Times New Roman" w:eastAsia="Times New Roman" w:hAnsi="Times New Roman"/>
          <w:sz w:val="22"/>
          <w:szCs w:val="22"/>
          <w:color w:val="auto"/>
        </w:rPr>
        <w:t>” means, with respect to each Eligible Employee and with respect to each Plan Year, that portion of such Eligible Employee’s Salary that is net of all amounts required to be withheld for tax or any deductions pursuant to elections for such deductions made prior to the Participant’s election to defer under Section 4.4 for such Plan Year.</w:t>
      </w:r>
    </w:p>
    <w:p>
      <w:pPr>
        <w:spacing w:after="0" w:line="173" w:lineRule="exact"/>
        <w:rPr>
          <w:sz w:val="20"/>
          <w:szCs w:val="20"/>
          <w:color w:val="auto"/>
        </w:rPr>
      </w:pPr>
    </w:p>
    <w:p>
      <w:pPr>
        <w:jc w:val="both"/>
        <w:ind w:right="20" w:firstLine="86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Amount</w:t>
      </w:r>
      <w:r>
        <w:rPr>
          <w:rFonts w:ascii="Times New Roman" w:cs="Times New Roman" w:eastAsia="Times New Roman" w:hAnsi="Times New Roman"/>
          <w:sz w:val="22"/>
          <w:szCs w:val="22"/>
          <w:color w:val="auto"/>
        </w:rPr>
        <w:t>” means, with respect to any Participant and any Plan Year in which the Salary or Performance Compensation would otherwise be payable absent the deferral election, the sum of the Deferred Performance Amount and the Deferred Salary Amount of such Participant during such Plan Year.</w:t>
      </w:r>
    </w:p>
    <w:p>
      <w:pPr>
        <w:spacing w:after="0" w:line="17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Compensation</w:t>
      </w:r>
      <w:r>
        <w:rPr>
          <w:rFonts w:ascii="Times New Roman" w:cs="Times New Roman" w:eastAsia="Times New Roman" w:hAnsi="Times New Roman"/>
          <w:sz w:val="22"/>
          <w:szCs w:val="22"/>
          <w:color w:val="auto"/>
        </w:rPr>
        <w:t>” means, with respect to any Participant, the aggregate of all Deferred Performance Compensation and Deferred Salary of such Participant for all Plan Years to the date (or Valuation Date) on or as of which any determination of the amount thereof is being or to be made.</w:t>
      </w:r>
    </w:p>
    <w:p>
      <w:pPr>
        <w:spacing w:after="0" w:line="17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Performance Amount</w:t>
      </w:r>
      <w:r>
        <w:rPr>
          <w:rFonts w:ascii="Times New Roman" w:cs="Times New Roman" w:eastAsia="Times New Roman" w:hAnsi="Times New Roman"/>
          <w:sz w:val="22"/>
          <w:szCs w:val="22"/>
          <w:color w:val="auto"/>
        </w:rPr>
        <w:t>” means, with respect to any Participant and any Performance Plan Period, the amount of Performance Compensation deferred by such Participant for such Plan Year in which the Performance Compensation would otherwise be payable absent the deferral election pursuant to Article IV of the Plan.</w:t>
      </w:r>
    </w:p>
    <w:p>
      <w:pPr>
        <w:spacing w:after="0" w:line="173"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Performance Compensation</w:t>
      </w:r>
      <w:r>
        <w:rPr>
          <w:rFonts w:ascii="Times New Roman" w:cs="Times New Roman" w:eastAsia="Times New Roman" w:hAnsi="Times New Roman"/>
          <w:sz w:val="22"/>
          <w:szCs w:val="22"/>
          <w:color w:val="auto"/>
        </w:rPr>
        <w:t>” means, with respect to any Participant and any Plan Year, the sum of the Deferred Performance Amount in respect of such Plan Year and all Equivalents attributable to, and credited (or charged) to the Performance Plan Account in respect of, such Deferred Performance Amount to the date (or Valuation Date) on or as of which any determination of the amount thereof is being or to be made.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0" w:name="page141"/>
    <w:bookmarkEnd w:id="140"/>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Salary</w:t>
      </w:r>
      <w:r>
        <w:rPr>
          <w:rFonts w:ascii="Times New Roman" w:cs="Times New Roman" w:eastAsia="Times New Roman" w:hAnsi="Times New Roman"/>
          <w:sz w:val="22"/>
          <w:szCs w:val="22"/>
          <w:color w:val="auto"/>
        </w:rPr>
        <w:t>” means, with respect to any Participant and any Plan Year, the sum of the Deferred Salary Amount in respect of such Plan Year and all Equivalents attributable to, and credited (or charged) to the Annual Salary Account in respect of, such Deferred Salary Amount to the date (or Valuation Date) on or as of which any determination of the amount thereof is being or to be made.</w:t>
      </w:r>
    </w:p>
    <w:p>
      <w:pPr>
        <w:spacing w:after="0" w:line="180"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Salary Amount</w:t>
      </w:r>
      <w:r>
        <w:rPr>
          <w:rFonts w:ascii="Times New Roman" w:cs="Times New Roman" w:eastAsia="Times New Roman" w:hAnsi="Times New Roman"/>
          <w:sz w:val="22"/>
          <w:szCs w:val="22"/>
          <w:color w:val="auto"/>
        </w:rPr>
        <w:t>” means, with respect to any Participant and any Plan Year, the amount of Salary deferred by such Participant during such Plan Year pursuant to Article IV of the Plan.</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 or “Disabled</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jc w:val="both"/>
        <w:ind w:left="1700" w:hanging="842"/>
        <w:spacing w:after="0" w:line="234" w:lineRule="auto"/>
        <w:tabs>
          <w:tab w:leader="none" w:pos="17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only applies as a Pre-2005 Provision to Pre-2005 Benefits) a physical or mental condition of a Participant resulting from a bodily injury, disease, or mental disorder which renders the Participant incapable of continuing in the Employment of any Employer or other Affiliate of the Company and results in such Participant receiving or being entitled to receive benefits under the Company’s Long Term Disability Income Plan or the Retirement Plan (or, if such Participant is then an Employee of a Participating Employer, under similar plans, if any, of such Participating Employer).</w:t>
      </w:r>
    </w:p>
    <w:p>
      <w:pPr>
        <w:spacing w:after="0" w:line="2" w:lineRule="exact"/>
        <w:rPr>
          <w:rFonts w:ascii="Times New Roman" w:cs="Times New Roman" w:eastAsia="Times New Roman" w:hAnsi="Times New Roman"/>
          <w:sz w:val="22"/>
          <w:szCs w:val="22"/>
          <w:color w:val="auto"/>
        </w:rPr>
      </w:pPr>
    </w:p>
    <w:p>
      <w:pPr>
        <w:jc w:val="both"/>
        <w:ind w:left="1700" w:hanging="842"/>
        <w:spacing w:after="0" w:line="234" w:lineRule="auto"/>
        <w:tabs>
          <w:tab w:leader="none" w:pos="17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only applies as a Post-2004 Provision to Post-2004 Benefits) a Participant is disabled if the Participant receives at least 12 months of the Company’s Long-Term Disability Benefits for Salaried Employees provided that the definition of disability under such plan remains in compliance with Treasury Regulation Section 1.409A-3(i)(4).</w:t>
      </w:r>
    </w:p>
    <w:p>
      <w:pPr>
        <w:spacing w:after="0" w:line="177" w:lineRule="exact"/>
        <w:rPr>
          <w:sz w:val="20"/>
          <w:szCs w:val="20"/>
          <w:color w:val="auto"/>
        </w:rPr>
      </w:pPr>
    </w:p>
    <w:p>
      <w:pPr>
        <w:ind w:right="20" w:firstLine="86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Eligibility Date</w:t>
      </w:r>
      <w:r>
        <w:rPr>
          <w:rFonts w:ascii="Times New Roman" w:cs="Times New Roman" w:eastAsia="Times New Roman" w:hAnsi="Times New Roman"/>
          <w:sz w:val="22"/>
          <w:szCs w:val="22"/>
          <w:color w:val="auto"/>
        </w:rPr>
        <w:t>” means the first date on which an Employee is designated as first eligible to participate in the Plan or any other nonqualified deferred compensation plan that is aggregated with this Plan under Section 409A of the Code.</w:t>
      </w:r>
    </w:p>
    <w:p>
      <w:pPr>
        <w:spacing w:after="0" w:line="158" w:lineRule="exact"/>
        <w:rPr>
          <w:sz w:val="20"/>
          <w:szCs w:val="20"/>
          <w:color w:val="auto"/>
        </w:rPr>
      </w:pPr>
    </w:p>
    <w:p>
      <w:pPr>
        <w:ind w:right="140" w:firstLine="86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Employee</w:t>
      </w:r>
      <w:r>
        <w:rPr>
          <w:rFonts w:ascii="Times New Roman" w:cs="Times New Roman" w:eastAsia="Times New Roman" w:hAnsi="Times New Roman"/>
          <w:sz w:val="22"/>
          <w:szCs w:val="22"/>
          <w:color w:val="auto"/>
        </w:rPr>
        <w:t>” means any Employee of an Employer who, at the time the determination thereof is being or to be made, either meets the requirements of (A) or is designated pursuant to (B):</w:t>
      </w:r>
    </w:p>
    <w:p>
      <w:pPr>
        <w:spacing w:after="0" w:line="158" w:lineRule="exact"/>
        <w:rPr>
          <w:sz w:val="20"/>
          <w:szCs w:val="20"/>
          <w:color w:val="auto"/>
        </w:rPr>
      </w:pPr>
    </w:p>
    <w:p>
      <w:pPr>
        <w:ind w:left="1700" w:hanging="842"/>
        <w:spacing w:after="0"/>
        <w:tabs>
          <w:tab w:leader="none" w:pos="17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is</w:t>
      </w:r>
    </w:p>
    <w:p>
      <w:pPr>
        <w:spacing w:after="0" w:line="14" w:lineRule="exact"/>
        <w:rPr>
          <w:rFonts w:ascii="Times New Roman" w:cs="Times New Roman" w:eastAsia="Times New Roman" w:hAnsi="Times New Roman"/>
          <w:sz w:val="22"/>
          <w:szCs w:val="22"/>
          <w:color w:val="auto"/>
        </w:rPr>
      </w:pPr>
    </w:p>
    <w:p>
      <w:pPr>
        <w:ind w:left="2580" w:hanging="858"/>
        <w:spacing w:after="0" w:line="230" w:lineRule="auto"/>
        <w:tabs>
          <w:tab w:leader="none" w:pos="258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w:t>
      </w:r>
    </w:p>
    <w:p>
      <w:pPr>
        <w:ind w:left="3500" w:hanging="900"/>
        <w:spacing w:after="0" w:line="230" w:lineRule="auto"/>
        <w:tabs>
          <w:tab w:leader="none" w:pos="3500"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employed within the United States of America, or</w:t>
      </w:r>
    </w:p>
    <w:p>
      <w:pPr>
        <w:jc w:val="both"/>
        <w:ind w:left="2600" w:right="240"/>
        <w:spacing w:after="0" w:line="230" w:lineRule="auto"/>
        <w:tabs>
          <w:tab w:leader="none" w:pos="3500"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employed as an expatriate outside the United States and the Company can validate that participation by such Employee is not illegal under foreign law applicable to such Employee and will have no adverse tax implications to the Company,</w:t>
      </w:r>
    </w:p>
    <w:p>
      <w:pPr>
        <w:spacing w:after="0" w:line="1" w:lineRule="exact"/>
        <w:rPr>
          <w:rFonts w:ascii="Times New Roman" w:cs="Times New Roman" w:eastAsia="Times New Roman" w:hAnsi="Times New Roman"/>
          <w:sz w:val="22"/>
          <w:szCs w:val="22"/>
          <w:color w:val="auto"/>
        </w:rPr>
      </w:pPr>
    </w:p>
    <w:p>
      <w:pPr>
        <w:ind w:left="2580" w:hanging="858"/>
        <w:spacing w:after="0" w:line="230" w:lineRule="auto"/>
        <w:tabs>
          <w:tab w:leader="none" w:pos="258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citizen or resident (green card holder) of the United States of America, and</w:t>
      </w:r>
    </w:p>
    <w:p>
      <w:pPr>
        <w:ind w:left="2580" w:hanging="858"/>
        <w:spacing w:after="0"/>
        <w:tabs>
          <w:tab w:leader="none" w:pos="258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either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1" w:name="page142"/>
    <w:bookmarkEnd w:id="141"/>
    <w:p>
      <w:pPr>
        <w:ind w:left="3500" w:hanging="900"/>
        <w:spacing w:after="0"/>
        <w:tabs>
          <w:tab w:leader="none" w:pos="350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in a Performance Plan for the then current Plan Year, or</w:t>
      </w:r>
    </w:p>
    <w:p>
      <w:pPr>
        <w:spacing w:after="0" w:line="14" w:lineRule="exact"/>
        <w:rPr>
          <w:rFonts w:ascii="Times New Roman" w:cs="Times New Roman" w:eastAsia="Times New Roman" w:hAnsi="Times New Roman"/>
          <w:sz w:val="22"/>
          <w:szCs w:val="22"/>
          <w:color w:val="auto"/>
        </w:rPr>
      </w:pPr>
    </w:p>
    <w:p>
      <w:pPr>
        <w:ind w:left="2600" w:right="220"/>
        <w:spacing w:after="0" w:line="230" w:lineRule="auto"/>
        <w:tabs>
          <w:tab w:leader="none" w:pos="3488"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an Annual Salary Rate of at least the amount provided by Section 401(a)(17) of the Code for the Plan Year, or</w:t>
      </w:r>
    </w:p>
    <w:p>
      <w:pPr>
        <w:spacing w:after="0" w:line="1" w:lineRule="exact"/>
        <w:rPr>
          <w:rFonts w:ascii="Times New Roman" w:cs="Times New Roman" w:eastAsia="Times New Roman" w:hAnsi="Times New Roman"/>
          <w:sz w:val="22"/>
          <w:szCs w:val="22"/>
          <w:color w:val="auto"/>
        </w:rPr>
      </w:pPr>
    </w:p>
    <w:p>
      <w:pPr>
        <w:ind w:left="1700" w:hanging="842"/>
        <w:spacing w:after="0"/>
        <w:tabs>
          <w:tab w:leader="none" w:pos="17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designated by Chief Executive Officer as being eligible to participate in the Plan for the Plan Year.”</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any person who is a full-time salaried employee of an Employer.</w:t>
      </w:r>
    </w:p>
    <w:p>
      <w:pPr>
        <w:spacing w:after="0" w:line="206"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means and includes, as of the time at which a determination thereof is being or to be made, the Company or any Participating Employer, or their respective successors and assigns that adopt the Plan.</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means the fact that and the period during which an Employee is regularly employed by an Employer.</w:t>
      </w:r>
    </w:p>
    <w:p>
      <w:pPr>
        <w:spacing w:after="0" w:line="206" w:lineRule="exact"/>
        <w:rPr>
          <w:sz w:val="20"/>
          <w:szCs w:val="20"/>
          <w:color w:val="auto"/>
        </w:rPr>
      </w:pPr>
    </w:p>
    <w:p>
      <w:pPr>
        <w:jc w:val="both"/>
        <w:ind w:right="20" w:firstLine="86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 and regulations and rulings promulgated thereunder.</w:t>
      </w:r>
    </w:p>
    <w:p>
      <w:pPr>
        <w:spacing w:after="0" w:line="158"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Equivalent</w:t>
      </w:r>
      <w:r>
        <w:rPr>
          <w:rFonts w:ascii="Times New Roman" w:cs="Times New Roman" w:eastAsia="Times New Roman" w:hAnsi="Times New Roman"/>
          <w:sz w:val="22"/>
          <w:szCs w:val="22"/>
          <w:color w:val="auto"/>
        </w:rPr>
        <w:t>” means, as at any time as of which any determination thereof is being or to be made, the net amount (of the earnings, gains, losses, expenses and taxes in respect of applicable Reference Investment Funds) attributed to any Deferred Performance Amount, or Deferred Salary Amount, and credited (or charged) to the related Account, in accordance with the provisions of Article VI of the Plan.</w:t>
      </w:r>
    </w:p>
    <w:p>
      <w:pPr>
        <w:spacing w:after="0" w:line="180"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Performance Compensation</w:t>
      </w:r>
      <w:r>
        <w:rPr>
          <w:rFonts w:ascii="Times New Roman" w:cs="Times New Roman" w:eastAsia="Times New Roman" w:hAnsi="Times New Roman"/>
          <w:sz w:val="22"/>
          <w:szCs w:val="22"/>
          <w:color w:val="auto"/>
        </w:rPr>
        <w:t>” means the amount of Performance Compensation after withholding for taxes and other deductions that would apply to Deferred Compensation.</w:t>
      </w:r>
    </w:p>
    <w:p>
      <w:pPr>
        <w:spacing w:after="0" w:line="158"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any, and includes each, (i) Eligible Employee participating or a former Eligible Employee who continues to have deferrals because of participation in the Plan in accordance with Articles III and IV of the Plan.</w:t>
      </w:r>
    </w:p>
    <w:p>
      <w:pPr>
        <w:spacing w:after="0" w:line="158"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Participating Employer</w:t>
      </w:r>
      <w:r>
        <w:rPr>
          <w:rFonts w:ascii="Times New Roman" w:cs="Times New Roman" w:eastAsia="Times New Roman" w:hAnsi="Times New Roman"/>
          <w:sz w:val="22"/>
          <w:szCs w:val="22"/>
          <w:color w:val="auto"/>
        </w:rPr>
        <w:t>” means each Subsidiary of the Company which is organized and existing under the laws of the United States of America or any state thereof that adopts the Plan by action of its board of directors and enters into a Trust Agreement.</w:t>
      </w:r>
    </w:p>
    <w:p>
      <w:pPr>
        <w:spacing w:after="0" w:line="173"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Compensation</w:t>
      </w:r>
      <w:r>
        <w:rPr>
          <w:rFonts w:ascii="Times New Roman" w:cs="Times New Roman" w:eastAsia="Times New Roman" w:hAnsi="Times New Roman"/>
          <w:sz w:val="22"/>
          <w:szCs w:val="22"/>
          <w:color w:val="auto"/>
        </w:rPr>
        <w:t>” means any amount earned by and payable to an Eligible Employee under all Performance Plans during any Plan Year thereof.</w:t>
      </w:r>
    </w:p>
    <w:p>
      <w:pPr>
        <w:spacing w:after="0" w:line="158"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Grant</w:t>
      </w:r>
      <w:r>
        <w:rPr>
          <w:rFonts w:ascii="Times New Roman" w:cs="Times New Roman" w:eastAsia="Times New Roman" w:hAnsi="Times New Roman"/>
          <w:sz w:val="22"/>
          <w:szCs w:val="22"/>
          <w:color w:val="auto"/>
        </w:rPr>
        <w:t>” means an award (not including any award of stock options or stock appreciation rights) made pursuant to the 2013 Performance Plan (or successor plan thereof) that (i) is denominated in units (and not in actual shares of stock), (ii) is payable solely in cash, and (iii) will be earned, if at all, based upon the achievement of specified performance goals for one or more Plan Years during a specified Performance Grant Period.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42" w:name="page143"/>
    <w:bookmarkEnd w:id="142"/>
    <w:p>
      <w:pPr>
        <w:jc w:val="both"/>
        <w:ind w:firstLine="864"/>
        <w:spacing w:after="0" w:line="244" w:lineRule="auto"/>
        <w:rPr>
          <w:sz w:val="20"/>
          <w:szCs w:val="20"/>
          <w:color w:val="auto"/>
        </w:rPr>
      </w:pPr>
      <w:r>
        <w:rPr>
          <w:rFonts w:ascii="Times New Roman" w:cs="Times New Roman" w:eastAsia="Times New Roman" w:hAnsi="Times New Roman"/>
          <w:sz w:val="22"/>
          <w:szCs w:val="22"/>
          <w:u w:val="single" w:color="auto"/>
          <w:color w:val="auto"/>
        </w:rPr>
        <w:t>“Performance Grant Period</w:t>
      </w:r>
      <w:r>
        <w:rPr>
          <w:rFonts w:ascii="Times New Roman" w:cs="Times New Roman" w:eastAsia="Times New Roman" w:hAnsi="Times New Roman"/>
          <w:sz w:val="22"/>
          <w:szCs w:val="22"/>
          <w:color w:val="auto"/>
        </w:rPr>
        <w:t>” means the total period with respect to which a Performance Grant is awarded and if earned is not payable until after such period is completed, including any period of continued service required after the achievement of applicable performance goals for any Plan Year within the Performance Grant Period.</w:t>
      </w:r>
    </w:p>
    <w:p>
      <w:pPr>
        <w:spacing w:after="0" w:line="173"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Plan</w:t>
      </w:r>
      <w:r>
        <w:rPr>
          <w:rFonts w:ascii="Times New Roman" w:cs="Times New Roman" w:eastAsia="Times New Roman" w:hAnsi="Times New Roman"/>
          <w:sz w:val="22"/>
          <w:szCs w:val="22"/>
          <w:color w:val="auto"/>
        </w:rPr>
        <w:t>” means any or all of the following: (i) the Goodyear Performance Recognition Plan, (ii) the Management Incentive Plan for any Performance Plan Year, or (iii) a Performance Grant, (payouts, if any, in respect of which would be made in the year following the applicable Performance Plan Period), as approved by the Compensation Committee, or any plan designated by the Compensation Committee as the successor to any such plan.</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Plan Period</w:t>
      </w:r>
      <w:r>
        <w:rPr>
          <w:rFonts w:ascii="Times New Roman" w:cs="Times New Roman" w:eastAsia="Times New Roman" w:hAnsi="Times New Roman"/>
          <w:sz w:val="22"/>
          <w:szCs w:val="22"/>
          <w:color w:val="auto"/>
        </w:rPr>
        <w:t>” means either the Performance Plan Year or the Performance Grant Period.</w:t>
      </w:r>
    </w:p>
    <w:p>
      <w:pPr>
        <w:spacing w:after="0" w:line="20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Plan Year</w:t>
      </w:r>
      <w:r>
        <w:rPr>
          <w:rFonts w:ascii="Times New Roman" w:cs="Times New Roman" w:eastAsia="Times New Roman" w:hAnsi="Times New Roman"/>
          <w:sz w:val="22"/>
          <w:szCs w:val="22"/>
          <w:color w:val="auto"/>
        </w:rPr>
        <w:t>” means the period commencing January 1 and ending on December 31 in respect of which there is a Performance Plan in effect that has a one year performance period, where the payout, if any, thereunder will be made no later than March 15</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of the following year.</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Year</w:t>
      </w:r>
      <w:r>
        <w:rPr>
          <w:rFonts w:ascii="Times New Roman" w:cs="Times New Roman" w:eastAsia="Times New Roman" w:hAnsi="Times New Roman"/>
          <w:sz w:val="22"/>
          <w:szCs w:val="22"/>
          <w:color w:val="auto"/>
        </w:rPr>
        <w:t>” means each period of one year beginning January 1 and ending December 31.</w:t>
      </w:r>
    </w:p>
    <w:p>
      <w:pPr>
        <w:spacing w:after="0" w:line="206"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Recordkeeper</w:t>
      </w:r>
      <w:r>
        <w:rPr>
          <w:rFonts w:ascii="Times New Roman" w:cs="Times New Roman" w:eastAsia="Times New Roman" w:hAnsi="Times New Roman"/>
          <w:sz w:val="22"/>
          <w:szCs w:val="22"/>
          <w:color w:val="auto"/>
        </w:rPr>
        <w:t>” means that person or entity selected from time to time by the Committee to establish and maintain Accounts and other records and to perform related services in respect of the Plan and the Trusts.</w:t>
      </w:r>
    </w:p>
    <w:p>
      <w:pPr>
        <w:spacing w:after="0" w:line="158"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Investment Funds</w:t>
      </w:r>
      <w:r>
        <w:rPr>
          <w:rFonts w:ascii="Times New Roman" w:cs="Times New Roman" w:eastAsia="Times New Roman" w:hAnsi="Times New Roman"/>
          <w:sz w:val="22"/>
          <w:szCs w:val="22"/>
          <w:color w:val="auto"/>
        </w:rPr>
        <w:t>” means those mutual funds, bank common trust funds, insurance contracts and other investment vehicles and reference rates which, in accordance with the provisions of Article VII of the Plan, are used as the reference for the determination and measurement of Equivalents to be attributed to the Deferred Amounts of Participants, as from time to time selected by the Compensation Committee pursuant to the provisions of Article VII of the Plan and identified at Annex I to the Plan.</w:t>
      </w:r>
    </w:p>
    <w:p>
      <w:pPr>
        <w:spacing w:after="0" w:line="177" w:lineRule="exact"/>
        <w:rPr>
          <w:sz w:val="20"/>
          <w:szCs w:val="20"/>
          <w:color w:val="auto"/>
        </w:rPr>
      </w:pPr>
    </w:p>
    <w:p>
      <w:pPr>
        <w:jc w:val="both"/>
        <w:ind w:right="20" w:firstLine="864"/>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(i) for pre-2005 Benefits with respect to any Participant, the termination of employment with the Company (or other Participating Employer) after either 30 years of service or 10 years of service and the attainment of age 55.</w:t>
      </w:r>
    </w:p>
    <w:p>
      <w:pPr>
        <w:spacing w:after="0" w:line="135" w:lineRule="exact"/>
        <w:rPr>
          <w:sz w:val="20"/>
          <w:szCs w:val="20"/>
          <w:color w:val="auto"/>
        </w:rPr>
      </w:pPr>
    </w:p>
    <w:p>
      <w:pPr>
        <w:jc w:val="both"/>
        <w:ind w:firstLine="872"/>
        <w:spacing w:after="0" w:line="236" w:lineRule="auto"/>
        <w:tabs>
          <w:tab w:leader="none" w:pos="122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Post-2004 Benefits with respect to any Participant, a separation from service with the Company (or other Participating Employer) after 10 years of service and attainment of age 55. For purposes of establishing whether an employee has had a separation from service, the employee will be deemed to have a separation from service on the date of retirement, if the employee after the date of retirement is not reasonably anticipated to provide a level of bona fide services that exceeds 25% of the average level of bona fide services provided by the employee in the immediately preceding 36 months (or the total period of employment, if less than 36 months), within the meaning of Section 409A of tax code.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3" w:name="page144"/>
    <w:bookmarkEnd w:id="143"/>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 Plan</w:t>
      </w:r>
      <w:r>
        <w:rPr>
          <w:rFonts w:ascii="Times New Roman" w:cs="Times New Roman" w:eastAsia="Times New Roman" w:hAnsi="Times New Roman"/>
          <w:sz w:val="22"/>
          <w:szCs w:val="22"/>
          <w:color w:val="auto"/>
        </w:rPr>
        <w:t>” means a defined benefit pension plan of the Company or an Affiliate qualified under Section 401(a) of the Code, as amended and in effect from time to time.</w:t>
      </w:r>
    </w:p>
    <w:p>
      <w:pPr>
        <w:spacing w:after="0" w:line="158"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means the amount of base salary (as determined before any contributions to the Savings Plan (or any similar plan of any Participating Employer) and before any withholding for taxes, payroll taxes or charges and deductions for benefits provided by the Company or any other Employer) paid or payable to an Employee during the period in respect of which a determination with respect to such base salary is being or to be made.</w:t>
      </w:r>
    </w:p>
    <w:p>
      <w:pPr>
        <w:spacing w:after="0" w:line="18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Salary Measurement Date</w:t>
      </w:r>
      <w:r>
        <w:rPr>
          <w:rFonts w:ascii="Times New Roman" w:cs="Times New Roman" w:eastAsia="Times New Roman" w:hAnsi="Times New Roman"/>
          <w:sz w:val="22"/>
          <w:szCs w:val="22"/>
          <w:color w:val="auto"/>
        </w:rPr>
        <w:t>” shall mean, with respect to each Plan Year: (i) with respect to each person who is an Employee on the first day of such Plan Year, December 1 of the year preceding such Plan Year; and (ii) in respect of each person who becomes an Employee during such Plan Year, the Eligibility Date of such Employee.</w:t>
      </w:r>
    </w:p>
    <w:p>
      <w:pPr>
        <w:spacing w:after="0" w:line="173"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Savings Plan</w:t>
      </w:r>
      <w:r>
        <w:rPr>
          <w:rFonts w:ascii="Times New Roman" w:cs="Times New Roman" w:eastAsia="Times New Roman" w:hAnsi="Times New Roman"/>
          <w:sz w:val="22"/>
          <w:szCs w:val="22"/>
          <w:color w:val="auto"/>
        </w:rPr>
        <w:t>” means any plan of the Company or an Affiliate that meets the requirements of Section 401(k) of the Code, as amended and in effect from time to time.</w:t>
      </w:r>
    </w:p>
    <w:p>
      <w:pPr>
        <w:spacing w:after="0" w:line="158"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color w:val="auto"/>
        </w:rPr>
        <w:t>" (term only applies to Post-2004 Provisions) means an employee who is a specified employee in accordance with Section 409A of the Code. The specified employee identification date for the Plan is December 31 of each year. The specified employee effective date for the Plan is each following January 1.</w:t>
      </w:r>
    </w:p>
    <w:p>
      <w:pPr>
        <w:spacing w:after="0" w:line="17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corporation, joint venture or other entity of which (or in which) more than 50% of the outstanding capital stock, or interest in the profits, is owned by the Company and one or more other Subsidiaries, or by one or more other Subsidiaries.</w:t>
      </w:r>
    </w:p>
    <w:p>
      <w:pPr>
        <w:spacing w:after="0" w:line="173"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Trust Fund</w:t>
      </w:r>
      <w:r>
        <w:rPr>
          <w:rFonts w:ascii="Times New Roman" w:cs="Times New Roman" w:eastAsia="Times New Roman" w:hAnsi="Times New Roman"/>
          <w:sz w:val="22"/>
          <w:szCs w:val="22"/>
          <w:color w:val="auto"/>
        </w:rPr>
        <w:t>” means each of (i) the “Rabbi Trust” to be established under a Trust Agreement to be entered into by the Company to receive and invest amounts transferred to it by the Company for future payment as Deferred Compensation under the Plan, which trust’s assets will be subject to the claims of general creditors of the Company, and (ii) each “Rabbi Trust” established under a Trust Agreement entered into by a Participating Employer to receive and invest amounts transferred to such “Rabbi Trust” by such Participating Employer for future payment as Deferred Compensation under the Plan, which trust’s assets will be subject to the claims of general creditors of the Participating Employer establishing such “Rabbi Trust”; and “</w:t>
      </w:r>
      <w:r>
        <w:rPr>
          <w:rFonts w:ascii="Times New Roman" w:cs="Times New Roman" w:eastAsia="Times New Roman" w:hAnsi="Times New Roman"/>
          <w:sz w:val="22"/>
          <w:szCs w:val="22"/>
          <w:u w:val="single" w:color="auto"/>
          <w:color w:val="auto"/>
        </w:rPr>
        <w:t>Trusts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Trust Funds</w:t>
      </w:r>
      <w:r>
        <w:rPr>
          <w:rFonts w:ascii="Times New Roman" w:cs="Times New Roman" w:eastAsia="Times New Roman" w:hAnsi="Times New Roman"/>
          <w:sz w:val="22"/>
          <w:szCs w:val="22"/>
          <w:color w:val="auto"/>
        </w:rPr>
        <w:t>” means all such Trusts and Trust Funds.</w:t>
      </w:r>
    </w:p>
    <w:p>
      <w:pPr>
        <w:spacing w:after="0" w:line="18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Agreement</w:t>
      </w:r>
      <w:r>
        <w:rPr>
          <w:rFonts w:ascii="Times New Roman" w:cs="Times New Roman" w:eastAsia="Times New Roman" w:hAnsi="Times New Roman"/>
          <w:sz w:val="22"/>
          <w:szCs w:val="22"/>
          <w:color w:val="auto"/>
        </w:rPr>
        <w:t>” means each of (i) a Rabbi Trust Agreement between the Company and the Trustee to provide for the Trust to be established by the Company, and (ii) a similar agreement between a Participating Employer and such Trustee; and “</w:t>
      </w:r>
      <w:r>
        <w:rPr>
          <w:rFonts w:ascii="Times New Roman" w:cs="Times New Roman" w:eastAsia="Times New Roman" w:hAnsi="Times New Roman"/>
          <w:sz w:val="22"/>
          <w:szCs w:val="22"/>
          <w:u w:val="single" w:color="auto"/>
          <w:color w:val="auto"/>
        </w:rPr>
        <w:t>Trust Agreements</w:t>
      </w:r>
      <w:r>
        <w:rPr>
          <w:rFonts w:ascii="Times New Roman" w:cs="Times New Roman" w:eastAsia="Times New Roman" w:hAnsi="Times New Roman"/>
          <w:sz w:val="22"/>
          <w:szCs w:val="22"/>
          <w:color w:val="auto"/>
        </w:rPr>
        <w:t>” means all such Trust Agreements.</w:t>
      </w:r>
    </w:p>
    <w:p>
      <w:pPr>
        <w:spacing w:after="0" w:line="173"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means the individual(s), corporation(s) or other entity(ies) appointed by the Company and each of the Participating Employers, pursuant to the Trust Agreements, to hold and manage the Trust Funds as “Rabbi Trusts”.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4" w:name="page145"/>
    <w:bookmarkEnd w:id="144"/>
    <w:p>
      <w:pPr>
        <w:jc w:val="both"/>
        <w:ind w:right="20" w:firstLine="86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Valuation Date</w:t>
      </w:r>
      <w:r>
        <w:rPr>
          <w:rFonts w:ascii="Times New Roman" w:cs="Times New Roman" w:eastAsia="Times New Roman" w:hAnsi="Times New Roman"/>
          <w:sz w:val="22"/>
          <w:szCs w:val="22"/>
          <w:color w:val="auto"/>
        </w:rPr>
        <w:t>” means the close of each business day during each Plan Year, of which the Trustee will determine the fair market value of the Trust Fund and the Recordkeeper will determine the amount (balance) of each Account.</w:t>
      </w:r>
    </w:p>
    <w:p>
      <w:pPr>
        <w:spacing w:after="0" w:line="154"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2.2. </w:t>
      </w:r>
      <w:r>
        <w:rPr>
          <w:rFonts w:ascii="Times New Roman" w:cs="Times New Roman" w:eastAsia="Times New Roman" w:hAnsi="Times New Roman"/>
          <w:sz w:val="22"/>
          <w:szCs w:val="22"/>
          <w:b w:val="1"/>
          <w:bCs w:val="1"/>
          <w:u w:val="single" w:color="auto"/>
          <w:color w:val="auto"/>
        </w:rPr>
        <w:t>Usage</w:t>
      </w:r>
      <w:r>
        <w:rPr>
          <w:rFonts w:ascii="Times New Roman" w:cs="Times New Roman" w:eastAsia="Times New Roman" w:hAnsi="Times New Roman"/>
          <w:sz w:val="22"/>
          <w:szCs w:val="22"/>
          <w:color w:val="auto"/>
        </w:rPr>
        <w:t>. Except where otherwise indicated by the context, any masculine terminology used herein shall also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 the feminine and vice versa, and the definition of any term herein in the singular shall also include the plural and vice versa.</w:t>
      </w:r>
    </w:p>
    <w:p>
      <w:pPr>
        <w:spacing w:after="0" w:line="38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u w:val="single" w:color="auto"/>
          <w:color w:val="auto"/>
        </w:rPr>
        <w:t>ELIGIBILITY</w:t>
      </w:r>
    </w:p>
    <w:p>
      <w:pPr>
        <w:spacing w:after="0" w:line="178"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b w:val="1"/>
          <w:bCs w:val="1"/>
          <w:color w:val="auto"/>
        </w:rPr>
        <w:t>Section 3.1. Eligibility to Defer Performance Compensation</w:t>
      </w:r>
      <w:r>
        <w:rPr>
          <w:rFonts w:ascii="Times New Roman" w:cs="Times New Roman" w:eastAsia="Times New Roman" w:hAnsi="Times New Roman"/>
          <w:sz w:val="22"/>
          <w:szCs w:val="22"/>
          <w:color w:val="auto"/>
        </w:rPr>
        <w:t>. Any Eligible Employee who participates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Plan during a Plan Year may elect to defer all or certain portions of his or her Performance Compensation in respect of each Performance Plan Period commencing on (a) January 1 of any year in the amount, for the deferral period and in the manner provided in the Plan, if such Employee was an Eligible Employee at January 1 of such Performance Plan Year or if the Performance Plan Period is more than one year, January 1 of the first year of the Performance Plan Period, or (b) commencing on the date the election becomes irrevocable if the Eligibility Date of such Employee occurs during the period January 2 through August 31, inclusive, of such Performance Plan Year or if the Performance Plan Period is more than one year, the first year of the Performance Plan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-1109345</wp:posOffset>
            </wp:positionV>
            <wp:extent cx="30740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0">
                      <a:extLst>
                        <a:ext uri="{28A0092B-C50C-407E-A947-70E740481C1C}"/>
                      </a:extLst>
                    </a:blip>
                    <a:srcRect/>
                    <a:stretch>
                      <a:fillRect/>
                    </a:stretch>
                  </pic:blipFill>
                  <pic:spPr bwMode="auto">
                    <a:xfrm>
                      <a:off x="0" y="0"/>
                      <a:ext cx="3074035" cy="8890"/>
                    </a:xfrm>
                    <a:prstGeom prst="rect">
                      <a:avLst/>
                    </a:prstGeom>
                    <a:noFill/>
                  </pic:spPr>
                </pic:pic>
              </a:graphicData>
            </a:graphic>
          </wp:anchor>
        </w:drawing>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following only applies as an additional Post-2004 Provision of Section 3.1 applying to Post-2004 Benefits)</w:t>
      </w:r>
    </w:p>
    <w:p>
      <w:pPr>
        <w:spacing w:after="0" w:line="206"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The Performance Compensation subject to deferral by any Employee eligible under Section 3.1(b) shall be limited to the amount of Performance Compensation that is equal to the Performance Compensation earned by such Employee during the Performance Plan Period multiplied by a percentage determined where the numerator is the number of days remaining in the Performance Plan Period after the election becomes irrevocable and the denominator is the total number of days in the period commencing with the Eligibility Date and ending on the last day in the Performance Plan Period.</w:t>
      </w:r>
    </w:p>
    <w:p>
      <w:pPr>
        <w:spacing w:after="0" w:line="173"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3.2. </w:t>
      </w:r>
      <w:r>
        <w:rPr>
          <w:rFonts w:ascii="Times New Roman" w:cs="Times New Roman" w:eastAsia="Times New Roman" w:hAnsi="Times New Roman"/>
          <w:sz w:val="22"/>
          <w:szCs w:val="22"/>
          <w:b w:val="1"/>
          <w:bCs w:val="1"/>
          <w:u w:val="single" w:color="auto"/>
          <w:color w:val="auto"/>
        </w:rPr>
        <w:t>Eligibility to Defer Salary</w:t>
      </w:r>
      <w:r>
        <w:rPr>
          <w:rFonts w:ascii="Times New Roman" w:cs="Times New Roman" w:eastAsia="Times New Roman" w:hAnsi="Times New Roman"/>
          <w:sz w:val="22"/>
          <w:szCs w:val="22"/>
          <w:color w:val="auto"/>
        </w:rPr>
        <w:t>. Any Eligible Employee who has at least an Annual Salary Rate in the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by Section 401(a)(17) of the Code of the Plan Year, may elect to defer all or certain portions of his or her Deferrable Salary in respect of any Plan Year commencing on (a) January 1 of any year in the amount, for the deferral period and in the manner provided for herein if such Employee was an Eligible Employee at January 1 of such Plan Year using December 1 of the year preceding such Plan Year as the Salary Measurement Date, or (b) commencing on the date the election becomes irrevocable if the Eligibility Date of such Employee was during the period January 2 through August 31, inclusive, of such Plan Year and on his or her Eligibility Date such Employee was an Eligible Employee, determined using his or her Eligibility Date as the Salary Measurement Date.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5" w:name="page146"/>
    <w:bookmarkEnd w:id="145"/>
    <w:p>
      <w:pPr>
        <w:ind w:left="880"/>
        <w:spacing w:after="0"/>
        <w:rPr>
          <w:sz w:val="20"/>
          <w:szCs w:val="20"/>
          <w:color w:val="auto"/>
        </w:rPr>
      </w:pPr>
      <w:r>
        <w:rPr>
          <w:rFonts w:ascii="Times New Roman" w:cs="Times New Roman" w:eastAsia="Times New Roman" w:hAnsi="Times New Roman"/>
          <w:sz w:val="22"/>
          <w:szCs w:val="22"/>
          <w:color w:val="auto"/>
        </w:rPr>
        <w:t>(The following only applies as an additional Post-2004 Provision of Section 3.2)</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election will only apply to Deferrable Salary earned beginning with the second payroll period commencing immediately after the election becomes irrevocable.</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COMPENSATION ELIGIBLE FOR DEFERRAL: NOTICE AND PARTICIPATION</w:t>
      </w:r>
    </w:p>
    <w:p>
      <w:pPr>
        <w:spacing w:after="0" w:line="178"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Section 4.1. </w:t>
      </w:r>
      <w:r>
        <w:rPr>
          <w:rFonts w:ascii="Times New Roman" w:cs="Times New Roman" w:eastAsia="Times New Roman" w:hAnsi="Times New Roman"/>
          <w:sz w:val="22"/>
          <w:szCs w:val="22"/>
          <w:b w:val="1"/>
          <w:bCs w:val="1"/>
          <w:u w:val="single" w:color="auto"/>
          <w:color w:val="auto"/>
        </w:rPr>
        <w:t>Performance Compensation</w:t>
      </w:r>
      <w:r>
        <w:rPr>
          <w:rFonts w:ascii="Times New Roman" w:cs="Times New Roman" w:eastAsia="Times New Roman" w:hAnsi="Times New Roman"/>
          <w:sz w:val="22"/>
          <w:szCs w:val="22"/>
          <w:color w:val="auto"/>
        </w:rPr>
        <w:t>. (a) Any Eligible Employee meeting the requirements of Section 3.1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 (within the time period specified in Section 4.4 of the Plan) to defer the payment of all or a portion of his or her Performance Compensation in respect of any Performance Plan Period, in which event such Deferred Performance Amount (as adjusted by related Equivalents) shall be payable as Deferred Performance Compensation under the Plan. An Eligible Employee may specify all or any portion of his or her Performance Compensation in respect of a Performance Plan Period for deferral; provided, that: (i) if expressed as a dollar amount, the amount of Performance Compensation to be deferred shall be $3,600 or any greater dollar amount thereof which is a multiple of $100; and (ii) if expressed as a percentage of Performance Compensation in respect of such Performance Plan Period, the amount of Performance Compensation to be deferred shall be 5% or any greater whole percentage thereof. If a Participant selects a dollar amount of Performance Compensation for deferral and the amount so selected exceeds the amount of Performance Compensation available for deferral, the Participant shall be deemed to have elected to defer 100% of his or her Net Performance Compensation for such Performance Plan Period.</w:t>
      </w:r>
    </w:p>
    <w:p>
      <w:pPr>
        <w:spacing w:after="0" w:line="180" w:lineRule="exact"/>
        <w:rPr>
          <w:sz w:val="20"/>
          <w:szCs w:val="20"/>
          <w:color w:val="auto"/>
        </w:rPr>
      </w:pPr>
    </w:p>
    <w:p>
      <w:pPr>
        <w:jc w:val="both"/>
        <w:ind w:firstLine="872"/>
        <w:spacing w:after="0" w:line="261" w:lineRule="auto"/>
        <w:tabs>
          <w:tab w:leader="none" w:pos="1763"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amount of a Participant’s Performance Compensation in any Plan Year not deferred pursuant to the Plan is not sufficient to pay all required withholding and payroll taxes then the amount of Performance Compensation subject to deferral in such Plan Year may be reduced by the amount necessary to provide for the payment of such taxes.</w:t>
      </w:r>
    </w:p>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following only applies as a Pre-2005 Provision to Pre-2005 Benefits)</w:t>
      </w:r>
    </w:p>
    <w:p>
      <w:pPr>
        <w:spacing w:after="0" w:line="206" w:lineRule="exact"/>
        <w:rPr>
          <w:sz w:val="20"/>
          <w:szCs w:val="20"/>
          <w:color w:val="auto"/>
        </w:rPr>
      </w:pPr>
    </w:p>
    <w:p>
      <w:pPr>
        <w:jc w:val="both"/>
        <w:ind w:right="20" w:firstLine="864"/>
        <w:spacing w:after="0" w:line="258" w:lineRule="auto"/>
        <w:rPr>
          <w:sz w:val="20"/>
          <w:szCs w:val="20"/>
          <w:color w:val="auto"/>
        </w:rPr>
      </w:pPr>
      <w:r>
        <w:rPr>
          <w:rFonts w:ascii="Times New Roman" w:cs="Times New Roman" w:eastAsia="Times New Roman" w:hAnsi="Times New Roman"/>
          <w:sz w:val="22"/>
          <w:szCs w:val="22"/>
          <w:color w:val="auto"/>
        </w:rPr>
        <w:t>If any election would result in the deferral of less than $3,600 of Performance Compensation in a Plan Year, such election will be invalid and no deferral of Performance Compensation will be made pursuant to such election.</w:t>
      </w:r>
    </w:p>
    <w:p>
      <w:pPr>
        <w:spacing w:after="0" w:line="154"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Section 4.2. </w:t>
      </w:r>
      <w:r>
        <w:rPr>
          <w:rFonts w:ascii="Times New Roman" w:cs="Times New Roman" w:eastAsia="Times New Roman" w:hAnsi="Times New Roman"/>
          <w:sz w:val="21"/>
          <w:szCs w:val="21"/>
          <w:b w:val="1"/>
          <w:bCs w:val="1"/>
          <w:u w:val="single" w:color="auto"/>
          <w:color w:val="auto"/>
        </w:rPr>
        <w:t>Deferrable Salary</w:t>
      </w:r>
      <w:r>
        <w:rPr>
          <w:rFonts w:ascii="Times New Roman" w:cs="Times New Roman" w:eastAsia="Times New Roman" w:hAnsi="Times New Roman"/>
          <w:sz w:val="21"/>
          <w:szCs w:val="21"/>
          <w:color w:val="auto"/>
        </w:rPr>
        <w:t>. Any Eligible Employee meeting the requirements of Section 3.2 may elect (within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period specified in Section 4.4 of the Plan) to defer the payment of all or a portion of his or her Deferrable Salary in respect of any Plan Year, in which event such Deferred Salary Amount (as adjusted by related Equivalents) shall be payable as Deferred Salary Compensation under the Plan. An Eligible Employee may specify any portion of Deferrable Salary in respect of a Plan Year for deferral; provided, that: (i) if expressed as a dollar amount, the amount of Salary to be deferred shall be $3,600 or any greater amount which is a multiple of $100, and (ii) if expressed as a percentage of Deferrable Salary for such Plan Year, the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2"/>
          <w:szCs w:val="22"/>
          <w:color w:val="auto"/>
        </w:rPr>
        <w:t>amount of Salary to be deferred shall be 5 % of Deferrable Salary for such Plan Year or any greater whole percentage thereof.</w:t>
      </w:r>
    </w:p>
    <w:p>
      <w:pPr>
        <w:spacing w:after="0" w:line="206"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In the event the amount of a Participant’s Salary in any Plan Year not deferred pursuant to the Plan is not sufficient to pay all required tax withholdings, payroll taxes and benefit contributions relating to changes to cafeteria plan elections, then the amount of Deferrable Salary subject to deferral in such Plan Year may be reduced by the amount necessary to provide for the payment of such taxes and benefit contributions.</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following only applies as a Pre-2005 Provision to Pre-2005 Benefits):</w:t>
      </w:r>
    </w:p>
    <w:p>
      <w:pPr>
        <w:spacing w:after="0" w:line="206"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If any election would result in the deferral of less than $3,600 of Deferrable Salary during the Plan Year, such election will be invalid and no deferral of Salary will be made pursuant to such election.</w:t>
      </w:r>
    </w:p>
    <w:p>
      <w:pPr>
        <w:spacing w:after="0" w:line="154" w:lineRule="exact"/>
        <w:rPr>
          <w:sz w:val="20"/>
          <w:szCs w:val="20"/>
          <w:color w:val="auto"/>
        </w:rPr>
      </w:pPr>
    </w:p>
    <w:p>
      <w:pPr>
        <w:jc w:val="both"/>
        <w:ind w:firstLine="864"/>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Section 4.3. </w:t>
      </w:r>
      <w:r>
        <w:rPr>
          <w:rFonts w:ascii="Times New Roman" w:cs="Times New Roman" w:eastAsia="Times New Roman" w:hAnsi="Times New Roman"/>
          <w:sz w:val="21"/>
          <w:szCs w:val="21"/>
          <w:b w:val="1"/>
          <w:bCs w:val="1"/>
          <w:u w:val="single" w:color="auto"/>
          <w:color w:val="auto"/>
        </w:rPr>
        <w:t>Participation: Notice and Agreement Procedure</w:t>
      </w:r>
      <w:r>
        <w:rPr>
          <w:rFonts w:ascii="Times New Roman" w:cs="Times New Roman" w:eastAsia="Times New Roman" w:hAnsi="Times New Roman"/>
          <w:sz w:val="21"/>
          <w:szCs w:val="21"/>
          <w:color w:val="auto"/>
        </w:rPr>
        <w:t>. (a) Any Eligible Employee may become a Participant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giving timely notice of the Net Performance Compensation or Deferrable Salary such Eligible Employee desires to defer by executing and delivering to the Committee an Agreement as provided in this Section 4.3 and in Section 4.4 of the Plan.</w:t>
      </w:r>
    </w:p>
    <w:p>
      <w:pPr>
        <w:spacing w:after="0" w:line="155" w:lineRule="exact"/>
        <w:rPr>
          <w:sz w:val="20"/>
          <w:szCs w:val="20"/>
          <w:color w:val="auto"/>
        </w:rPr>
      </w:pPr>
    </w:p>
    <w:p>
      <w:pPr>
        <w:jc w:val="both"/>
        <w:ind w:firstLine="872"/>
        <w:spacing w:after="0" w:line="234" w:lineRule="auto"/>
        <w:tabs>
          <w:tab w:leader="none" w:pos="176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Eligible Employee may elect to defer all or a portion (within the limits specified at Sections 4.1 and 4.2 of this Article IV) of his or her Net Performance Compensation for any Performance Plan Period or Deferrable Salary for any Plan Year (as each is adjusted by related Equivalents) for payment as Deferred Compensation under the Plan by executing and delivering to the Committee (within the time limits specified in respect of elections to defer specified at Section 4.4 of the Plan) one or more Agreements. Each Agreement shall provide, among other things, for (i) the amount (expressed in dollars) or portion (expressed as a percentage) of Net Performance Compensation or Deferrable Salary to be deferred, (ii) the period such amount shall be deferred and the form of payment in accordance with Section 7.1(d), and (iii) the Reference Investment Fund or Funds with reference to which the Deferred Amounts will be attributed Equivalents in accordance with Article VI of the Plan, all in accordance with the Plan and the Rules of the Committee.</w:t>
      </w:r>
    </w:p>
    <w:p>
      <w:pPr>
        <w:spacing w:after="0" w:line="183" w:lineRule="exact"/>
        <w:rPr>
          <w:rFonts w:ascii="Times New Roman" w:cs="Times New Roman" w:eastAsia="Times New Roman" w:hAnsi="Times New Roman"/>
          <w:sz w:val="22"/>
          <w:szCs w:val="22"/>
          <w:color w:val="auto"/>
        </w:rPr>
      </w:pPr>
    </w:p>
    <w:p>
      <w:pPr>
        <w:jc w:val="both"/>
        <w:ind w:firstLine="872"/>
        <w:spacing w:after="0" w:line="239" w:lineRule="auto"/>
        <w:tabs>
          <w:tab w:leader="none" w:pos="175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Agreement shall be in one of the alternative forms as prescribed by the Committee and shall be properly completed and executed by the Participant and delivered to the Committee within the periods for the filing thereof specified in Section 4.4 of the Plan. Any electronic election will be deemed executed upon sending by Participant from a secure platform which incorporates protected individual accounts.</w:t>
      </w:r>
    </w:p>
    <w:p>
      <w:pPr>
        <w:spacing w:after="0" w:line="180" w:lineRule="exact"/>
        <w:rPr>
          <w:rFonts w:ascii="Times New Roman" w:cs="Times New Roman" w:eastAsia="Times New Roman" w:hAnsi="Times New Roman"/>
          <w:sz w:val="22"/>
          <w:szCs w:val="22"/>
          <w:color w:val="auto"/>
        </w:rPr>
      </w:pPr>
    </w:p>
    <w:p>
      <w:pPr>
        <w:jc w:val="both"/>
        <w:ind w:firstLine="872"/>
        <w:spacing w:after="0" w:line="261" w:lineRule="auto"/>
        <w:tabs>
          <w:tab w:leader="none" w:pos="1763"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Agreement shall be effective no earlier than the date on which it is delivered to the Committee and shall continue in effect (unless sooner terminated in accordance with the provisions of the Plan and the Agreement) until the Deferred Performance Compensation or Deferred Salary attributable to such Agreement has been paid in accordance with the Plan.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7" w:name="page148"/>
    <w:bookmarkEnd w:id="147"/>
    <w:p>
      <w:pPr>
        <w:jc w:val="both"/>
        <w:ind w:firstLine="864"/>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4.4. </w:t>
      </w:r>
      <w:r>
        <w:rPr>
          <w:rFonts w:ascii="Times New Roman" w:cs="Times New Roman" w:eastAsia="Times New Roman" w:hAnsi="Times New Roman"/>
          <w:sz w:val="22"/>
          <w:szCs w:val="22"/>
          <w:b w:val="1"/>
          <w:bCs w:val="1"/>
          <w:u w:val="single" w:color="auto"/>
          <w:color w:val="auto"/>
        </w:rPr>
        <w:t>Time for Filing Elections</w:t>
      </w:r>
      <w:r>
        <w:rPr>
          <w:rFonts w:ascii="Times New Roman" w:cs="Times New Roman" w:eastAsia="Times New Roman" w:hAnsi="Times New Roman"/>
          <w:sz w:val="22"/>
          <w:szCs w:val="22"/>
          <w:color w:val="auto"/>
        </w:rPr>
        <w:t>. Any Agreement to defer Net Performance Compensation in respect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Plan Period or Deferrable Salary in respect of any Plan Year shall be filed with the Committee by and shall become irrevocable as of:</w:t>
      </w:r>
    </w:p>
    <w:p>
      <w:pPr>
        <w:spacing w:after="0" w:line="171" w:lineRule="exact"/>
        <w:rPr>
          <w:sz w:val="20"/>
          <w:szCs w:val="20"/>
          <w:color w:val="auto"/>
        </w:rPr>
      </w:pPr>
    </w:p>
    <w:p>
      <w:pPr>
        <w:jc w:val="both"/>
        <w:ind w:firstLine="872"/>
        <w:spacing w:after="0" w:line="234" w:lineRule="auto"/>
        <w:tabs>
          <w:tab w:leader="none" w:pos="175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Performance Compensation in respect of any Performance Plan Period: (i) in the case of an Eligible Employee at the first day of such Performance Plan Period, (A) for Plan Years prior to January 1, 2005, March 30 of the applicable Performance Plan Year, (B) for Plan Years beginning January 1, 2005 and ending December 31, 2008, June 30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of the applicable Performance Plan Year, and (C) for Performance Plan Periods beginning after December 31, 2008 the day immediately prior to the commencement of the applicable Performance Plan Period in respect of which such deferral election is being or to be made; and (ii) in the case of an Eligible Employee who first becomes eligible to defer amounts under this Plan during a Plan Year, (within the meaning of Section 409A of the Code and after applying the aggregation rules) the 30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day after the Eligibility Date of such Eligible Employee, but in no event shall such election be permitted after September 30 of such Performance Plan Year or if the Performance Plan Period is greater than one year, no later than September 30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of the first year of the Performance Plan Period.</w:t>
      </w:r>
    </w:p>
    <w:p>
      <w:pPr>
        <w:spacing w:after="0" w:line="179" w:lineRule="exact"/>
        <w:rPr>
          <w:rFonts w:ascii="Times New Roman" w:cs="Times New Roman" w:eastAsia="Times New Roman" w:hAnsi="Times New Roman"/>
          <w:sz w:val="22"/>
          <w:szCs w:val="22"/>
          <w:color w:val="auto"/>
        </w:rPr>
      </w:pPr>
    </w:p>
    <w:p>
      <w:pPr>
        <w:jc w:val="both"/>
        <w:ind w:firstLine="872"/>
        <w:spacing w:after="0" w:line="238" w:lineRule="auto"/>
        <w:tabs>
          <w:tab w:leader="none" w:pos="176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Deferrable Salary in respect of any Plan Year: (i) in the case of an Eligible Employee at January 1 of such Plan Year, December 31 of the calendar year prior to the Plan Year in respect of which such election to defer Salary is being made; and (ii) in the case of an Eligible Employee whose Eligibility Date occurs during such Plan Year, the 30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day after the Eligibility Date of such Eligible Employee, but in no event shall any such election be permitted after September 30 of such Plan Year.</w:t>
      </w:r>
    </w:p>
    <w:p>
      <w:pPr>
        <w:spacing w:after="0" w:line="38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ACCOUNTS AND REFERENCE INVESTMENT ELECTIONS</w:t>
      </w:r>
    </w:p>
    <w:p>
      <w:pPr>
        <w:spacing w:after="0" w:line="178"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6.1. </w:t>
      </w:r>
      <w:r>
        <w:rPr>
          <w:rFonts w:ascii="Times New Roman" w:cs="Times New Roman" w:eastAsia="Times New Roman" w:hAnsi="Times New Roman"/>
          <w:sz w:val="22"/>
          <w:szCs w:val="22"/>
          <w:b w:val="1"/>
          <w:bCs w:val="1"/>
          <w:u w:val="single" w:color="auto"/>
          <w:color w:val="auto"/>
        </w:rPr>
        <w:t>Deferred Compensation</w:t>
      </w:r>
      <w:r>
        <w:rPr>
          <w:rFonts w:ascii="Times New Roman" w:cs="Times New Roman" w:eastAsia="Times New Roman" w:hAnsi="Times New Roman"/>
          <w:sz w:val="22"/>
          <w:szCs w:val="22"/>
          <w:color w:val="auto"/>
        </w:rPr>
        <w:t>. A Participant’s Deferred Compensation shall be equal to the total amount of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Deferred Amounts of such Participant, plus all Equivalents attributable to each Deferred Performance Amount and each Deferred Salary Amount of such Participant, and credited (or charged) to, each of the Performance Plan Accounts and Annual Salary Accounts of such Participant pursuant to this Article VI.</w:t>
      </w:r>
    </w:p>
    <w:p>
      <w:pPr>
        <w:spacing w:after="0" w:line="172"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6.2. </w:t>
      </w:r>
      <w:r>
        <w:rPr>
          <w:rFonts w:ascii="Times New Roman" w:cs="Times New Roman" w:eastAsia="Times New Roman" w:hAnsi="Times New Roman"/>
          <w:sz w:val="22"/>
          <w:szCs w:val="22"/>
          <w:b w:val="1"/>
          <w:bCs w:val="1"/>
          <w:u w:val="single" w:color="auto"/>
          <w:color w:val="auto"/>
        </w:rPr>
        <w:t>Accounts</w:t>
      </w:r>
      <w:r>
        <w:rPr>
          <w:rFonts w:ascii="Times New Roman" w:cs="Times New Roman" w:eastAsia="Times New Roman" w:hAnsi="Times New Roman"/>
          <w:sz w:val="22"/>
          <w:szCs w:val="22"/>
          <w:color w:val="auto"/>
        </w:rPr>
        <w:t>. The Company and each Participating Employer shall establish and maintain, or cause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established and maintained, pursuant to the terms of the Plan Accounts for each Participant, consisting of Performance Plan Accounts, each of which will be credited with the Deferred Performance Amount of such Participant in a Plan Year and Annual Salary Accounts, each of which will be credited with the Deferred Salary Amount of such Participant during such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8" w:name="page149"/>
    <w:bookmarkEnd w:id="148"/>
    <w:p>
      <w:pPr>
        <w:jc w:val="both"/>
        <w:spacing w:after="0" w:line="234" w:lineRule="auto"/>
        <w:rPr>
          <w:sz w:val="20"/>
          <w:szCs w:val="20"/>
          <w:color w:val="auto"/>
        </w:rPr>
      </w:pPr>
      <w:r>
        <w:rPr>
          <w:rFonts w:ascii="Times New Roman" w:cs="Times New Roman" w:eastAsia="Times New Roman" w:hAnsi="Times New Roman"/>
          <w:sz w:val="22"/>
          <w:szCs w:val="22"/>
          <w:color w:val="auto"/>
        </w:rPr>
        <w:t>Plan Year, in each case to be adjusted by Equivalents attributable thereto in accordance with this Article VI. In respect of each Participant, a separate Performance Plan Account shall be established and maintained in respect of each Plan Year, the balance of which at any Valuation Date represents the amount of such Participant’s Deferred Performance Compensation for such Plan Year. In respect of each Participant, a separate Annual Salary Account shall be established and maintained in respect of each Plan Year, the balance of which at any Valuation Date represents the amount of such Participant’s Deferred Salary Compensation for such Plan Year. All amounts (of Equivalents) credited (or charged) to an Account shall be credited (or charged) solely for purposes of measurement, accounting, computation and recordkeeping. The obligation of an Employer to pay the amount in its Accounts is its general, unsecured contractual obligation and any assets maintained by such Employer to satisfy such claims shall be subject to the claims of such Employer’s general creditors.</w:t>
      </w:r>
    </w:p>
    <w:p>
      <w:pPr>
        <w:spacing w:after="0" w:line="179"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Section 6.3. </w:t>
      </w:r>
      <w:r>
        <w:rPr>
          <w:rFonts w:ascii="Times New Roman" w:cs="Times New Roman" w:eastAsia="Times New Roman" w:hAnsi="Times New Roman"/>
          <w:sz w:val="22"/>
          <w:szCs w:val="22"/>
          <w:b w:val="1"/>
          <w:bCs w:val="1"/>
          <w:u w:val="single" w:color="auto"/>
          <w:color w:val="auto"/>
        </w:rPr>
        <w:t>Reference Investment Procedure</w:t>
      </w:r>
      <w:r>
        <w:rPr>
          <w:rFonts w:ascii="Times New Roman" w:cs="Times New Roman" w:eastAsia="Times New Roman" w:hAnsi="Times New Roman"/>
          <w:sz w:val="22"/>
          <w:szCs w:val="22"/>
          <w:color w:val="auto"/>
        </w:rPr>
        <w:t>. At the time a Participant makes his or her election to defer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Compensation or Salary in respect of any Plan Year, such Participant may express his or her choice of Reference Investment Fund or Funds and the allocation of his or her Performance Plan Account and Annual Salary Account among one or more such Reference Investment Funds. The Compensation Committee shall have absolute discretion in the selection of Reference Investment Funds available and may, from time to time, change the available Reference Investment Funds as it deems appropriate. Any such change of Reference Investment Funds shall be communicated to Participants in accordance with procedures adopted by the Committee.</w:t>
      </w:r>
    </w:p>
    <w:p>
      <w:pPr>
        <w:spacing w:after="0" w:line="17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Section 6.4. </w:t>
      </w:r>
      <w:r>
        <w:rPr>
          <w:rFonts w:ascii="Times New Roman" w:cs="Times New Roman" w:eastAsia="Times New Roman" w:hAnsi="Times New Roman"/>
          <w:sz w:val="21"/>
          <w:szCs w:val="21"/>
          <w:b w:val="1"/>
          <w:bCs w:val="1"/>
          <w:u w:val="single" w:color="auto"/>
          <w:color w:val="auto"/>
        </w:rPr>
        <w:t>Equivalents: Reference Investment Elections</w:t>
      </w:r>
      <w:r>
        <w:rPr>
          <w:rFonts w:ascii="Times New Roman" w:cs="Times New Roman" w:eastAsia="Times New Roman" w:hAnsi="Times New Roman"/>
          <w:sz w:val="21"/>
          <w:szCs w:val="21"/>
          <w:color w:val="auto"/>
        </w:rPr>
        <w:t>. (a) In accordance with elections made by Participants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Section 6.3 and this Section 6.4, each Deferred Performance Amount and Deferred Salary Amount will be credited with earnings and gains and charged with losses, expenses and taxes in amounts equal to the amount such Deferred Performance Amount or Deferred Salary Amount would have been credited, net of all losses, expenses and taxes, or charged (where such losses, expenses and taxes exceeded earnings and gains) if such Deferred Performance Amount or Deferred Salary Amount had been invested during the relevant period in one or more of the Reference Investment Funds in accordance with such election (such amounts being herein referred to as “Equivalents”). On a Valuation Date an Account will be credited with all such earnings and gains, net of all losses, expenses and taxes, or charged for any losses, expenses and taxes to the extent such amounts exceed earnings and gains, such Deferred Performance Amount or Deferred Salary Amount as would have accrued if such amounts had been invested in the Reference Investment Funds selected from time to time by such Participant (or, if applicable, in accordance with Section 6.5 of the Plan). Equivalents in respect of any Deferred Performance Amount or Deferred Salary Amount (or portion thereof) shall be equal to the amount of increase or decrease, as the case may be, net of all expenses and taxes which would have been incurred, in the value of such Deferred Amount had such Deferred Amount been invested in the applicable Reference Investment Fund or Funds (in accordance with the Participant’s elections as from time to time in effect or, if applicable, in accordance with Section 6.5 of the Plan) from the date deferred through the applicable Valuation Date.</w:t>
      </w:r>
    </w:p>
    <w:p>
      <w:pPr>
        <w:spacing w:after="0" w:line="182" w:lineRule="exact"/>
        <w:rPr>
          <w:sz w:val="20"/>
          <w:szCs w:val="20"/>
          <w:color w:val="auto"/>
        </w:rPr>
      </w:pPr>
    </w:p>
    <w:p>
      <w:pPr>
        <w:ind w:firstLine="872"/>
        <w:spacing w:after="0" w:line="258" w:lineRule="auto"/>
        <w:tabs>
          <w:tab w:leader="none" w:pos="176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 Investment Funds Available</w:t>
      </w:r>
      <w:r>
        <w:rPr>
          <w:rFonts w:ascii="Times New Roman" w:cs="Times New Roman" w:eastAsia="Times New Roman" w:hAnsi="Times New Roman"/>
          <w:sz w:val="22"/>
          <w:szCs w:val="22"/>
          <w:color w:val="auto"/>
        </w:rPr>
        <w:t>. The Company and the Recordkeeper will maintain records in respect of the Accounts of each Participant which measure in accordance with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9" w:name="page150"/>
    <w:bookmarkEnd w:id="149"/>
    <w:p>
      <w:pPr>
        <w:jc w:val="both"/>
        <w:spacing w:after="0" w:line="244" w:lineRule="auto"/>
        <w:rPr>
          <w:sz w:val="20"/>
          <w:szCs w:val="20"/>
          <w:color w:val="auto"/>
        </w:rPr>
      </w:pPr>
      <w:r>
        <w:rPr>
          <w:rFonts w:ascii="Times New Roman" w:cs="Times New Roman" w:eastAsia="Times New Roman" w:hAnsi="Times New Roman"/>
          <w:sz w:val="22"/>
          <w:szCs w:val="22"/>
          <w:color w:val="auto"/>
        </w:rPr>
        <w:t>the elections made by such Participant in respect of his or her Deferred Amounts the earnings, gains and losses attributable to such Deferred Amounts as though invested in one or more of the Reference Investment Funds within the categories described below, as specifically selected by the Compensation Committee and identified at Annex I to the Plan:</w:t>
      </w:r>
    </w:p>
    <w:p>
      <w:pPr>
        <w:spacing w:after="0" w:line="173" w:lineRule="exact"/>
        <w:rPr>
          <w:sz w:val="20"/>
          <w:szCs w:val="20"/>
          <w:color w:val="auto"/>
        </w:rPr>
      </w:pPr>
    </w:p>
    <w:p>
      <w:pPr>
        <w:jc w:val="both"/>
        <w:ind w:left="880" w:firstLine="789"/>
        <w:spacing w:after="0" w:line="244" w:lineRule="auto"/>
        <w:tabs>
          <w:tab w:leader="none" w:pos="2577"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 Money Market Fund</w:t>
      </w:r>
      <w:r>
        <w:rPr>
          <w:rFonts w:ascii="Times New Roman" w:cs="Times New Roman" w:eastAsia="Times New Roman" w:hAnsi="Times New Roman"/>
          <w:sz w:val="22"/>
          <w:szCs w:val="22"/>
          <w:color w:val="auto"/>
        </w:rPr>
        <w:t>. The reference investment shall be a mutual fund or bank common trust fund which invests in various short-term U.S. Government securities and/or similar instruments, including Treasury Bills, certificates of deposit and other high quality instruments.</w:t>
      </w:r>
    </w:p>
    <w:p>
      <w:pPr>
        <w:spacing w:after="0" w:line="173" w:lineRule="exact"/>
        <w:rPr>
          <w:rFonts w:ascii="Times New Roman" w:cs="Times New Roman" w:eastAsia="Times New Roman" w:hAnsi="Times New Roman"/>
          <w:sz w:val="22"/>
          <w:szCs w:val="22"/>
          <w:color w:val="auto"/>
        </w:rPr>
      </w:pPr>
    </w:p>
    <w:p>
      <w:pPr>
        <w:jc w:val="both"/>
        <w:ind w:left="880" w:firstLine="789"/>
        <w:spacing w:after="0" w:line="244" w:lineRule="auto"/>
        <w:tabs>
          <w:tab w:leader="none" w:pos="2577"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 Equity Index Fund</w:t>
      </w:r>
      <w:r>
        <w:rPr>
          <w:rFonts w:ascii="Times New Roman" w:cs="Times New Roman" w:eastAsia="Times New Roman" w:hAnsi="Times New Roman"/>
          <w:sz w:val="22"/>
          <w:szCs w:val="22"/>
          <w:color w:val="auto"/>
        </w:rPr>
        <w:t>. The reference investment shall be a mutual fund or bank common trust fund which invests in common stocks of companies comprising the S&amp;P 500 Index on a weighted basis substantially similar to the weighting of the S&amp;P 500 Index.</w:t>
      </w:r>
    </w:p>
    <w:p>
      <w:pPr>
        <w:spacing w:after="0" w:line="173" w:lineRule="exact"/>
        <w:rPr>
          <w:rFonts w:ascii="Times New Roman" w:cs="Times New Roman" w:eastAsia="Times New Roman" w:hAnsi="Times New Roman"/>
          <w:sz w:val="22"/>
          <w:szCs w:val="22"/>
          <w:color w:val="auto"/>
        </w:rPr>
      </w:pPr>
    </w:p>
    <w:p>
      <w:pPr>
        <w:jc w:val="both"/>
        <w:ind w:left="880" w:firstLine="789"/>
        <w:spacing w:after="0" w:line="244" w:lineRule="auto"/>
        <w:tabs>
          <w:tab w:leader="none" w:pos="2577"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 Bond Fund</w:t>
      </w:r>
      <w:r>
        <w:rPr>
          <w:rFonts w:ascii="Times New Roman" w:cs="Times New Roman" w:eastAsia="Times New Roman" w:hAnsi="Times New Roman"/>
          <w:sz w:val="22"/>
          <w:szCs w:val="22"/>
          <w:color w:val="auto"/>
        </w:rPr>
        <w:t>. The reference investment shall be a mutual fund or bank common trust fund which invests in a diversified portfolio of government and high quality corporate bonds (generally A rated or higher) with average maturities of up to 5 years.</w:t>
      </w:r>
    </w:p>
    <w:p>
      <w:pPr>
        <w:spacing w:after="0" w:line="173" w:lineRule="exact"/>
        <w:rPr>
          <w:rFonts w:ascii="Times New Roman" w:cs="Times New Roman" w:eastAsia="Times New Roman" w:hAnsi="Times New Roman"/>
          <w:sz w:val="22"/>
          <w:szCs w:val="22"/>
          <w:color w:val="auto"/>
        </w:rPr>
      </w:pPr>
    </w:p>
    <w:p>
      <w:pPr>
        <w:ind w:left="880" w:firstLine="789"/>
        <w:spacing w:after="0" w:line="258" w:lineRule="auto"/>
        <w:tabs>
          <w:tab w:leader="none" w:pos="2577"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 Balanced Fund</w:t>
      </w:r>
      <w:r>
        <w:rPr>
          <w:rFonts w:ascii="Times New Roman" w:cs="Times New Roman" w:eastAsia="Times New Roman" w:hAnsi="Times New Roman"/>
          <w:sz w:val="22"/>
          <w:szCs w:val="22"/>
          <w:color w:val="auto"/>
        </w:rPr>
        <w:t>. The reference investment shall be a mutual fund or bank common trust fund which invests primarily in S&amp;P 500 equities and government and corporate bonds.</w:t>
      </w:r>
    </w:p>
    <w:p>
      <w:pPr>
        <w:spacing w:after="0" w:line="158" w:lineRule="exact"/>
        <w:rPr>
          <w:rFonts w:ascii="Times New Roman" w:cs="Times New Roman" w:eastAsia="Times New Roman" w:hAnsi="Times New Roman"/>
          <w:sz w:val="22"/>
          <w:szCs w:val="22"/>
          <w:color w:val="auto"/>
        </w:rPr>
      </w:pPr>
    </w:p>
    <w:p>
      <w:pPr>
        <w:ind w:left="2560" w:hanging="891"/>
        <w:spacing w:after="0"/>
        <w:tabs>
          <w:tab w:leader="none" w:pos="2560"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Reference Growth Fund</w:t>
      </w:r>
      <w:r>
        <w:rPr>
          <w:rFonts w:ascii="Times New Roman" w:cs="Times New Roman" w:eastAsia="Times New Roman" w:hAnsi="Times New Roman"/>
          <w:sz w:val="21"/>
          <w:szCs w:val="21"/>
          <w:color w:val="auto"/>
        </w:rPr>
        <w:t>. The reference investment shall be a mutual fund which focuses on growth</w:t>
      </w:r>
    </w:p>
    <w:p>
      <w:pPr>
        <w:spacing w:after="0" w:line="25" w:lineRule="exact"/>
        <w:rPr>
          <w:rFonts w:ascii="Times New Roman" w:cs="Times New Roman" w:eastAsia="Times New Roman" w:hAnsi="Times New Roman"/>
          <w:sz w:val="21"/>
          <w:szCs w:val="21"/>
          <w:color w:val="auto"/>
        </w:rPr>
      </w:pPr>
    </w:p>
    <w:p>
      <w:pPr>
        <w:ind w:left="8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equities.</w:t>
      </w:r>
    </w:p>
    <w:p>
      <w:pPr>
        <w:spacing w:after="0" w:line="182" w:lineRule="exact"/>
        <w:rPr>
          <w:rFonts w:ascii="Times New Roman" w:cs="Times New Roman" w:eastAsia="Times New Roman" w:hAnsi="Times New Roman"/>
          <w:sz w:val="21"/>
          <w:szCs w:val="21"/>
          <w:color w:val="auto"/>
        </w:rPr>
      </w:pPr>
    </w:p>
    <w:p>
      <w:pPr>
        <w:jc w:val="both"/>
        <w:ind w:firstLine="872"/>
        <w:spacing w:after="0" w:line="238" w:lineRule="auto"/>
        <w:tabs>
          <w:tab w:leader="none" w:pos="175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Reference Investment Funds Available</w:t>
      </w:r>
      <w:r>
        <w:rPr>
          <w:rFonts w:ascii="Times New Roman" w:cs="Times New Roman" w:eastAsia="Times New Roman" w:hAnsi="Times New Roman"/>
          <w:sz w:val="22"/>
          <w:szCs w:val="22"/>
          <w:color w:val="auto"/>
        </w:rPr>
        <w:t>. The Reference Investment Funds available to Participants may be changed at any time and from time to time by the Compensation Committee. The Committee will give timely notice of any such change to each Participant. A Participant must change his or her election before implementation of such change if such change eliminates the availability of a Reference Investment Fund which was being used to measure Equivalents to be credited (or charged) to any Account of such Participant.</w:t>
      </w:r>
    </w:p>
    <w:p>
      <w:pPr>
        <w:spacing w:after="0" w:line="176"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Investment Elections</w:t>
      </w:r>
      <w:r>
        <w:rPr>
          <w:rFonts w:ascii="Times New Roman" w:cs="Times New Roman" w:eastAsia="Times New Roman" w:hAnsi="Times New Roman"/>
          <w:sz w:val="22"/>
          <w:szCs w:val="22"/>
          <w:color w:val="auto"/>
        </w:rPr>
        <w:t>. Participants shall make their reference investment elections using the following</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procedures:</w:t>
      </w:r>
    </w:p>
    <w:p>
      <w:pPr>
        <w:spacing w:after="0" w:line="182" w:lineRule="exact"/>
        <w:rPr>
          <w:rFonts w:ascii="Times New Roman" w:cs="Times New Roman" w:eastAsia="Times New Roman" w:hAnsi="Times New Roman"/>
          <w:sz w:val="22"/>
          <w:szCs w:val="22"/>
          <w:color w:val="auto"/>
        </w:rPr>
      </w:pPr>
    </w:p>
    <w:p>
      <w:pPr>
        <w:jc w:val="both"/>
        <w:ind w:left="880" w:firstLine="789"/>
        <w:spacing w:after="0" w:line="238" w:lineRule="auto"/>
        <w:tabs>
          <w:tab w:leader="none" w:pos="2577"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Election For Deferred Amounts</w:t>
      </w:r>
      <w:r>
        <w:rPr>
          <w:rFonts w:ascii="Times New Roman" w:cs="Times New Roman" w:eastAsia="Times New Roman" w:hAnsi="Times New Roman"/>
          <w:sz w:val="22"/>
          <w:szCs w:val="22"/>
          <w:color w:val="auto"/>
        </w:rPr>
        <w:t>. At the time any election to defer Performance Compensation or Salary is made a Participant can elect to have the Deferred Performance Amount or the Deferred Salary Amount, as the case may be, accrue Equivalents related to one or more of the Reference Investment Funds in one percent (1%) increments; provided, that the Participant must complete his or her investment election no later than the deadline established by the Committee.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0" w:name="page151"/>
    <w:bookmarkEnd w:id="150"/>
    <w:p>
      <w:pPr>
        <w:jc w:val="both"/>
        <w:ind w:left="880" w:firstLine="789"/>
        <w:spacing w:after="0" w:line="238" w:lineRule="auto"/>
        <w:tabs>
          <w:tab w:leader="none" w:pos="2577"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Investment Election</w:t>
      </w:r>
      <w:r>
        <w:rPr>
          <w:rFonts w:ascii="Times New Roman" w:cs="Times New Roman" w:eastAsia="Times New Roman" w:hAnsi="Times New Roman"/>
          <w:sz w:val="22"/>
          <w:szCs w:val="22"/>
          <w:color w:val="auto"/>
        </w:rPr>
        <w:t>. Effective for the close of any business day, a Participant may change his or her investment election for all of his existing Accounts in one percent (1%) increments. Such election will affect all Deferred Amounts and the balance of all existing Accounts, but shall not affect any Accounts thereafter established in respect of future deferrals. To effect a change, the Participant must complete his investment election under guidelines established by the Committee.</w:t>
      </w:r>
    </w:p>
    <w:p>
      <w:pPr>
        <w:spacing w:after="0" w:line="176" w:lineRule="exact"/>
        <w:rPr>
          <w:rFonts w:ascii="Times New Roman" w:cs="Times New Roman" w:eastAsia="Times New Roman" w:hAnsi="Times New Roman"/>
          <w:sz w:val="22"/>
          <w:szCs w:val="22"/>
          <w:color w:val="auto"/>
        </w:rPr>
      </w:pPr>
    </w:p>
    <w:p>
      <w:pPr>
        <w:jc w:val="both"/>
        <w:ind w:firstLine="872"/>
        <w:spacing w:after="0" w:line="239" w:lineRule="auto"/>
        <w:tabs>
          <w:tab w:leader="none" w:pos="175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 of Reinvestments of Reference Investment Fund Distributions</w:t>
      </w:r>
      <w:r>
        <w:rPr>
          <w:rFonts w:ascii="Times New Roman" w:cs="Times New Roman" w:eastAsia="Times New Roman" w:hAnsi="Times New Roman"/>
          <w:sz w:val="22"/>
          <w:szCs w:val="22"/>
          <w:color w:val="auto"/>
        </w:rPr>
        <w:t>. All Equivalents (earnings, gains and losses net after expenses and taxes) attributable to any Account as measured in respect of any Reference Investment Funds will be deemed to include any distributions by such Reference Investment Fund, which distributions shall be deemed to be reinvested in the same Reference Investment Fund after deducting any expenses and taxes attributable to such reinvestment.</w:t>
      </w:r>
    </w:p>
    <w:p>
      <w:pPr>
        <w:spacing w:after="0" w:line="180" w:lineRule="exact"/>
        <w:rPr>
          <w:rFonts w:ascii="Times New Roman" w:cs="Times New Roman" w:eastAsia="Times New Roman" w:hAnsi="Times New Roman"/>
          <w:sz w:val="22"/>
          <w:szCs w:val="22"/>
          <w:color w:val="auto"/>
        </w:rPr>
      </w:pPr>
    </w:p>
    <w:p>
      <w:pPr>
        <w:jc w:val="both"/>
        <w:ind w:firstLine="872"/>
        <w:spacing w:after="0" w:line="239" w:lineRule="auto"/>
        <w:tabs>
          <w:tab w:leader="none" w:pos="1727"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Election Rules</w:t>
      </w:r>
      <w:r>
        <w:rPr>
          <w:rFonts w:ascii="Times New Roman" w:cs="Times New Roman" w:eastAsia="Times New Roman" w:hAnsi="Times New Roman"/>
          <w:sz w:val="22"/>
          <w:szCs w:val="22"/>
          <w:color w:val="auto"/>
        </w:rPr>
        <w:t>. The Committee may permit (1) Participants to elect to have their Accounts allocated among available Reference Investment Funds in increments greater or lesser than 5 percent, (2) more options of Reference Investment Funds, (3) other election filing dates, and/or (4) any other variations as it considers proper, under regulations adopted by the Committee and published to Participants.</w:t>
      </w:r>
    </w:p>
    <w:p>
      <w:pPr>
        <w:spacing w:after="0" w:line="176"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6.5. </w:t>
      </w:r>
      <w:r>
        <w:rPr>
          <w:rFonts w:ascii="Times New Roman" w:cs="Times New Roman" w:eastAsia="Times New Roman" w:hAnsi="Times New Roman"/>
          <w:sz w:val="22"/>
          <w:szCs w:val="22"/>
          <w:b w:val="1"/>
          <w:bCs w:val="1"/>
          <w:u w:val="single" w:color="auto"/>
          <w:color w:val="auto"/>
        </w:rPr>
        <w:t>Failure to Elect Reference Investments</w:t>
      </w:r>
      <w:r>
        <w:rPr>
          <w:rFonts w:ascii="Times New Roman" w:cs="Times New Roman" w:eastAsia="Times New Roman" w:hAnsi="Times New Roman"/>
          <w:sz w:val="22"/>
          <w:szCs w:val="22"/>
          <w:color w:val="auto"/>
        </w:rPr>
        <w:t>. Any portion of an Account of a Participant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such Participant has not indicated to the Committee a Reference Investment Fund (whether due to the failure of the Participant to timely complete and file his or her election or otherwise) shall be deemed to accrue Equivalents as though such portion of the Account were invested in the Reference Money Market Fund, or in such other investment or reference rate as the Compensation Committee may select.</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Section 6.6. </w:t>
      </w:r>
      <w:r>
        <w:rPr>
          <w:rFonts w:ascii="Times New Roman" w:cs="Times New Roman" w:eastAsia="Times New Roman" w:hAnsi="Times New Roman"/>
          <w:sz w:val="22"/>
          <w:szCs w:val="22"/>
          <w:b w:val="1"/>
          <w:bCs w:val="1"/>
          <w:u w:val="single" w:color="auto"/>
          <w:color w:val="auto"/>
        </w:rPr>
        <w:t>Adjustments to Account Balances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872"/>
        <w:spacing w:after="0" w:line="244" w:lineRule="auto"/>
        <w:tabs>
          <w:tab w:leader="none" w:pos="175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Regular Valuation Dates</w:t>
      </w:r>
      <w:r>
        <w:rPr>
          <w:rFonts w:ascii="Times New Roman" w:cs="Times New Roman" w:eastAsia="Times New Roman" w:hAnsi="Times New Roman"/>
          <w:sz w:val="22"/>
          <w:szCs w:val="22"/>
          <w:color w:val="auto"/>
        </w:rPr>
        <w:t>. As of each Valuation Date, the Company and the Recordkeeper will determine the fair market value of each Account of each Participant. On each Valuation Date, each Account will be adjusted to reflect the following events in order since the preceding Valuation.</w:t>
      </w:r>
    </w:p>
    <w:p>
      <w:pPr>
        <w:spacing w:after="0" w:line="173" w:lineRule="exact"/>
        <w:rPr>
          <w:rFonts w:ascii="Times New Roman" w:cs="Times New Roman" w:eastAsia="Times New Roman" w:hAnsi="Times New Roman"/>
          <w:sz w:val="22"/>
          <w:szCs w:val="22"/>
          <w:color w:val="auto"/>
        </w:rPr>
      </w:pPr>
    </w:p>
    <w:p>
      <w:pPr>
        <w:jc w:val="both"/>
        <w:ind w:left="880" w:firstLine="789"/>
        <w:spacing w:after="0" w:line="244" w:lineRule="auto"/>
        <w:tabs>
          <w:tab w:leader="none" w:pos="2577"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increase or decrease in the amount of Equivalents (the pro rata share of the net earnings, gains and losses, net of expenses and taxes of the Reference Investment Fund or Funds in which the Account is deemed to be invested);</w:t>
      </w:r>
    </w:p>
    <w:p>
      <w:pPr>
        <w:spacing w:after="0" w:line="173" w:lineRule="exact"/>
        <w:rPr>
          <w:rFonts w:ascii="Times New Roman" w:cs="Times New Roman" w:eastAsia="Times New Roman" w:hAnsi="Times New Roman"/>
          <w:sz w:val="22"/>
          <w:szCs w:val="22"/>
          <w:color w:val="auto"/>
        </w:rPr>
      </w:pPr>
    </w:p>
    <w:p>
      <w:pPr>
        <w:ind w:left="2560" w:hanging="891"/>
        <w:spacing w:after="0"/>
        <w:tabs>
          <w:tab w:leader="none" w:pos="256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Deferred Amounts in a new Account;</w:t>
      </w:r>
    </w:p>
    <w:p>
      <w:pPr>
        <w:spacing w:after="0" w:line="206" w:lineRule="exact"/>
        <w:rPr>
          <w:rFonts w:ascii="Times New Roman" w:cs="Times New Roman" w:eastAsia="Times New Roman" w:hAnsi="Times New Roman"/>
          <w:sz w:val="22"/>
          <w:szCs w:val="22"/>
          <w:color w:val="auto"/>
        </w:rPr>
      </w:pPr>
    </w:p>
    <w:p>
      <w:pPr>
        <w:ind w:left="2560" w:hanging="891"/>
        <w:spacing w:after="0"/>
        <w:tabs>
          <w:tab w:leader="none" w:pos="256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Distributions, if any, from the Account; and</w:t>
      </w:r>
    </w:p>
    <w:p>
      <w:pPr>
        <w:spacing w:after="0" w:line="206" w:lineRule="exact"/>
        <w:rPr>
          <w:rFonts w:ascii="Times New Roman" w:cs="Times New Roman" w:eastAsia="Times New Roman" w:hAnsi="Times New Roman"/>
          <w:sz w:val="22"/>
          <w:szCs w:val="22"/>
          <w:color w:val="auto"/>
        </w:rPr>
      </w:pPr>
    </w:p>
    <w:p>
      <w:pPr>
        <w:ind w:left="2560" w:hanging="891"/>
        <w:spacing w:after="0"/>
        <w:tabs>
          <w:tab w:leader="none" w:pos="256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Reference Investment Fund or Funds under Section 6.4(d)(2) of the Plan.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1" w:name="page152"/>
    <w:bookmarkEnd w:id="151"/>
    <w:p>
      <w:pPr>
        <w:jc w:val="both"/>
        <w:ind w:firstLine="872"/>
        <w:spacing w:after="0" w:line="244" w:lineRule="auto"/>
        <w:tabs>
          <w:tab w:leader="none" w:pos="176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Valuations Binding</w:t>
      </w:r>
      <w:r>
        <w:rPr>
          <w:rFonts w:ascii="Times New Roman" w:cs="Times New Roman" w:eastAsia="Times New Roman" w:hAnsi="Times New Roman"/>
          <w:sz w:val="22"/>
          <w:szCs w:val="22"/>
          <w:color w:val="auto"/>
        </w:rPr>
        <w:t>. In determining the value of each Account of each Participant, the Committee will exercise its best judgment as to the value of such Account. All determinations of value of Accounts shall be binding upon Participants and their Beneficiaries.</w:t>
      </w:r>
    </w:p>
    <w:p>
      <w:pPr>
        <w:spacing w:after="0" w:line="173" w:lineRule="exact"/>
        <w:rPr>
          <w:rFonts w:ascii="Times New Roman" w:cs="Times New Roman" w:eastAsia="Times New Roman" w:hAnsi="Times New Roman"/>
          <w:sz w:val="22"/>
          <w:szCs w:val="22"/>
          <w:color w:val="auto"/>
        </w:rPr>
      </w:pPr>
    </w:p>
    <w:p>
      <w:pPr>
        <w:ind w:firstLine="872"/>
        <w:spacing w:after="0" w:line="258" w:lineRule="auto"/>
        <w:tabs>
          <w:tab w:leader="none" w:pos="175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 Date</w:t>
      </w:r>
      <w:r>
        <w:rPr>
          <w:rFonts w:ascii="Times New Roman" w:cs="Times New Roman" w:eastAsia="Times New Roman" w:hAnsi="Times New Roman"/>
          <w:sz w:val="22"/>
          <w:szCs w:val="22"/>
          <w:color w:val="auto"/>
        </w:rPr>
        <w:t>. All allocations of Equivalents will be considered to have been made as of the Valuation Date, regardless of when allocations are actually made.</w:t>
      </w:r>
    </w:p>
    <w:p>
      <w:pPr>
        <w:spacing w:after="0" w:line="158" w:lineRule="exact"/>
        <w:rPr>
          <w:rFonts w:ascii="Times New Roman" w:cs="Times New Roman" w:eastAsia="Times New Roman" w:hAnsi="Times New Roman"/>
          <w:sz w:val="22"/>
          <w:szCs w:val="22"/>
          <w:color w:val="auto"/>
        </w:rPr>
      </w:pPr>
    </w:p>
    <w:p>
      <w:pPr>
        <w:jc w:val="both"/>
        <w:ind w:firstLine="872"/>
        <w:spacing w:after="0" w:line="247" w:lineRule="auto"/>
        <w:tabs>
          <w:tab w:leader="none" w:pos="1763"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Statements of Account Balances</w:t>
      </w:r>
      <w:r>
        <w:rPr>
          <w:rFonts w:ascii="Times New Roman" w:cs="Times New Roman" w:eastAsia="Times New Roman" w:hAnsi="Times New Roman"/>
          <w:sz w:val="21"/>
          <w:szCs w:val="21"/>
          <w:color w:val="auto"/>
        </w:rPr>
        <w:t>. As soon as practicable after the end of each Plan Year, the Committee will provide to each Participant, or his or her Beneficiary, a statement showing with respect to each Account of such Participant: (1) the balance of such Account on January 1 of such Plan Year, (2) all Equivalents attributable to such Account during such Plan Year, (3) all distributions from such Account during such Plan Year and (4) the balance of such Account on December 31 of such Plan Year. During each Plan Year, the Committee may provide statements quarterly setting forth the balance of each Account of a Participant as at the end of a quarter and such other information in respect thereof as the Committee shall deem appropriate. If a Participant has Accounts with more than one Employer, the reports and records relating to such Accounts will be reported to the Participant without indicating which Employer established the Account, unless such Employer is bankrupt or insolvent.</w:t>
      </w:r>
    </w:p>
    <w:p>
      <w:pPr>
        <w:spacing w:after="0" w:line="171" w:lineRule="exact"/>
        <w:rPr>
          <w:rFonts w:ascii="Times New Roman" w:cs="Times New Roman" w:eastAsia="Times New Roman" w:hAnsi="Times New Roman"/>
          <w:sz w:val="21"/>
          <w:szCs w:val="21"/>
          <w:color w:val="auto"/>
        </w:rPr>
      </w:pPr>
    </w:p>
    <w:p>
      <w:pPr>
        <w:jc w:val="both"/>
        <w:ind w:firstLine="872"/>
        <w:spacing w:after="0" w:line="236" w:lineRule="auto"/>
        <w:tabs>
          <w:tab w:leader="none" w:pos="175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Correction of Mistakes</w:t>
      </w:r>
      <w:r>
        <w:rPr>
          <w:rFonts w:ascii="Times New Roman" w:cs="Times New Roman" w:eastAsia="Times New Roman" w:hAnsi="Times New Roman"/>
          <w:sz w:val="22"/>
          <w:szCs w:val="22"/>
          <w:color w:val="auto"/>
        </w:rPr>
        <w:t>. In the event the Committee discovers that a mistake has been made in an allocation to or distribution from any Account, or any other mistake which affects an Account, it will correct the mistake as soon as practicable. If an overpayment has been made, the Committee will seek cash reimbursement. (i) For pre-2005 Benefits, if an underpayment has been made, the amount of the underpayment will be paid pursuant to Article XIII unless the Committee determines the amount to be minimal, in which case it will be paid as a lump sum payment. (ii) For post-2004 Benefits, if an underpayment has been made, the amount of underpayment will be made as soon as possible.</w:t>
      </w:r>
    </w:p>
    <w:p>
      <w:pPr>
        <w:spacing w:after="0" w:line="177"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6.7. </w:t>
      </w:r>
      <w:r>
        <w:rPr>
          <w:rFonts w:ascii="Times New Roman" w:cs="Times New Roman" w:eastAsia="Times New Roman" w:hAnsi="Times New Roman"/>
          <w:sz w:val="22"/>
          <w:szCs w:val="22"/>
          <w:b w:val="1"/>
          <w:bCs w:val="1"/>
          <w:u w:val="single" w:color="auto"/>
          <w:color w:val="auto"/>
        </w:rPr>
        <w:t>No Responsibility for Results of Reference Investment Funds</w:t>
      </w:r>
      <w:r>
        <w:rPr>
          <w:rFonts w:ascii="Times New Roman" w:cs="Times New Roman" w:eastAsia="Times New Roman" w:hAnsi="Times New Roman"/>
          <w:sz w:val="22"/>
          <w:szCs w:val="22"/>
          <w:color w:val="auto"/>
        </w:rPr>
        <w:t>. The Company shall not,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Participating Employers, the Board of Directors, the Compensation Committee and the Committee shall not, have any responsibility or liability in the event any Reference Investment Fund selected by any Participant shall result in any reduction in any Deferred Amount or reduce from one Valuation Date to the next Valuation Date the amount of such Participant’s Deferred Compensation or fail to result in any increase of Deferred Compensation.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PAYMENT OF DEFERRED COMPENSATION</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Section 7.1. </w:t>
      </w:r>
      <w:r>
        <w:rPr>
          <w:rFonts w:ascii="Times New Roman" w:cs="Times New Roman" w:eastAsia="Times New Roman" w:hAnsi="Times New Roman"/>
          <w:sz w:val="22"/>
          <w:szCs w:val="22"/>
          <w:b w:val="1"/>
          <w:bCs w:val="1"/>
          <w:u w:val="single" w:color="auto"/>
          <w:color w:val="auto"/>
        </w:rPr>
        <w:t>Distributions Events</w:t>
      </w:r>
      <w:r>
        <w:rPr>
          <w:rFonts w:ascii="Times New Roman" w:cs="Times New Roman" w:eastAsia="Times New Roman" w:hAnsi="Times New Roman"/>
          <w:sz w:val="22"/>
          <w:szCs w:val="22"/>
          <w:color w:val="auto"/>
        </w:rPr>
        <w:t>. Deferred Compensation under the Plan shall be payable as follows:</w:t>
      </w:r>
    </w:p>
    <w:p>
      <w:pPr>
        <w:spacing w:after="0" w:line="210" w:lineRule="exact"/>
        <w:rPr>
          <w:sz w:val="20"/>
          <w:szCs w:val="20"/>
          <w:color w:val="auto"/>
        </w:rPr>
      </w:pPr>
    </w:p>
    <w:p>
      <w:pPr>
        <w:ind w:firstLine="872"/>
        <w:spacing w:after="0" w:line="258" w:lineRule="auto"/>
        <w:tabs>
          <w:tab w:leader="none" w:pos="175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from service for Other than Retirement, Death or After Becoming Disabled</w:t>
      </w:r>
      <w:r>
        <w:rPr>
          <w:rFonts w:ascii="Times New Roman" w:cs="Times New Roman" w:eastAsia="Times New Roman" w:hAnsi="Times New Roman"/>
          <w:sz w:val="22"/>
          <w:szCs w:val="22"/>
          <w:color w:val="auto"/>
        </w:rPr>
        <w:t>. In the event that a Participant’s Employment with the Company or any Participating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2" w:name="page153"/>
    <w:bookmarkEnd w:id="152"/>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Employer shall be terminated by reason of voluntary termination, layoff due to job elimination or job relocation, involuntary termination for any reason or any other termination for any other reason other than Retirement, Death or after becoming Disabled, the entire amount of his or her Deferred Compensation shall be paid within sixty (60) days after such termination of Employment;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if a Participant immediately upon termination becomes an employee of any Subsidiary of the Company, such Participant shall not be deemed to have had a separation from service with the Company until the Participant’s termination from the Subsidiary and all members of the control group (as defined under Section 414 of the Code) of the Company for the purpose of this Section 7.1, although such Participant shall no longer be an Eligible Employee if such Subsidiary is not a Participating Employer.</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following is an additional provision applying only as a Post-2004 Provision to Post-2004 Benefits)</w:t>
      </w:r>
    </w:p>
    <w:p>
      <w:pPr>
        <w:spacing w:after="0" w:line="20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Further provided, that if the Participant is a Specified Employee upon separation from service, then the entire amount of Deferred Compensation shall be payable on the first business day that is more than six (6) months following the separation from service.</w:t>
      </w:r>
    </w:p>
    <w:p>
      <w:pPr>
        <w:spacing w:after="0" w:line="173"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The phrase termination of employment, or words to a similar effect, shall mean a separation from service within the meaning of Section 409A of the Code, except that for purposes of establishing whether an employee has had a separation from service, the employee will be deemed to have a separation from service on the date of termination, if the employee after the date of termination is not reasonably anticipated to provide a level of bona fide services that exceeds 25% of the average level of bona fide services provided by the employee in the immediately preceding 36 months (or the total period of employment, if less than 36 months), within the meaning of Section 409A of tax code.</w:t>
      </w:r>
    </w:p>
    <w:p>
      <w:pPr>
        <w:spacing w:after="0" w:line="181" w:lineRule="exact"/>
        <w:rPr>
          <w:sz w:val="20"/>
          <w:szCs w:val="20"/>
          <w:color w:val="auto"/>
        </w:rPr>
      </w:pPr>
    </w:p>
    <w:p>
      <w:pPr>
        <w:jc w:val="both"/>
        <w:ind w:firstLine="872"/>
        <w:spacing w:after="0" w:line="244" w:lineRule="auto"/>
        <w:tabs>
          <w:tab w:leader="none" w:pos="176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In the event of a Participant’s death (whether before or after his or her Retirement or Disability), the entire amount of his or her Deferred Compensation shall be paid to his or her Beneficiaries in a lump sum within sixty (60) days after the date of such Participant’s death.</w:t>
      </w:r>
    </w:p>
    <w:p>
      <w:pPr>
        <w:spacing w:after="0" w:line="173" w:lineRule="exact"/>
        <w:rPr>
          <w:rFonts w:ascii="Times New Roman" w:cs="Times New Roman" w:eastAsia="Times New Roman" w:hAnsi="Times New Roman"/>
          <w:sz w:val="22"/>
          <w:szCs w:val="22"/>
          <w:color w:val="auto"/>
        </w:rPr>
      </w:pPr>
    </w:p>
    <w:p>
      <w:pPr>
        <w:jc w:val="both"/>
        <w:ind w:firstLine="872"/>
        <w:spacing w:after="0" w:line="238" w:lineRule="auto"/>
        <w:tabs>
          <w:tab w:leader="none" w:pos="175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from Service by Retirement or Becoming Disabled</w:t>
      </w:r>
      <w:r>
        <w:rPr>
          <w:rFonts w:ascii="Times New Roman" w:cs="Times New Roman" w:eastAsia="Times New Roman" w:hAnsi="Times New Roman"/>
          <w:sz w:val="22"/>
          <w:szCs w:val="22"/>
          <w:color w:val="auto"/>
        </w:rPr>
        <w:t>. In the event a Participant shall separate from service after meeting the requirements for Retirement or becoming Disabled, the distribution of his or her Deferred Compensation shall be made in accordance with the election of such Participant made in accordance with subsection (d), subsection (e) or subsection (f) of this Section 7.1, (i) or, if no election has been made by such Participant, in accordance with Section 7.2 of the Plan.</w:t>
      </w:r>
    </w:p>
    <w:p>
      <w:pPr>
        <w:spacing w:after="0" w:line="176" w:lineRule="exact"/>
        <w:rPr>
          <w:rFonts w:ascii="Times New Roman" w:cs="Times New Roman" w:eastAsia="Times New Roman" w:hAnsi="Times New Roman"/>
          <w:sz w:val="22"/>
          <w:szCs w:val="22"/>
          <w:color w:val="auto"/>
        </w:rPr>
      </w:pPr>
    </w:p>
    <w:p>
      <w:pPr>
        <w:jc w:val="both"/>
        <w:ind w:firstLine="872"/>
        <w:spacing w:after="0" w:line="238" w:lineRule="auto"/>
        <w:tabs>
          <w:tab w:leader="none" w:pos="176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accordance with Elections</w:t>
      </w:r>
      <w:r>
        <w:rPr>
          <w:rFonts w:ascii="Times New Roman" w:cs="Times New Roman" w:eastAsia="Times New Roman" w:hAnsi="Times New Roman"/>
          <w:sz w:val="22"/>
          <w:szCs w:val="22"/>
          <w:color w:val="auto"/>
        </w:rPr>
        <w:t>. If Deferred Compensation has not been paid pursuant to subsections (a) or (b) above, then it shall be paid pursuant to the time and form of the elections made pursuant to this subsection (d). A Participant must, at the time he or she notifies the Committee of his or her election to have all or a portion of his or her Deferrable Salary or Net Performance Compensation in respect of any Plan Year payable as Deferred Compensation under the Plan and, to the extent applicable, at the time of a Subsequent Deferral Election made 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2"/>
          <w:szCs w:val="22"/>
          <w:color w:val="auto"/>
        </w:rPr>
        <w:t>accordance with Section 7.1(f), specify the payment of such Deferred Compensation only in the following forms thereof:</w:t>
      </w:r>
    </w:p>
    <w:p>
      <w:pPr>
        <w:spacing w:after="0" w:line="206" w:lineRule="exact"/>
        <w:rPr>
          <w:sz w:val="20"/>
          <w:szCs w:val="20"/>
          <w:color w:val="auto"/>
        </w:rPr>
      </w:pPr>
    </w:p>
    <w:p>
      <w:pPr>
        <w:ind w:left="880" w:firstLine="789"/>
        <w:spacing w:after="0" w:line="258" w:lineRule="auto"/>
        <w:tabs>
          <w:tab w:leader="none" w:pos="252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applies as a Pre-2005 Provision) In a lump sum on the 15</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of January following the second anniversary of the date such election of the Deferred Salary Amount or Deferred Performance Amount was made;</w:t>
      </w:r>
    </w:p>
    <w:p>
      <w:pPr>
        <w:spacing w:after="0" w:line="158" w:lineRule="exact"/>
        <w:rPr>
          <w:sz w:val="20"/>
          <w:szCs w:val="20"/>
          <w:color w:val="auto"/>
        </w:rPr>
      </w:pPr>
    </w:p>
    <w:p>
      <w:pPr>
        <w:jc w:val="both"/>
        <w:ind w:left="880" w:firstLine="1594"/>
        <w:spacing w:after="0" w:line="251" w:lineRule="auto"/>
        <w:rPr>
          <w:sz w:val="20"/>
          <w:szCs w:val="20"/>
          <w:color w:val="auto"/>
        </w:rPr>
      </w:pPr>
      <w:r>
        <w:rPr>
          <w:rFonts w:ascii="Times New Roman" w:cs="Times New Roman" w:eastAsia="Times New Roman" w:hAnsi="Times New Roman"/>
          <w:sz w:val="21"/>
          <w:szCs w:val="21"/>
          <w:color w:val="auto"/>
        </w:rPr>
        <w:t>(Only applies as a Post-2004 Provision) In a lump sum on the 15</w:t>
      </w:r>
      <w:r>
        <w:rPr>
          <w:rFonts w:ascii="Times New Roman" w:cs="Times New Roman" w:eastAsia="Times New Roman" w:hAnsi="Times New Roman"/>
          <w:sz w:val="17"/>
          <w:szCs w:val="17"/>
          <w:color w:val="auto"/>
        </w:rPr>
        <w:t>th</w:t>
      </w:r>
      <w:r>
        <w:rPr>
          <w:rFonts w:ascii="Times New Roman" w:cs="Times New Roman" w:eastAsia="Times New Roman" w:hAnsi="Times New Roman"/>
          <w:sz w:val="21"/>
          <w:szCs w:val="21"/>
          <w:color w:val="auto"/>
        </w:rPr>
        <w:t xml:space="preserve"> of the January following the specified anniversary of the end of the Plan Year the Deferred Compensation was earned, unless the deferral is in respect to a Performance Grant Period greater than 1 year, then following the specified anniversary of the end of the Performance Grant Period in which the award would have otherwise been payable in the immediate subsequent year, in either case, where the Participant specifies an anniversary of between 2 and 20 years at the time of election to defer; or</w:t>
      </w:r>
    </w:p>
    <w:p>
      <w:pPr>
        <w:spacing w:after="0" w:line="168" w:lineRule="exact"/>
        <w:rPr>
          <w:sz w:val="20"/>
          <w:szCs w:val="20"/>
          <w:color w:val="auto"/>
        </w:rPr>
      </w:pPr>
    </w:p>
    <w:p>
      <w:pPr>
        <w:jc w:val="both"/>
        <w:ind w:left="880" w:firstLine="789"/>
        <w:spacing w:after="0" w:line="238" w:lineRule="auto"/>
        <w:tabs>
          <w:tab w:leader="none" w:pos="258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 lump sum on the fifteenth (15th) day of January of the year following the year of such Participant’s Retirement or Disability (the following clause only applies as a Post-2005 Provision with respect to Post-2005 Benefits) provided, however, that if the Participant is a Specified Employee upon Retirement, the Lump Sum shall be payable on the later of (1) the first business day that is more than six (6) months following Retirement or (2) the fifteenth day of January of the year following the year of such Participant’s Retirement; or</w:t>
      </w:r>
    </w:p>
    <w:p>
      <w:pPr>
        <w:spacing w:after="0" w:line="176" w:lineRule="exact"/>
        <w:rPr>
          <w:rFonts w:ascii="Times New Roman" w:cs="Times New Roman" w:eastAsia="Times New Roman" w:hAnsi="Times New Roman"/>
          <w:sz w:val="22"/>
          <w:szCs w:val="22"/>
          <w:color w:val="auto"/>
        </w:rPr>
      </w:pPr>
    </w:p>
    <w:p>
      <w:pPr>
        <w:jc w:val="both"/>
        <w:ind w:left="880" w:firstLine="789"/>
        <w:spacing w:after="0" w:line="236" w:lineRule="auto"/>
        <w:tabs>
          <w:tab w:leader="none" w:pos="264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only applies as a Pre-2005 Provision) In annual installments over a period of not less than five (5) or more than fifteen (15) years, commencing in each case on the 15th day of January of the year following the date of such Participant’s Retirement or Disability, each installment to equal the aggregate amount of all Deferred Compensation of such Participant then remaining in his or her Account or Accounts subject to such election, determined as at the Valuation Date immediately prior to such distribution date, divided by the number of installments then remaining to be made (including the installment to be paid on such distribution date);</w:t>
      </w:r>
    </w:p>
    <w:p>
      <w:pPr>
        <w:spacing w:after="0" w:line="181" w:lineRule="exact"/>
        <w:rPr>
          <w:rFonts w:ascii="Times New Roman" w:cs="Times New Roman" w:eastAsia="Times New Roman" w:hAnsi="Times New Roman"/>
          <w:sz w:val="22"/>
          <w:szCs w:val="22"/>
          <w:color w:val="auto"/>
        </w:rPr>
      </w:pPr>
    </w:p>
    <w:p>
      <w:pPr>
        <w:jc w:val="both"/>
        <w:ind w:left="880" w:firstLine="789"/>
        <w:spacing w:after="0" w:line="234" w:lineRule="auto"/>
        <w:tabs>
          <w:tab w:leader="none" w:pos="263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only applies as a Post-2004 Provision) In annual installments over a period specified by the Participant at the time of the deferral election of no less than 2 years and no more than fifteen (15) years, commencing in each case on the 15th day of January of the year following the date of such Participant’s Retirement or Disability provided, however, that if the Participant is a Specified Employee upon Retirement the first installment shall be payable at the later of (1) the first business day that is more than six (6) months following Retirement, or (2) the fifteenth day of January of the year following the date of such Participant’s Retirement, each installment to equal the aggregate amount of all Deferred Compensation of such Participant then remaining in his or her Account or Accounts subject to such election, determined as at the Valuation Date immediately prior to such distribution date, divided by the number of installments then remaining to be made (including the installment to be paid on such distribution date); or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4" w:name="page155"/>
    <w:bookmarkEnd w:id="154"/>
    <w:p>
      <w:pPr>
        <w:jc w:val="both"/>
        <w:ind w:left="880" w:firstLine="797"/>
        <w:spacing w:after="0" w:line="234" w:lineRule="auto"/>
        <w:rPr>
          <w:sz w:val="20"/>
          <w:szCs w:val="20"/>
          <w:color w:val="auto"/>
        </w:rPr>
      </w:pPr>
      <w:r>
        <w:rPr>
          <w:rFonts w:ascii="Times New Roman" w:cs="Times New Roman" w:eastAsia="Times New Roman" w:hAnsi="Times New Roman"/>
          <w:sz w:val="22"/>
          <w:szCs w:val="22"/>
          <w:color w:val="auto"/>
        </w:rPr>
        <w:t>(v) (The following only applies as a Post-2004 Provision) In annual installments over a period specified by the Participant at the time of the deferral election of no more than fifteen (15) years, commencing in each case on the 15th day of January following the specified anniversary of the end of the Plan Year the Deferred Compensation was earned unless the deferral is in respect to a Performance Grant Period greater than 1 year, then following the specified anniversary of the end of the Performance Grant Period, in either case, where the Participant specifies an anniversary of between 2 and 20 years at the time of election to defer, each installment to equal the aggregate amount of all Deferred Compensation of such Participant then remaining in his or her Account or Accounts subject to such election, determined as at the Valuation Date immediately prior to such distribution date, divided by the number of installments then remaining to be made (including the installment to be paid on such distribution date).</w:t>
      </w:r>
    </w:p>
    <w:p>
      <w:pPr>
        <w:spacing w:after="0" w:line="183" w:lineRule="exact"/>
        <w:rPr>
          <w:sz w:val="20"/>
          <w:szCs w:val="20"/>
          <w:color w:val="auto"/>
        </w:rPr>
      </w:pPr>
    </w:p>
    <w:p>
      <w:pPr>
        <w:jc w:val="both"/>
        <w:ind w:firstLine="872"/>
        <w:spacing w:after="0" w:line="235" w:lineRule="auto"/>
        <w:tabs>
          <w:tab w:leader="none" w:pos="175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following only applies as a Pre-2005 Provision) </w:t>
      </w:r>
      <w:r>
        <w:rPr>
          <w:rFonts w:ascii="Times New Roman" w:cs="Times New Roman" w:eastAsia="Times New Roman" w:hAnsi="Times New Roman"/>
          <w:sz w:val="22"/>
          <w:szCs w:val="22"/>
          <w:u w:val="single" w:color="auto"/>
          <w:color w:val="auto"/>
        </w:rPr>
        <w:t>Extension of Deferral Period</w:t>
      </w:r>
      <w:r>
        <w:rPr>
          <w:rFonts w:ascii="Times New Roman" w:cs="Times New Roman" w:eastAsia="Times New Roman" w:hAnsi="Times New Roman"/>
          <w:sz w:val="22"/>
          <w:szCs w:val="22"/>
          <w:color w:val="auto"/>
        </w:rPr>
        <w:t>. If the deferral period for any Deferred Amount specified by a Participant in an effective Agreement (or in any subsequent election form pursuant to this subsection (e)) is two years (as provided in clause (i) of subsection (d) of this Section 7.1), such Participant may extend the deferral of such Deferred Amount at his or her election to any date permitted by Section 7.1(d) if, and only if, such election is made at least twelve (12) months prior to the expiration of the deferral period provided under such Agreement (or subsequent election form) and in the calendar year prior to the calendar year during which such Deferred Compensation would have been paid but for this clause.</w:t>
      </w:r>
    </w:p>
    <w:p>
      <w:pPr>
        <w:spacing w:after="0" w:line="183" w:lineRule="exact"/>
        <w:rPr>
          <w:rFonts w:ascii="Times New Roman" w:cs="Times New Roman" w:eastAsia="Times New Roman" w:hAnsi="Times New Roman"/>
          <w:sz w:val="22"/>
          <w:szCs w:val="22"/>
          <w:color w:val="auto"/>
        </w:rPr>
      </w:pPr>
    </w:p>
    <w:p>
      <w:pPr>
        <w:jc w:val="both"/>
        <w:ind w:firstLine="872"/>
        <w:spacing w:after="0" w:line="238" w:lineRule="auto"/>
        <w:tabs>
          <w:tab w:leader="none" w:pos="1727"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following only applies as a Post-2004 Provision) </w:t>
      </w:r>
      <w:r>
        <w:rPr>
          <w:rFonts w:ascii="Times New Roman" w:cs="Times New Roman" w:eastAsia="Times New Roman" w:hAnsi="Times New Roman"/>
          <w:sz w:val="22"/>
          <w:szCs w:val="22"/>
          <w:u w:val="single" w:color="auto"/>
          <w:color w:val="auto"/>
        </w:rPr>
        <w:t>Subsequent Deferral Elections</w:t>
      </w:r>
      <w:r>
        <w:rPr>
          <w:rFonts w:ascii="Times New Roman" w:cs="Times New Roman" w:eastAsia="Times New Roman" w:hAnsi="Times New Roman"/>
          <w:sz w:val="22"/>
          <w:szCs w:val="22"/>
          <w:color w:val="auto"/>
        </w:rPr>
        <w:t>. A Participant may elect, in such manner (written or electronic) as permitted by the Committee in accordance with this Section 7.1(f), to change the time and/or form of payment previously elected in accordance with Section 7.1(d) with respect to an amount of Deferred Compensation under the Plan (a “Subsequent Deferral Election”). A Subsequent Deferral Election shall be irrevocable and shall be made in accordance with the following rules:</w:t>
      </w:r>
    </w:p>
    <w:p>
      <w:pPr>
        <w:spacing w:after="0" w:line="176" w:lineRule="exact"/>
        <w:rPr>
          <w:rFonts w:ascii="Times New Roman" w:cs="Times New Roman" w:eastAsia="Times New Roman" w:hAnsi="Times New Roman"/>
          <w:sz w:val="22"/>
          <w:szCs w:val="22"/>
          <w:color w:val="auto"/>
        </w:rPr>
      </w:pPr>
    </w:p>
    <w:p>
      <w:pPr>
        <w:ind w:left="880" w:right="20" w:firstLine="789"/>
        <w:spacing w:after="0" w:line="258" w:lineRule="auto"/>
        <w:tabs>
          <w:tab w:leader="none" w:pos="2529"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make only one Subsequent Deferral Election with respect to each Account to which Deferred Compensation has been credited for each Plan Year (or Performance Grant Period, as applicable).</w:t>
      </w:r>
    </w:p>
    <w:p>
      <w:pPr>
        <w:spacing w:after="0" w:line="158" w:lineRule="exact"/>
        <w:rPr>
          <w:rFonts w:ascii="Times New Roman" w:cs="Times New Roman" w:eastAsia="Times New Roman" w:hAnsi="Times New Roman"/>
          <w:sz w:val="22"/>
          <w:szCs w:val="22"/>
          <w:color w:val="auto"/>
        </w:rPr>
      </w:pPr>
    </w:p>
    <w:p>
      <w:pPr>
        <w:ind w:left="880" w:right="20" w:firstLine="789"/>
        <w:spacing w:after="0" w:line="258" w:lineRule="auto"/>
        <w:tabs>
          <w:tab w:leader="none" w:pos="2589"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Subsequent Deferral Election may only apply to Deferred Compensation that, if not originally deferred pursuant to Article IV, would have been payable to the Participant in cash.</w:t>
      </w:r>
    </w:p>
    <w:p>
      <w:pPr>
        <w:spacing w:after="0" w:line="158" w:lineRule="exact"/>
        <w:rPr>
          <w:rFonts w:ascii="Times New Roman" w:cs="Times New Roman" w:eastAsia="Times New Roman" w:hAnsi="Times New Roman"/>
          <w:sz w:val="22"/>
          <w:szCs w:val="22"/>
          <w:color w:val="auto"/>
        </w:rPr>
      </w:pPr>
    </w:p>
    <w:p>
      <w:pPr>
        <w:jc w:val="both"/>
        <w:ind w:left="880" w:firstLine="789"/>
        <w:spacing w:after="0" w:line="235" w:lineRule="auto"/>
        <w:tabs>
          <w:tab w:leader="none" w:pos="2649"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Subsequent Deferral Election (A) shall be irrevocable, (B) may not take effect until at least twelve (12) months after the date on which it is made by the Participant, (C) to be effective with respect to Deferred Compensation otherwise payable at a specified time or pursuant to a fixed schedule, must be made not not less than twelve (12) months prior to the date of the first scheduled payment of such Deferred Compensation, and (D) must delay the payment date (or payment commencement date) of the applicable Deferred Compensation for a period of at least five (5) years after the date that payment otherwise would have been made (or commenced) in accordance with the Participant’s prior election under Section 7.1(d) (except as may otherwise be permitted under Section 409A of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5" w:name="page156"/>
    <w:bookmarkEnd w:id="155"/>
    <w:p>
      <w:pPr>
        <w:jc w:val="both"/>
        <w:ind w:left="880"/>
        <w:spacing w:after="0" w:line="244" w:lineRule="auto"/>
        <w:rPr>
          <w:sz w:val="20"/>
          <w:szCs w:val="20"/>
          <w:color w:val="auto"/>
        </w:rPr>
      </w:pPr>
      <w:r>
        <w:rPr>
          <w:rFonts w:ascii="Times New Roman" w:cs="Times New Roman" w:eastAsia="Times New Roman" w:hAnsi="Times New Roman"/>
          <w:sz w:val="22"/>
          <w:szCs w:val="22"/>
          <w:color w:val="auto"/>
        </w:rPr>
        <w:t>Code), provided that in no event may a Subsequent Deferral Election result in a payment of Deferred Compensation being made (or commenced) later than January 15th following the 20th anniversary of the end of the Plan Year (or Performance Grant Period, as applicable) in which the Deferred Compensation was earned.</w:t>
      </w:r>
    </w:p>
    <w:p>
      <w:pPr>
        <w:spacing w:after="0" w:line="173" w:lineRule="exact"/>
        <w:rPr>
          <w:sz w:val="20"/>
          <w:szCs w:val="20"/>
          <w:color w:val="auto"/>
        </w:rPr>
      </w:pPr>
    </w:p>
    <w:p>
      <w:pPr>
        <w:jc w:val="both"/>
        <w:ind w:left="880" w:firstLine="789"/>
        <w:spacing w:after="0" w:line="239" w:lineRule="auto"/>
        <w:tabs>
          <w:tab w:leader="none" w:pos="2637"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may a Subsequent Deferral Election result in the acceleration of a payment in violation of Section 409A of the Code, and the Committee shall disregard any Subsequent Deferral Election by a Participant to the extent such election would result in such an acceleration or that otherwise does not comply with any of the terms of this Section 7.1(f).</w:t>
      </w:r>
    </w:p>
    <w:p>
      <w:pPr>
        <w:spacing w:after="0" w:line="17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7.2. </w:t>
      </w:r>
      <w:r>
        <w:rPr>
          <w:rFonts w:ascii="Times New Roman" w:cs="Times New Roman" w:eastAsia="Times New Roman" w:hAnsi="Times New Roman"/>
          <w:sz w:val="22"/>
          <w:szCs w:val="22"/>
          <w:b w:val="1"/>
          <w:bCs w:val="1"/>
          <w:u w:val="single" w:color="auto"/>
          <w:color w:val="auto"/>
        </w:rPr>
        <w:t>Elections of Deferral Period and Payment Forms</w:t>
      </w:r>
      <w:r>
        <w:rPr>
          <w:rFonts w:ascii="Times New Roman" w:cs="Times New Roman" w:eastAsia="Times New Roman" w:hAnsi="Times New Roman"/>
          <w:sz w:val="22"/>
          <w:szCs w:val="22"/>
          <w:color w:val="auto"/>
        </w:rPr>
        <w:t>. With respect to any Deferred Amount of an active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the period of deferral and form of distribution will be determined in accordance with the elections in Section 7.1 except as otherwise determined under this Section 7.2 as follows:</w:t>
      </w:r>
    </w:p>
    <w:p>
      <w:pPr>
        <w:spacing w:after="0" w:line="171" w:lineRule="exact"/>
        <w:rPr>
          <w:sz w:val="20"/>
          <w:szCs w:val="20"/>
          <w:color w:val="auto"/>
        </w:rPr>
      </w:pPr>
    </w:p>
    <w:p>
      <w:pPr>
        <w:jc w:val="both"/>
        <w:ind w:firstLine="872"/>
        <w:spacing w:after="0" w:line="234" w:lineRule="auto"/>
        <w:tabs>
          <w:tab w:leader="none" w:pos="175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Deferral Period Election</w:t>
      </w:r>
      <w:r>
        <w:rPr>
          <w:rFonts w:ascii="Times New Roman" w:cs="Times New Roman" w:eastAsia="Times New Roman" w:hAnsi="Times New Roman"/>
          <w:sz w:val="22"/>
          <w:szCs w:val="22"/>
          <w:color w:val="auto"/>
        </w:rPr>
        <w:t>. With respect to any Deferred Amount of a Participant for which no effective election as to time of payment has been filed with the Committee, such related Deferred Compensation will be paid in a lump sum on the earlier of (a) the second (2nd) anniversary of (i) to the extent such Deferred Compensation is a Deferred Performance Amount, the date such Deferred Performance Amount would have been paid (but for such deferral election) or (ii) to the extent such Deferred Compensation is a Deferred Salary Amount, the fifteenth (15th) day of January of the year following the Plan Year during which such Deferred Salary Amount would have been paid (but for such deferral election), or (b) the fifteenth (15th) day of the year following the year of such Participant’s Retirement or Disability, (The following clause is a Post-2004 Provision applying only to Post-2004 Benefits) provided that if the Participant retires while a Specified Employee, payment will be on the later of (1) the first business day that is more than six (6) months following the date of Retirement or (2) the fifteenth (15</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day of the year following the Participant’s Retirement.</w:t>
      </w:r>
    </w:p>
    <w:p>
      <w:pPr>
        <w:spacing w:after="0" w:line="179" w:lineRule="exact"/>
        <w:rPr>
          <w:rFonts w:ascii="Times New Roman" w:cs="Times New Roman" w:eastAsia="Times New Roman" w:hAnsi="Times New Roman"/>
          <w:sz w:val="22"/>
          <w:szCs w:val="22"/>
          <w:color w:val="auto"/>
        </w:rPr>
      </w:pPr>
    </w:p>
    <w:p>
      <w:pPr>
        <w:jc w:val="both"/>
        <w:ind w:firstLine="872"/>
        <w:spacing w:after="0" w:line="238" w:lineRule="auto"/>
        <w:tabs>
          <w:tab w:leader="none" w:pos="176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only applies as a Pre-2005 Provision applying to Pre-2005 Benefits) An employee may change an election made under 7.1(d) (ii) or (iii) for his form of distribution if the election is at least 12 months before Retirement. Such extension or change in the election will not be valid until the 12 months have expired. If a distribution would have otherwise been made under this Article VII pursuant to the last election applicable to such Deferred Compensation before the expiration of the 12 months, then the prior election will control the time and form of distribution.</w:t>
      </w:r>
    </w:p>
    <w:p>
      <w:pPr>
        <w:spacing w:after="0" w:line="176" w:lineRule="exact"/>
        <w:rPr>
          <w:rFonts w:ascii="Times New Roman" w:cs="Times New Roman" w:eastAsia="Times New Roman" w:hAnsi="Times New Roman"/>
          <w:sz w:val="22"/>
          <w:szCs w:val="22"/>
          <w:color w:val="auto"/>
        </w:rPr>
      </w:pPr>
    </w:p>
    <w:p>
      <w:pPr>
        <w:jc w:val="both"/>
        <w:ind w:firstLine="872"/>
        <w:spacing w:after="0" w:line="238" w:lineRule="auto"/>
        <w:tabs>
          <w:tab w:leader="none" w:pos="175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only applies as a Pre-2005 Provision applying to Pre-2005 Benefits) Notwithstanding the other provisions of this Section 7.2, employees or retirees may elect to have any or all of their Deferred Compensation paid out as soon as administratively possible in a lump sum payment made at 90% of their Deferred Compensation payable under the other provisions of this Section 7.2 provided that in the case of any elected officer of the Company, such election is only valid if such election is approved by the Compensation Committee in its sole discretion.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6" w:name="page157"/>
    <w:bookmarkEnd w:id="156"/>
    <w:p>
      <w:pPr>
        <w:jc w:val="both"/>
        <w:ind w:firstLine="86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7.3. </w:t>
      </w:r>
      <w:r>
        <w:rPr>
          <w:rFonts w:ascii="Times New Roman" w:cs="Times New Roman" w:eastAsia="Times New Roman" w:hAnsi="Times New Roman"/>
          <w:sz w:val="22"/>
          <w:szCs w:val="22"/>
          <w:b w:val="1"/>
          <w:bCs w:val="1"/>
          <w:u w:val="single" w:color="auto"/>
          <w:color w:val="auto"/>
        </w:rPr>
        <w:t>Minimum Balance</w:t>
      </w:r>
      <w:r>
        <w:rPr>
          <w:rFonts w:ascii="Times New Roman" w:cs="Times New Roman" w:eastAsia="Times New Roman" w:hAnsi="Times New Roman"/>
          <w:sz w:val="22"/>
          <w:szCs w:val="22"/>
          <w:color w:val="auto"/>
        </w:rPr>
        <w:t>. (The following only applies as a Pre-2005 Provision applying to Pre-2005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Notwithstanding the foregoing, in the event that a Participant’s Employment is terminated for any reason and the aggregate undistributed amount of all of his or her Deferred Compensation is $50,000 or less, as at the Valuation Date immediately prior to such termination of Employment, the entire amount of all of his or her Accounts shall be paid in a lump sum within sixty (60) days after his or her termination of Employment.</w:t>
      </w:r>
    </w:p>
    <w:p>
      <w:pPr>
        <w:spacing w:after="0" w:line="181"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(The following only applies as a Post-2004 Provision applying to Post-2004 Benefits). Notwithstanding the foregoing, and to the extent permitted by Section 409A of the Code, the Committee may, in its sole discretion, require a mandatory lump sum payment of a Participant’s Deferred Compensation if the undistributed amount does not exceed the applicable dollar limit under Section 402(g)(1)(B) of the Code, provided that the payment liquidates the Participant’s entire interest in the Plan (applying the Plan aggregation rules).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PAYMENTS FROM THE PLAN</w:t>
      </w:r>
    </w:p>
    <w:p>
      <w:pPr>
        <w:spacing w:after="0" w:line="178"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8.1. </w:t>
      </w:r>
      <w:r>
        <w:rPr>
          <w:rFonts w:ascii="Times New Roman" w:cs="Times New Roman" w:eastAsia="Times New Roman" w:hAnsi="Times New Roman"/>
          <w:sz w:val="22"/>
          <w:szCs w:val="22"/>
          <w:b w:val="1"/>
          <w:bCs w:val="1"/>
          <w:u w:val="single" w:color="auto"/>
          <w:color w:val="auto"/>
        </w:rPr>
        <w:t>Time, Amount and Form of Payment</w:t>
      </w:r>
      <w:r>
        <w:rPr>
          <w:rFonts w:ascii="Times New Roman" w:cs="Times New Roman" w:eastAsia="Times New Roman" w:hAnsi="Times New Roman"/>
          <w:sz w:val="22"/>
          <w:szCs w:val="22"/>
          <w:color w:val="auto"/>
        </w:rPr>
        <w:t>. Each payment of a Participant’s Deferred Compensation to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will be subject to the following rules and any other rules adopted from time to time by the Committee and uniformly applied:</w:t>
      </w:r>
    </w:p>
    <w:p>
      <w:pPr>
        <w:spacing w:after="0" w:line="171" w:lineRule="exact"/>
        <w:rPr>
          <w:sz w:val="20"/>
          <w:szCs w:val="20"/>
          <w:color w:val="auto"/>
        </w:rPr>
      </w:pPr>
    </w:p>
    <w:p>
      <w:pPr>
        <w:jc w:val="both"/>
        <w:ind w:firstLine="872"/>
        <w:spacing w:after="0" w:line="239" w:lineRule="auto"/>
        <w:tabs>
          <w:tab w:leader="none" w:pos="175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and Form of Payment</w:t>
      </w:r>
      <w:r>
        <w:rPr>
          <w:rFonts w:ascii="Times New Roman" w:cs="Times New Roman" w:eastAsia="Times New Roman" w:hAnsi="Times New Roman"/>
          <w:sz w:val="22"/>
          <w:szCs w:val="22"/>
          <w:color w:val="auto"/>
        </w:rPr>
        <w:t>. The Committee will cause the Company (or other Employer, as applicable) to pay, or cause to be paid, the Deferred Compensation of a Participant to such Participant or his or her Beneficiaries at the time or times and in the form (lump sum or installments) specified in Article VII of the Plan and in the Agreement or other payment election form submitted to the Committee in accordance with the terms of the Plan.</w:t>
      </w:r>
    </w:p>
    <w:p>
      <w:pPr>
        <w:spacing w:after="0" w:line="180" w:lineRule="exact"/>
        <w:rPr>
          <w:rFonts w:ascii="Times New Roman" w:cs="Times New Roman" w:eastAsia="Times New Roman" w:hAnsi="Times New Roman"/>
          <w:sz w:val="22"/>
          <w:szCs w:val="22"/>
          <w:color w:val="auto"/>
        </w:rPr>
      </w:pPr>
    </w:p>
    <w:p>
      <w:pPr>
        <w:ind w:firstLine="872"/>
        <w:spacing w:after="0" w:line="258" w:lineRule="auto"/>
        <w:tabs>
          <w:tab w:leader="none" w:pos="176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Amount of Payment</w:t>
      </w:r>
      <w:r>
        <w:rPr>
          <w:rFonts w:ascii="Times New Roman" w:cs="Times New Roman" w:eastAsia="Times New Roman" w:hAnsi="Times New Roman"/>
          <w:sz w:val="22"/>
          <w:szCs w:val="22"/>
          <w:color w:val="auto"/>
        </w:rPr>
        <w:t>. Each amount of Deferred Compensation to be paid to a Participant will be determined as of the Valuation Date on or next preceding the date such payment is due to such Participant.</w:t>
      </w:r>
    </w:p>
    <w:p>
      <w:pPr>
        <w:spacing w:after="0" w:line="158" w:lineRule="exact"/>
        <w:rPr>
          <w:rFonts w:ascii="Times New Roman" w:cs="Times New Roman" w:eastAsia="Times New Roman" w:hAnsi="Times New Roman"/>
          <w:sz w:val="22"/>
          <w:szCs w:val="22"/>
          <w:color w:val="auto"/>
        </w:rPr>
      </w:pPr>
    </w:p>
    <w:p>
      <w:pPr>
        <w:ind w:firstLine="872"/>
        <w:spacing w:after="0" w:line="258" w:lineRule="auto"/>
        <w:tabs>
          <w:tab w:leader="none" w:pos="175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Medium of Payment</w:t>
      </w:r>
      <w:r>
        <w:rPr>
          <w:rFonts w:ascii="Times New Roman" w:cs="Times New Roman" w:eastAsia="Times New Roman" w:hAnsi="Times New Roman"/>
          <w:sz w:val="22"/>
          <w:szCs w:val="22"/>
          <w:color w:val="auto"/>
        </w:rPr>
        <w:t>. Each Participant or his or her Beneficiaries will receive all payments of such Participant’s Deferred Compensation in cash.</w:t>
      </w:r>
    </w:p>
    <w:p>
      <w:pPr>
        <w:spacing w:after="0" w:line="154"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8.2. </w:t>
      </w:r>
      <w:r>
        <w:rPr>
          <w:rFonts w:ascii="Times New Roman" w:cs="Times New Roman" w:eastAsia="Times New Roman" w:hAnsi="Times New Roman"/>
          <w:sz w:val="22"/>
          <w:szCs w:val="22"/>
          <w:b w:val="1"/>
          <w:bCs w:val="1"/>
          <w:u w:val="single" w:color="auto"/>
          <w:color w:val="auto"/>
        </w:rPr>
        <w:t>Acceleration of Payment Upon Change of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Pre-2005 Provision applying to Pre-2005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only. In the event a Change of Control occurs, the entire amount of Deferred Compensation of each Participant shall be immediately paid to such Participant (or, if applicable, his or her Beneficiaries) and no additional deferrals of Performance Compensation, Salary or other cash compensation will be made under the Plan (notwithstanding any outstanding election for such deferrals) and the Plan shall automatically terminate effective as of the Change of Control Date.</w:t>
      </w:r>
    </w:p>
    <w:p>
      <w:pPr>
        <w:spacing w:after="0" w:line="181" w:lineRule="exact"/>
        <w:rPr>
          <w:sz w:val="20"/>
          <w:szCs w:val="20"/>
          <w:color w:val="auto"/>
        </w:rPr>
      </w:pPr>
    </w:p>
    <w:p>
      <w:pPr>
        <w:ind w:firstLine="872"/>
        <w:spacing w:after="0" w:line="258" w:lineRule="auto"/>
        <w:tabs>
          <w:tab w:leader="none" w:pos="176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Post-2004 Provision applying to Post-2004 Benefits only. In the event a Participant incurs a separation from service within two years of the occurrence of a Change of Control Event,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7" w:name="page158"/>
    <w:bookmarkEnd w:id="157"/>
    <w:p>
      <w:pPr>
        <w:jc w:val="both"/>
        <w:spacing w:after="0" w:line="238" w:lineRule="auto"/>
        <w:rPr>
          <w:sz w:val="20"/>
          <w:szCs w:val="20"/>
          <w:color w:val="auto"/>
        </w:rPr>
      </w:pPr>
      <w:r>
        <w:rPr>
          <w:rFonts w:ascii="Times New Roman" w:cs="Times New Roman" w:eastAsia="Times New Roman" w:hAnsi="Times New Roman"/>
          <w:sz w:val="22"/>
          <w:szCs w:val="22"/>
          <w:color w:val="auto"/>
        </w:rPr>
        <w:t>the entire amount of Deferred Compensation of such Participant shall be immediately paid to such Participant (or, if applicable, his or her Beneficiaries), provided, that if the Participant is a Specified Employee upon separation from service, then the entire amount of Deferred Compensation shall be payable on the first business day that is more than six (6) months following the separation from service, and no additional deferrals of Performance Compensation, Salary or other cash compensation will be made under the Plan (notwithstanding any outstanding election for such deferrals).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SOURCE OF PAYMENTS</w:t>
      </w:r>
    </w:p>
    <w:p>
      <w:pPr>
        <w:spacing w:after="0" w:line="178"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9.1. </w:t>
      </w:r>
      <w:r>
        <w:rPr>
          <w:rFonts w:ascii="Times New Roman" w:cs="Times New Roman" w:eastAsia="Times New Roman" w:hAnsi="Times New Roman"/>
          <w:sz w:val="22"/>
          <w:szCs w:val="22"/>
          <w:b w:val="1"/>
          <w:bCs w:val="1"/>
          <w:u w:val="single" w:color="auto"/>
          <w:color w:val="auto"/>
        </w:rPr>
        <w:t>Payments from General Funds of Employers and Rabbi Trusts</w:t>
      </w:r>
      <w:r>
        <w:rPr>
          <w:rFonts w:ascii="Times New Roman" w:cs="Times New Roman" w:eastAsia="Times New Roman" w:hAnsi="Times New Roman"/>
          <w:sz w:val="22"/>
          <w:szCs w:val="22"/>
          <w:color w:val="auto"/>
        </w:rPr>
        <w:t>. All payments of Deferred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under and in accordance with the Plan shall be paid in cash from the general funds of the applicable Employer and there shall be no requirement that any special or separate trust, fund or account shall be established in the name of any Participant or Beneficiary or other segregation of assets made to assure such payments; provided, however, that each of the Company and the Participating Employers intends to establish a Trust and may establish a bookkeeping reserve to meet its obligations under the Plan. To the extent that any Participant, Beneficiary or other person has a right to receive payments of Deferred Compensation from the Company or a Participating Employer under the Plan, such right shall be no greater than the right of any unsecured general creditor of the Company or such Participating Employer.</w:t>
      </w:r>
    </w:p>
    <w:p>
      <w:pPr>
        <w:spacing w:after="0" w:line="178"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Section 9.2. </w:t>
      </w:r>
      <w:r>
        <w:rPr>
          <w:rFonts w:ascii="Times New Roman" w:cs="Times New Roman" w:eastAsia="Times New Roman" w:hAnsi="Times New Roman"/>
          <w:sz w:val="22"/>
          <w:szCs w:val="22"/>
          <w:b w:val="1"/>
          <w:bCs w:val="1"/>
          <w:u w:val="single" w:color="auto"/>
          <w:color w:val="auto"/>
        </w:rPr>
        <w:t>The Trusts</w:t>
      </w:r>
      <w:r>
        <w:rPr>
          <w:rFonts w:ascii="Times New Roman" w:cs="Times New Roman" w:eastAsia="Times New Roman" w:hAnsi="Times New Roman"/>
          <w:sz w:val="22"/>
          <w:szCs w:val="22"/>
          <w:color w:val="auto"/>
        </w:rPr>
        <w:t>. (a) A Trust to be known as the Rabbi Trust for the Deferred Compensation Plan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of the Company (the “Company Trust”) will be established pursuant to a Trust Agreement between the Company and the Trustee and is intended to be maintained as a “grantor trust” under section 671 of the Code. The assets of the Company Trust will be held, invested and disposed of by the Trustee in accordance with the terms of the Company Trust, for the exclusive purpose of paying Deferred Compensation to Participants or their Beneficiaries as and when due under the Plan. The assets of the Company Trust shall at all times be subject to the claims of the Company’s general creditors in the event of the Company’s insolvency or bankruptcy.</w:t>
      </w:r>
    </w:p>
    <w:p>
      <w:pPr>
        <w:spacing w:after="0" w:line="180" w:lineRule="exact"/>
        <w:rPr>
          <w:sz w:val="20"/>
          <w:szCs w:val="20"/>
          <w:color w:val="auto"/>
        </w:rPr>
      </w:pPr>
    </w:p>
    <w:p>
      <w:pPr>
        <w:jc w:val="both"/>
        <w:ind w:firstLine="872"/>
        <w:spacing w:after="0" w:line="234" w:lineRule="auto"/>
        <w:tabs>
          <w:tab w:leader="none" w:pos="176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Participating Employer shall prior to permitting any Eligible Employee to participate in the Plan, enter into and maintain a Trust for the Deferred Compensation Plan for Executives of the Company for Participants who are Employees of such Participating Employer (each an “Employer Trust”), which shall be established pursuant to a Trust Agreement between such Participating Employer and the Trustee and shall be intended to be maintained as a “grantor trust” under 671 of the Code. The assets of each Employer Trust will be held, invested and disposed of by the Trustee in accordance with the terms of the Employer Trust for the exclusive purpose of paying Deferred Compensation to Participants employed by such Participating Employer or their Beneficiaries as and when due under the Plan. The assets of each Employer Trust shall at all times be subject to the claims of the general creditors of the Participating Employer that established such trust in the event of such Participating Employer’s insolvency or bankruptcy.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8" w:name="page159"/>
    <w:bookmarkEnd w:id="158"/>
    <w:p>
      <w:pPr>
        <w:jc w:val="both"/>
        <w:ind w:firstLine="872"/>
        <w:spacing w:after="0" w:line="239" w:lineRule="auto"/>
        <w:tabs>
          <w:tab w:leader="none" w:pos="175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Trust and each Employer Trust (herein collectively referred to as the “Trusts”) shall each contain substantially the same provisions and have the same Trustee and shall, to the extent practicable, be administered and invested jointly, except that the assets shall be separate and subject only to the general creditors of the Employer which is the grantor of the applicable Trust.</w:t>
      </w:r>
    </w:p>
    <w:p>
      <w:pPr>
        <w:spacing w:after="0" w:line="176" w:lineRule="exact"/>
        <w:rPr>
          <w:sz w:val="20"/>
          <w:szCs w:val="20"/>
          <w:color w:val="auto"/>
        </w:rPr>
      </w:pPr>
    </w:p>
    <w:p>
      <w:pPr>
        <w:jc w:val="both"/>
        <w:ind w:firstLine="864"/>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9.3. </w:t>
      </w:r>
      <w:r>
        <w:rPr>
          <w:rFonts w:ascii="Times New Roman" w:cs="Times New Roman" w:eastAsia="Times New Roman" w:hAnsi="Times New Roman"/>
          <w:sz w:val="22"/>
          <w:szCs w:val="22"/>
          <w:b w:val="1"/>
          <w:bCs w:val="1"/>
          <w:u w:val="single" w:color="auto"/>
          <w:color w:val="auto"/>
        </w:rPr>
        <w:t>Contributions and Expenses</w:t>
      </w:r>
      <w:r>
        <w:rPr>
          <w:rFonts w:ascii="Times New Roman" w:cs="Times New Roman" w:eastAsia="Times New Roman" w:hAnsi="Times New Roman"/>
          <w:sz w:val="22"/>
          <w:szCs w:val="22"/>
          <w:color w:val="auto"/>
        </w:rPr>
        <w:t>. To the extent permitted by Section 409A of the Code, The Company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Participating Employers may, from time to time, make contributions to their respective Trusts in accordance with the applicable Trust Agreement and the Plan. Deferred Compensation payable under the Plan and expenses chargeable to the Participants in accordance with the Plan are intended first to be paid from the applicable Trusts. To the extent the funds in such Trusts are not sufficient (or are not paid by the Trustee), all Deferred Compensation shall be paid by the Company or the applicable Participating Employer.</w:t>
      </w:r>
    </w:p>
    <w:p>
      <w:pPr>
        <w:spacing w:after="0" w:line="175"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9.4. </w:t>
      </w:r>
      <w:r>
        <w:rPr>
          <w:rFonts w:ascii="Times New Roman" w:cs="Times New Roman" w:eastAsia="Times New Roman" w:hAnsi="Times New Roman"/>
          <w:sz w:val="22"/>
          <w:szCs w:val="22"/>
          <w:b w:val="1"/>
          <w:bCs w:val="1"/>
          <w:u w:val="single" w:color="auto"/>
          <w:color w:val="auto"/>
        </w:rPr>
        <w:t>Trustee Duties</w:t>
      </w:r>
      <w:r>
        <w:rPr>
          <w:rFonts w:ascii="Times New Roman" w:cs="Times New Roman" w:eastAsia="Times New Roman" w:hAnsi="Times New Roman"/>
          <w:sz w:val="22"/>
          <w:szCs w:val="22"/>
          <w:color w:val="auto"/>
        </w:rPr>
        <w:t>. The powers, duties and responsibilities of the Trustee shall be as set forth in the Trust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and nothing contained in the Plan, either expressly or by implication, shall impose any additional powers, duties or responsibilities upon the Trustee. The Trustee shall make investments in the Trusts as directed by the Committee, consistent with the provisions of the Plan and the Trust Agreements. The Trustee may hold cash and other liquid investments in such amounts as the Committee may deem appropriate.</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Section 9.5. </w:t>
      </w:r>
      <w:r>
        <w:rPr>
          <w:rFonts w:ascii="Times New Roman" w:cs="Times New Roman" w:eastAsia="Times New Roman" w:hAnsi="Times New Roman"/>
          <w:sz w:val="22"/>
          <w:szCs w:val="22"/>
          <w:b w:val="1"/>
          <w:bCs w:val="1"/>
          <w:u w:val="single" w:color="auto"/>
          <w:color w:val="auto"/>
        </w:rPr>
        <w:t>Reversion of Trust Funds to Company or Participating Employer</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872"/>
        <w:spacing w:after="0" w:line="244" w:lineRule="auto"/>
        <w:tabs>
          <w:tab w:leader="none" w:pos="175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no beneficial interest in the Company Trust and no part of the Company Trust shall revert or be repaid to the Company, except the assets will be available to pay the general creditors of the Company in the case of insolvency and as expressly provided in the Plan or the Trust Agreement which establishes the Company Trust.</w:t>
      </w:r>
    </w:p>
    <w:p>
      <w:pPr>
        <w:spacing w:after="0" w:line="173" w:lineRule="exact"/>
        <w:rPr>
          <w:rFonts w:ascii="Times New Roman" w:cs="Times New Roman" w:eastAsia="Times New Roman" w:hAnsi="Times New Roman"/>
          <w:sz w:val="22"/>
          <w:szCs w:val="22"/>
          <w:color w:val="auto"/>
        </w:rPr>
      </w:pPr>
    </w:p>
    <w:p>
      <w:pPr>
        <w:jc w:val="both"/>
        <w:ind w:firstLine="872"/>
        <w:spacing w:after="0" w:line="239" w:lineRule="auto"/>
        <w:tabs>
          <w:tab w:leader="none" w:pos="176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Participating Employer shall have a beneficial interest in such Employer’s Employer Trust and no part of such Employer Trust shall revert or be repaid to such Participating Employer, except the assets will be available to pay the general creditors of the Participating Employer in the case of insolvency and as expressly provided in the Plan or the Trust Agreement which establishes such Employer Trust.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DESIGNATION OF BENEFICIARIES</w:t>
      </w:r>
    </w:p>
    <w:p>
      <w:pPr>
        <w:spacing w:after="0" w:line="178" w:lineRule="exact"/>
        <w:rPr>
          <w:sz w:val="20"/>
          <w:szCs w:val="20"/>
          <w:color w:val="auto"/>
        </w:rPr>
      </w:pPr>
    </w:p>
    <w:p>
      <w:pPr>
        <w:jc w:val="both"/>
        <w:ind w:firstLine="864"/>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10.1. </w:t>
      </w:r>
      <w:r>
        <w:rPr>
          <w:rFonts w:ascii="Times New Roman" w:cs="Times New Roman" w:eastAsia="Times New Roman" w:hAnsi="Times New Roman"/>
          <w:sz w:val="22"/>
          <w:szCs w:val="22"/>
          <w:b w:val="1"/>
          <w:bCs w:val="1"/>
          <w:u w:val="single" w:color="auto"/>
          <w:color w:val="auto"/>
        </w:rPr>
        <w:t>Designation Procedure</w:t>
      </w:r>
      <w:r>
        <w:rPr>
          <w:rFonts w:ascii="Times New Roman" w:cs="Times New Roman" w:eastAsia="Times New Roman" w:hAnsi="Times New Roman"/>
          <w:sz w:val="22"/>
          <w:szCs w:val="22"/>
          <w:color w:val="auto"/>
        </w:rPr>
        <w:t>. Each Participant may designate one beneficiary or several beneficiaries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beneficiary or beneficiaries of a Participant herein referred to as the Participant’s “Beneficiaries”) to receive any balance, or portion thereof, of his or her Accounts which may be payable under the Plan upon his or her death. To be effective, each designation must be in writing on a form provided by the Committee and must be signed by the Participant and filed with the Committee prior to the Participant’s death. Each Participant may name one or more primary Beneficiaries and one or more contingent Beneficiaries; provided that if a Participant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9" w:name="page160"/>
    <w:bookmarkEnd w:id="159"/>
    <w:p>
      <w:pPr>
        <w:jc w:val="both"/>
        <w:spacing w:after="0" w:line="236" w:lineRule="auto"/>
        <w:rPr>
          <w:sz w:val="20"/>
          <w:szCs w:val="20"/>
          <w:color w:val="auto"/>
        </w:rPr>
      </w:pPr>
      <w:r>
        <w:rPr>
          <w:rFonts w:ascii="Times New Roman" w:cs="Times New Roman" w:eastAsia="Times New Roman" w:hAnsi="Times New Roman"/>
          <w:sz w:val="22"/>
          <w:szCs w:val="22"/>
          <w:color w:val="auto"/>
        </w:rPr>
        <w:t>names more than one Beneficiary, the Participant shall designate the percentage payable to each. A Participant may from time to time revoke or change his or her Beneficiaries designation without the consent of any Beneficiary by filing a new designation with the Committee, and each change will revoke all prior designations of Beneficiaries. The last such designation of Beneficiaries received by the Committee shall be controlling; provided, however, that no designation, or change or revocation thereof, shall be effective unless received by the Committee prior to the Participant’s death, and in no event shall it be effective as of a date prior to such receipt.</w:t>
      </w:r>
    </w:p>
    <w:p>
      <w:pPr>
        <w:spacing w:after="0" w:line="177" w:lineRule="exact"/>
        <w:rPr>
          <w:sz w:val="20"/>
          <w:szCs w:val="20"/>
          <w:color w:val="auto"/>
        </w:rPr>
      </w:pPr>
    </w:p>
    <w:p>
      <w:pPr>
        <w:jc w:val="both"/>
        <w:ind w:firstLine="872"/>
        <w:spacing w:after="0" w:line="235" w:lineRule="auto"/>
        <w:tabs>
          <w:tab w:leader="none" w:pos="176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Absence of Designation</w:t>
      </w:r>
      <w:r>
        <w:rPr>
          <w:rFonts w:ascii="Times New Roman" w:cs="Times New Roman" w:eastAsia="Times New Roman" w:hAnsi="Times New Roman"/>
          <w:sz w:val="22"/>
          <w:szCs w:val="22"/>
          <w:color w:val="auto"/>
        </w:rPr>
        <w:t>. If no designation of Beneficiaries is in effect at the time of a Participant’s death,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designated Beneficiary survives the Participant, or if the Participant’s designation of Beneficiaries conflicts with law, then the Participant’s estate shall be the Beneficiary entitled to receive all Deferred Compensation then unpaid. The Committee may direct the Company or any Participating Employer to retain such unpaid Deferred Compensation without liability for any interest thereon or other earnings or gains thereon, until the rights thereto are determined, or the Committee may direct the Company or Participating Subsidiary to pay such unpaid Deferred Compensation into any court of appropriate jurisdiction, and such payment shall completely discharge all liability of the Company and, if applicable, any Participating Employer for unpaid Deferred Compensation.</w:t>
      </w:r>
    </w:p>
    <w:p>
      <w:pPr>
        <w:spacing w:after="0" w:line="178" w:lineRule="exact"/>
        <w:rPr>
          <w:rFonts w:ascii="Times New Roman" w:cs="Times New Roman" w:eastAsia="Times New Roman" w:hAnsi="Times New Roman"/>
          <w:sz w:val="22"/>
          <w:szCs w:val="22"/>
          <w:color w:val="auto"/>
        </w:rPr>
      </w:pPr>
    </w:p>
    <w:p>
      <w:pPr>
        <w:jc w:val="both"/>
        <w:ind w:firstLine="872"/>
        <w:spacing w:after="0" w:line="241" w:lineRule="auto"/>
        <w:tabs>
          <w:tab w:leader="none" w:pos="175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Payment to Minor or Incompetent Beneficiaries</w:t>
      </w:r>
      <w:r>
        <w:rPr>
          <w:rFonts w:ascii="Times New Roman" w:cs="Times New Roman" w:eastAsia="Times New Roman" w:hAnsi="Times New Roman"/>
          <w:sz w:val="22"/>
          <w:szCs w:val="22"/>
          <w:color w:val="auto"/>
        </w:rPr>
        <w:t>. In the event a deceased Participant’s Beneficiary is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minor, is legally incompetent, or cannot be located after reasonable effort, the Committee will make payment to the court-appointed guardian or representative of such Beneficiary, or to a trust established for the benefit of such Beneficiary, as applicable.</w:t>
      </w:r>
    </w:p>
    <w:p>
      <w:pPr>
        <w:spacing w:after="0" w:line="171" w:lineRule="exact"/>
        <w:rPr>
          <w:rFonts w:ascii="Times New Roman" w:cs="Times New Roman" w:eastAsia="Times New Roman" w:hAnsi="Times New Roman"/>
          <w:sz w:val="22"/>
          <w:szCs w:val="22"/>
          <w:color w:val="auto"/>
        </w:rPr>
      </w:pPr>
    </w:p>
    <w:p>
      <w:pPr>
        <w:jc w:val="both"/>
        <w:ind w:firstLine="872"/>
        <w:spacing w:after="0" w:line="238" w:lineRule="auto"/>
        <w:tabs>
          <w:tab w:leader="none" w:pos="176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Judicial Determination</w:t>
      </w:r>
      <w:r>
        <w:rPr>
          <w:rFonts w:ascii="Times New Roman" w:cs="Times New Roman" w:eastAsia="Times New Roman" w:hAnsi="Times New Roman"/>
          <w:sz w:val="22"/>
          <w:szCs w:val="22"/>
          <w:color w:val="auto"/>
        </w:rPr>
        <w:t>. In the event the Committee for any reason considers it improper to direct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as specified in this Section 10.1, it may have a court of competent jurisdiction determine to whom payments should be made, in which event all expenses incurred in obtaining such determination may be deducted from the unpaid Deferred Compensation or charged to the payee. Any such payment shall constitute a complete discharge of all liability of the Employers to such Participant under the Plan.</w:t>
      </w:r>
    </w:p>
    <w:p>
      <w:pPr>
        <w:spacing w:after="0" w:line="177"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Section 10.2. </w:t>
      </w:r>
      <w:r>
        <w:rPr>
          <w:rFonts w:ascii="Times New Roman" w:cs="Times New Roman" w:eastAsia="Times New Roman" w:hAnsi="Times New Roman"/>
          <w:sz w:val="22"/>
          <w:szCs w:val="22"/>
          <w:b w:val="1"/>
          <w:bCs w:val="1"/>
          <w:u w:val="single" w:color="auto"/>
          <w:color w:val="auto"/>
        </w:rPr>
        <w:t>Payment to Participant’s Representative</w:t>
      </w:r>
      <w:r>
        <w:rPr>
          <w:rFonts w:ascii="Times New Roman" w:cs="Times New Roman" w:eastAsia="Times New Roman" w:hAnsi="Times New Roman"/>
          <w:sz w:val="22"/>
          <w:szCs w:val="22"/>
          <w:color w:val="auto"/>
        </w:rPr>
        <w:t>. If a Participant is incompetent to handle his or her affairs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any date designated by such Participant as a date on which a payment of all or a portion of such Participant’s Deferred Compensation is to be made, the Committee will make any payments due to such Participant to his or her court-appointed personal representative or, if none is appointed, the Committee may in its discretion make payments to his or her spouse, a child, a parent, or a brother or sister, or any other person deemed by the Committee to have incurred expenses for the care or maintenance of such Participant, in such manner and proportions as the Committee may determine; provided that the Committee may request a court of competent jurisdiction to determine the payee, in which event, to the extent permitted by Section 409A of the code, all expenses incurred in obtaining the determination may be deducted from the unpaid Deferred Compensation or charged to the payee. Any such payment shall constitute a complete discharge of all liability of the Employers to such Participant under the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0" w:name="page161"/>
    <w:bookmarkEnd w:id="160"/>
    <w:p>
      <w:pPr>
        <w:jc w:val="both"/>
        <w:ind w:firstLine="86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10.3. </w:t>
      </w:r>
      <w:r>
        <w:rPr>
          <w:rFonts w:ascii="Times New Roman" w:cs="Times New Roman" w:eastAsia="Times New Roman" w:hAnsi="Times New Roman"/>
          <w:sz w:val="22"/>
          <w:szCs w:val="22"/>
          <w:b w:val="1"/>
          <w:bCs w:val="1"/>
          <w:u w:val="single" w:color="auto"/>
          <w:color w:val="auto"/>
        </w:rPr>
        <w:t>Unclaimed Benefits</w:t>
      </w:r>
      <w:r>
        <w:rPr>
          <w:rFonts w:ascii="Times New Roman" w:cs="Times New Roman" w:eastAsia="Times New Roman" w:hAnsi="Times New Roman"/>
          <w:sz w:val="22"/>
          <w:szCs w:val="22"/>
          <w:color w:val="auto"/>
        </w:rPr>
        <w:t>. In the event the Committee cannot locate, with reasonable effort, any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entitled to receive a Participant’s unpaid balance of Deferred Compensation the obligation of the Employer to make any payment of such Participant’s Deferred Compensation will be canceled on the fifth anniversary after the first day on which a payment of such Deferred Compensation was due to be paid, but will be reinstated within sixty (60) days after the Participant or a Beneficiary is located.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 OF PLAN</w:t>
      </w:r>
    </w:p>
    <w:p>
      <w:pPr>
        <w:spacing w:after="0" w:line="178"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11.1. </w:t>
      </w:r>
      <w:r>
        <w:rPr>
          <w:rFonts w:ascii="Times New Roman" w:cs="Times New Roman" w:eastAsia="Times New Roman" w:hAnsi="Times New Roman"/>
          <w:sz w:val="22"/>
          <w:szCs w:val="22"/>
          <w:b w:val="1"/>
          <w:bCs w:val="1"/>
          <w:u w:val="single" w:color="auto"/>
          <w:color w:val="auto"/>
        </w:rPr>
        <w:t>Administration</w:t>
      </w:r>
      <w:r>
        <w:rPr>
          <w:rFonts w:ascii="Times New Roman" w:cs="Times New Roman" w:eastAsia="Times New Roman" w:hAnsi="Times New Roman"/>
          <w:sz w:val="22"/>
          <w:szCs w:val="22"/>
          <w:color w:val="auto"/>
        </w:rPr>
        <w:t>. The Plan shall be administered by the Committee, as appointed by the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(and which may be the Compensation Committee). Determinations by the Committee as to any questions arising under the Plan shall be final, conclusive and binding upon all persons including Participants, Beneficiaries, the Company and Participating Employers. A member of the Committee who is also a Participant must abstain from voting on any matter relating to his or her participation in the Plan or to his or her Deferred Compensation.</w:t>
      </w:r>
    </w:p>
    <w:p>
      <w:pPr>
        <w:spacing w:after="0" w:line="177"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11.2. </w:t>
      </w:r>
      <w:r>
        <w:rPr>
          <w:rFonts w:ascii="Times New Roman" w:cs="Times New Roman" w:eastAsia="Times New Roman" w:hAnsi="Times New Roman"/>
          <w:sz w:val="22"/>
          <w:szCs w:val="22"/>
          <w:b w:val="1"/>
          <w:bCs w:val="1"/>
          <w:u w:val="single" w:color="auto"/>
          <w:color w:val="auto"/>
        </w:rPr>
        <w:t>Allocation of Fiduciary Responsibilities: Composition and Powers of 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fiduciaries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the powers and duties described below, and may delegate their duties to the extent permitted under ERISA;</w:t>
      </w:r>
    </w:p>
    <w:p>
      <w:pPr>
        <w:spacing w:after="0" w:line="154" w:lineRule="exact"/>
        <w:rPr>
          <w:sz w:val="20"/>
          <w:szCs w:val="20"/>
          <w:color w:val="auto"/>
        </w:rPr>
      </w:pPr>
    </w:p>
    <w:p>
      <w:pPr>
        <w:jc w:val="both"/>
        <w:ind w:firstLine="872"/>
        <w:spacing w:after="0" w:line="244" w:lineRule="auto"/>
        <w:tabs>
          <w:tab w:leader="none" w:pos="175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Company, through the Compensation Committee, will be responsible for appointing and removing Committee members, approving the adoption of the Plan by each new Participating Employer and designating Eligible Employees.</w:t>
      </w:r>
    </w:p>
    <w:p>
      <w:pPr>
        <w:spacing w:after="0" w:line="173"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w:t>
      </w:r>
    </w:p>
    <w:p>
      <w:pPr>
        <w:spacing w:after="0" w:line="206" w:lineRule="exact"/>
        <w:rPr>
          <w:rFonts w:ascii="Times New Roman" w:cs="Times New Roman" w:eastAsia="Times New Roman" w:hAnsi="Times New Roman"/>
          <w:sz w:val="22"/>
          <w:szCs w:val="22"/>
          <w:color w:val="auto"/>
        </w:rPr>
      </w:pPr>
    </w:p>
    <w:p>
      <w:pPr>
        <w:jc w:val="both"/>
        <w:ind w:left="880" w:firstLine="789"/>
        <w:spacing w:after="0" w:line="238" w:lineRule="auto"/>
        <w:tabs>
          <w:tab w:leader="none" w:pos="2577"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Appointment and Termination of Office</w:t>
      </w:r>
      <w:r>
        <w:rPr>
          <w:rFonts w:ascii="Times New Roman" w:cs="Times New Roman" w:eastAsia="Times New Roman" w:hAnsi="Times New Roman"/>
          <w:sz w:val="22"/>
          <w:szCs w:val="22"/>
          <w:color w:val="auto"/>
        </w:rPr>
        <w:t>. The Committee will consist of not less than three (3) or more than five (5) individuals who will be appointed by and serve at the pleasure of the Compensation Committee. The Compensation Committee will have the right to remove any member of the Committee at any time. A member of the Committee may resign at any time by written resignation to the Committee and the Compensation Committee. The Compensation Committee will appoint a successor to fill any vacancy in the Committee’s membership.</w:t>
      </w:r>
    </w:p>
    <w:p>
      <w:pPr>
        <w:spacing w:after="0" w:line="176" w:lineRule="exact"/>
        <w:rPr>
          <w:rFonts w:ascii="Times New Roman" w:cs="Times New Roman" w:eastAsia="Times New Roman" w:hAnsi="Times New Roman"/>
          <w:sz w:val="22"/>
          <w:szCs w:val="22"/>
          <w:color w:val="auto"/>
        </w:rPr>
      </w:pPr>
    </w:p>
    <w:p>
      <w:pPr>
        <w:jc w:val="both"/>
        <w:ind w:left="880" w:firstLine="789"/>
        <w:spacing w:after="0" w:line="236" w:lineRule="auto"/>
        <w:tabs>
          <w:tab w:leader="none" w:pos="2577"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of Committee</w:t>
      </w:r>
      <w:r>
        <w:rPr>
          <w:rFonts w:ascii="Times New Roman" w:cs="Times New Roman" w:eastAsia="Times New Roman" w:hAnsi="Times New Roman"/>
          <w:sz w:val="22"/>
          <w:szCs w:val="22"/>
          <w:color w:val="auto"/>
        </w:rPr>
        <w:t>. The Committee will elect a Chairman from among its members, and will appoint a Secretary who may or may not be a Committee member. The Committee may appoint or retain such agents (including legal counsel and accountants) who may or may not be Committee members, as it considers necessary for the effective performance of its duties in administering the Plan, and may delegate to such agents such ministerial powers and duties as it considers expedient or appropriate. The Committee may fix the compensation of the agents within the limits set by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1" w:name="page162"/>
    <w:bookmarkEnd w:id="161"/>
    <w:p>
      <w:pPr>
        <w:spacing w:after="0" w:line="258" w:lineRule="auto"/>
        <w:rPr>
          <w:sz w:val="20"/>
          <w:szCs w:val="20"/>
          <w:color w:val="auto"/>
        </w:rPr>
      </w:pPr>
      <w:r>
        <w:rPr>
          <w:rFonts w:ascii="Times New Roman" w:cs="Times New Roman" w:eastAsia="Times New Roman" w:hAnsi="Times New Roman"/>
          <w:sz w:val="22"/>
          <w:szCs w:val="22"/>
          <w:color w:val="auto"/>
        </w:rPr>
        <w:t>Compensation Committee. Committee members who are employed by the Company or a Participating Employer shall serve as such without additional compensation.</w:t>
      </w:r>
    </w:p>
    <w:p>
      <w:pPr>
        <w:spacing w:after="0" w:line="158" w:lineRule="exact"/>
        <w:rPr>
          <w:sz w:val="20"/>
          <w:szCs w:val="20"/>
          <w:color w:val="auto"/>
        </w:rPr>
      </w:pPr>
    </w:p>
    <w:p>
      <w:pPr>
        <w:jc w:val="both"/>
        <w:ind w:firstLine="789"/>
        <w:spacing w:after="0" w:line="236" w:lineRule="auto"/>
        <w:tabs>
          <w:tab w:leader="none" w:pos="1697"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Meetings</w:t>
      </w:r>
      <w:r>
        <w:rPr>
          <w:rFonts w:ascii="Times New Roman" w:cs="Times New Roman" w:eastAsia="Times New Roman" w:hAnsi="Times New Roman"/>
          <w:sz w:val="22"/>
          <w:szCs w:val="22"/>
          <w:color w:val="auto"/>
        </w:rPr>
        <w:t>. The Committee will hold meetings at least annually. A majority of the members then in office will constitute a quorum. All actions of the Committee may be taken with or without a meeting. Each action of the Committee taken at a meeting shall be taken on a majority vote of all members of the Committee then in office. Any action taken without a meeting shall be in writing and signed by a majority of the members of the Committee then in office. The Committee may establish such other rules and procedures for taking action with or without a meeting as it shall deem appropriate.</w:t>
      </w:r>
    </w:p>
    <w:p>
      <w:pPr>
        <w:spacing w:after="0" w:line="181" w:lineRule="exact"/>
        <w:rPr>
          <w:rFonts w:ascii="Times New Roman" w:cs="Times New Roman" w:eastAsia="Times New Roman" w:hAnsi="Times New Roman"/>
          <w:sz w:val="22"/>
          <w:szCs w:val="22"/>
          <w:color w:val="auto"/>
        </w:rPr>
      </w:pPr>
    </w:p>
    <w:p>
      <w:pPr>
        <w:jc w:val="both"/>
        <w:ind w:firstLine="789"/>
        <w:spacing w:after="0" w:line="244" w:lineRule="auto"/>
        <w:tabs>
          <w:tab w:leader="none" w:pos="1697"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Powers of the Committee</w:t>
      </w:r>
      <w:r>
        <w:rPr>
          <w:rFonts w:ascii="Times New Roman" w:cs="Times New Roman" w:eastAsia="Times New Roman" w:hAnsi="Times New Roman"/>
          <w:sz w:val="22"/>
          <w:szCs w:val="22"/>
          <w:color w:val="auto"/>
        </w:rPr>
        <w:t>. The Committee will have primary responsibility for administering the Plan, and all powers necessary to enable it to properly perform its duties, including but not limited to the following powers and duties:</w:t>
      </w:r>
    </w:p>
    <w:p>
      <w:pPr>
        <w:spacing w:after="0" w:line="173" w:lineRule="exact"/>
        <w:rPr>
          <w:rFonts w:ascii="Times New Roman" w:cs="Times New Roman" w:eastAsia="Times New Roman" w:hAnsi="Times New Roman"/>
          <w:sz w:val="22"/>
          <w:szCs w:val="22"/>
          <w:color w:val="auto"/>
        </w:rPr>
      </w:pPr>
    </w:p>
    <w:p>
      <w:pPr>
        <w:jc w:val="both"/>
        <w:ind w:left="860" w:firstLine="726"/>
        <w:spacing w:after="0" w:line="239" w:lineRule="auto"/>
        <w:tabs>
          <w:tab w:leader="none" w:pos="2539"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Rules</w:t>
      </w:r>
      <w:r>
        <w:rPr>
          <w:rFonts w:ascii="Times New Roman" w:cs="Times New Roman" w:eastAsia="Times New Roman" w:hAnsi="Times New Roman"/>
          <w:sz w:val="22"/>
          <w:szCs w:val="22"/>
          <w:color w:val="auto"/>
        </w:rPr>
        <w:t>. The Committee may adopt rules, regulations and procedures as it deems necessary for the performance of its duties under the Plan, except to the extent that such rules, regulations and procedures conflict with the express provisions of the Plan or written policies or directives of the Compensation Committee.</w:t>
      </w:r>
    </w:p>
    <w:p>
      <w:pPr>
        <w:spacing w:after="0" w:line="180" w:lineRule="exact"/>
        <w:rPr>
          <w:rFonts w:ascii="Times New Roman" w:cs="Times New Roman" w:eastAsia="Times New Roman" w:hAnsi="Times New Roman"/>
          <w:sz w:val="22"/>
          <w:szCs w:val="22"/>
          <w:color w:val="auto"/>
        </w:rPr>
      </w:pPr>
    </w:p>
    <w:p>
      <w:pPr>
        <w:jc w:val="both"/>
        <w:ind w:left="860" w:firstLine="726"/>
        <w:spacing w:after="0" w:line="239" w:lineRule="auto"/>
        <w:tabs>
          <w:tab w:leader="none" w:pos="2527"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Committee will have the power to interpret the Plan and to decide all questions arising under the Plan; provided, however, that the Compensation Committee shall also have the power and authority to interpret the Plan and interpretations, rules and regulations adopted by the Compensation Committee shall control.</w:t>
      </w:r>
    </w:p>
    <w:p>
      <w:pPr>
        <w:spacing w:after="0" w:line="180" w:lineRule="exact"/>
        <w:rPr>
          <w:rFonts w:ascii="Times New Roman" w:cs="Times New Roman" w:eastAsia="Times New Roman" w:hAnsi="Times New Roman"/>
          <w:sz w:val="22"/>
          <w:szCs w:val="22"/>
          <w:color w:val="auto"/>
        </w:rPr>
      </w:pPr>
    </w:p>
    <w:p>
      <w:pPr>
        <w:jc w:val="both"/>
        <w:ind w:left="860" w:firstLine="726"/>
        <w:spacing w:after="0" w:line="244" w:lineRule="auto"/>
        <w:tabs>
          <w:tab w:leader="none" w:pos="2527"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Individual Accounts</w:t>
      </w:r>
      <w:r>
        <w:rPr>
          <w:rFonts w:ascii="Times New Roman" w:cs="Times New Roman" w:eastAsia="Times New Roman" w:hAnsi="Times New Roman"/>
          <w:sz w:val="22"/>
          <w:szCs w:val="22"/>
          <w:color w:val="auto"/>
        </w:rPr>
        <w:t>. The Committee, or the Recordkeeper acting for it, will maintain individual Accounts for each Participant and will allocate Equivalents in respect of Deferred Amounts to the proper Accounts.</w:t>
      </w:r>
    </w:p>
    <w:p>
      <w:pPr>
        <w:spacing w:after="0" w:line="173" w:lineRule="exact"/>
        <w:rPr>
          <w:rFonts w:ascii="Times New Roman" w:cs="Times New Roman" w:eastAsia="Times New Roman" w:hAnsi="Times New Roman"/>
          <w:sz w:val="22"/>
          <w:szCs w:val="22"/>
          <w:color w:val="auto"/>
        </w:rPr>
      </w:pPr>
    </w:p>
    <w:p>
      <w:pPr>
        <w:jc w:val="both"/>
        <w:ind w:left="860" w:firstLine="726"/>
        <w:spacing w:after="0" w:line="239" w:lineRule="auto"/>
        <w:tabs>
          <w:tab w:leader="none" w:pos="2539"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 Data</w:t>
      </w:r>
      <w:r>
        <w:rPr>
          <w:rFonts w:ascii="Times New Roman" w:cs="Times New Roman" w:eastAsia="Times New Roman" w:hAnsi="Times New Roman"/>
          <w:sz w:val="22"/>
          <w:szCs w:val="22"/>
          <w:color w:val="auto"/>
        </w:rPr>
        <w:t>. The Committee will request from the Company and the Participating Employers complete information regarding the Deferred Amounts of each Participant and such other information as it considers necessary from time to time, and will treat Employer records as conclusive with respect to such information.</w:t>
      </w:r>
    </w:p>
    <w:p>
      <w:pPr>
        <w:spacing w:after="0" w:line="180" w:lineRule="exact"/>
        <w:rPr>
          <w:rFonts w:ascii="Times New Roman" w:cs="Times New Roman" w:eastAsia="Times New Roman" w:hAnsi="Times New Roman"/>
          <w:sz w:val="22"/>
          <w:szCs w:val="22"/>
          <w:color w:val="auto"/>
        </w:rPr>
      </w:pPr>
    </w:p>
    <w:p>
      <w:pPr>
        <w:jc w:val="both"/>
        <w:ind w:left="860" w:firstLine="726"/>
        <w:spacing w:after="0" w:line="261" w:lineRule="auto"/>
        <w:tabs>
          <w:tab w:leader="none" w:pos="2515"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The Committee will direct the payment of Account balances from the Trust (or from the Company or the Participating Employer, as the case may be), and will specify the Participant (or Beneficiary or Beneficiaries) to be paid and the amount, the time and the conditions, if any, of each payment.</w:t>
      </w:r>
    </w:p>
    <w:p>
      <w:pPr>
        <w:spacing w:after="0" w:line="157" w:lineRule="exact"/>
        <w:rPr>
          <w:rFonts w:ascii="Times New Roman" w:cs="Times New Roman" w:eastAsia="Times New Roman" w:hAnsi="Times New Roman"/>
          <w:sz w:val="21"/>
          <w:szCs w:val="21"/>
          <w:color w:val="auto"/>
        </w:rPr>
      </w:pPr>
    </w:p>
    <w:p>
      <w:pPr>
        <w:ind w:left="860" w:firstLine="726"/>
        <w:spacing w:after="0" w:line="258" w:lineRule="auto"/>
        <w:tabs>
          <w:tab w:leader="none" w:pos="2503"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w:t>
      </w:r>
      <w:r>
        <w:rPr>
          <w:rFonts w:ascii="Times New Roman" w:cs="Times New Roman" w:eastAsia="Times New Roman" w:hAnsi="Times New Roman"/>
          <w:sz w:val="22"/>
          <w:szCs w:val="22"/>
          <w:color w:val="auto"/>
        </w:rPr>
        <w:t>. The Committee will prepare and distribute, or cause to be prepared and distributed, to the Participants copies of the Plan, notices and other</w:t>
      </w:r>
    </w:p>
    <w:p>
      <w:pPr>
        <w:spacing w:after="0" w:line="15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79375</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8" w:right="339" w:bottom="1440" w:gutter="0" w:footer="0" w:header="0"/>
        </w:sectPr>
      </w:pPr>
    </w:p>
    <w:bookmarkStart w:id="162" w:name="page163"/>
    <w:bookmarkEnd w:id="162"/>
    <w:p>
      <w:pPr>
        <w:ind w:left="1740"/>
        <w:spacing w:after="0"/>
        <w:rPr>
          <w:sz w:val="20"/>
          <w:szCs w:val="20"/>
          <w:color w:val="auto"/>
        </w:rPr>
      </w:pPr>
      <w:r>
        <w:rPr>
          <w:rFonts w:ascii="Times New Roman" w:cs="Times New Roman" w:eastAsia="Times New Roman" w:hAnsi="Times New Roman"/>
          <w:sz w:val="22"/>
          <w:szCs w:val="22"/>
          <w:color w:val="auto"/>
        </w:rPr>
        <w:t>information about the Plan in such manner as it deems appropriate and in compliance with applicable law.</w:t>
      </w:r>
    </w:p>
    <w:p>
      <w:pPr>
        <w:spacing w:after="0" w:line="206" w:lineRule="exact"/>
        <w:rPr>
          <w:sz w:val="20"/>
          <w:szCs w:val="20"/>
          <w:color w:val="auto"/>
        </w:rPr>
      </w:pPr>
    </w:p>
    <w:p>
      <w:pPr>
        <w:jc w:val="both"/>
        <w:ind w:left="1740" w:firstLine="726"/>
        <w:spacing w:after="0" w:line="244" w:lineRule="auto"/>
        <w:tabs>
          <w:tab w:leader="none" w:pos="341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Agreements and Other Forms</w:t>
      </w:r>
      <w:r>
        <w:rPr>
          <w:rFonts w:ascii="Times New Roman" w:cs="Times New Roman" w:eastAsia="Times New Roman" w:hAnsi="Times New Roman"/>
          <w:sz w:val="22"/>
          <w:szCs w:val="22"/>
          <w:color w:val="auto"/>
        </w:rPr>
        <w:t>. The Committee will provide forms of Agreements for use by Eligible Employees to elect to participate in the Plan and other forms for use by Participants in respect of their participation in the Plan.</w:t>
      </w:r>
    </w:p>
    <w:p>
      <w:pPr>
        <w:spacing w:after="0" w:line="173" w:lineRule="exact"/>
        <w:rPr>
          <w:rFonts w:ascii="Times New Roman" w:cs="Times New Roman" w:eastAsia="Times New Roman" w:hAnsi="Times New Roman"/>
          <w:sz w:val="22"/>
          <w:szCs w:val="22"/>
          <w:color w:val="auto"/>
        </w:rPr>
      </w:pPr>
    </w:p>
    <w:p>
      <w:pPr>
        <w:jc w:val="both"/>
        <w:ind w:left="1740" w:firstLine="726"/>
        <w:spacing w:after="0" w:line="261" w:lineRule="auto"/>
        <w:tabs>
          <w:tab w:leader="none" w:pos="3419"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Financial Information</w:t>
      </w:r>
      <w:r>
        <w:rPr>
          <w:rFonts w:ascii="Times New Roman" w:cs="Times New Roman" w:eastAsia="Times New Roman" w:hAnsi="Times New Roman"/>
          <w:sz w:val="21"/>
          <w:szCs w:val="21"/>
          <w:color w:val="auto"/>
        </w:rPr>
        <w:t>. The Committee will periodically prepare, or cause to be prepared, reports of the Plan’s operation and will submit a copy of each report to the Compensation Committee and cause a copy to be maintained in the office of the Secretary of the Company and each Participating Employer.</w:t>
      </w:r>
    </w:p>
    <w:p>
      <w:pPr>
        <w:spacing w:after="0" w:line="157" w:lineRule="exact"/>
        <w:rPr>
          <w:rFonts w:ascii="Times New Roman" w:cs="Times New Roman" w:eastAsia="Times New Roman" w:hAnsi="Times New Roman"/>
          <w:sz w:val="21"/>
          <w:szCs w:val="21"/>
          <w:color w:val="auto"/>
        </w:rPr>
      </w:pPr>
    </w:p>
    <w:p>
      <w:pPr>
        <w:ind w:left="1740" w:firstLine="726"/>
        <w:spacing w:after="0" w:line="258" w:lineRule="auto"/>
        <w:tabs>
          <w:tab w:leader="none" w:pos="333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 and Tax Returns</w:t>
      </w:r>
      <w:r>
        <w:rPr>
          <w:rFonts w:ascii="Times New Roman" w:cs="Times New Roman" w:eastAsia="Times New Roman" w:hAnsi="Times New Roman"/>
          <w:sz w:val="22"/>
          <w:szCs w:val="22"/>
          <w:color w:val="auto"/>
        </w:rPr>
        <w:t>. The Committee will cause to be filed all reports and tax returns required under ERISA and the Code.</w:t>
      </w:r>
    </w:p>
    <w:p>
      <w:pPr>
        <w:spacing w:after="0" w:line="154"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Section 11.3. </w:t>
      </w: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color w:val="auto"/>
        </w:rPr>
        <w:t>. The Company and each of the Participating Employers will indemnify and hold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harmless the Committee and each member, and each person to whom the Committee has delegated responsibility under this Article XI (each an “Other Person”), from and against any and all losses, costs, liabilities or expenses that may be imposed upon or incurred by them in connection with or resulting from any claim, action, suit, or proceeding to which any member of the Committee or such Other Person is or may be a party or may be involved by reason of any action taken or failure to act under the Plan, or for any other reason, and from and against any and all amounts paid by the members of the Committee (or any of them) or such Other Person or Persons in settlement (if with the Company’s approval) of, or paid by them in satisfaction of a judgment in, any such action, suit or proceeding and from and against any other joint or several liability for their acts and omissions and for the acts and omissions of their duly appointed agents in the administration of the Plan, except for their own willful breach of fiduciary duty or willful misconduct.</w:t>
      </w:r>
    </w:p>
    <w:p>
      <w:pPr>
        <w:spacing w:after="0" w:line="179"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Section 11.4. </w:t>
      </w:r>
      <w:r>
        <w:rPr>
          <w:rFonts w:ascii="Times New Roman" w:cs="Times New Roman" w:eastAsia="Times New Roman" w:hAnsi="Times New Roman"/>
          <w:sz w:val="22"/>
          <w:szCs w:val="22"/>
          <w:b w:val="1"/>
          <w:bCs w:val="1"/>
          <w:u w:val="single" w:color="auto"/>
          <w:color w:val="auto"/>
        </w:rPr>
        <w:t>Claims Procedures</w:t>
      </w:r>
      <w:r>
        <w:rPr>
          <w:rFonts w:ascii="Times New Roman" w:cs="Times New Roman" w:eastAsia="Times New Roman" w:hAnsi="Times New Roman"/>
          <w:sz w:val="22"/>
          <w:szCs w:val="22"/>
          <w:color w:val="auto"/>
        </w:rPr>
        <w: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Application for Payment of Deferred Compensation</w:t>
      </w:r>
      <w:r>
        <w:rPr>
          <w:rFonts w:ascii="Times New Roman" w:cs="Times New Roman" w:eastAsia="Times New Roman" w:hAnsi="Times New Roman"/>
          <w:sz w:val="22"/>
          <w:szCs w:val="22"/>
          <w:color w:val="auto"/>
        </w:rPr>
        <w:t>. The 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if possible, furnish to each Participant timely information concerning distributions of Deferred Compensation due under the Plan to such Participant at least one year prior to the anticipated date of such distribution. The Committee may request any Participant, Beneficiary or other person claiming the right to receive payments of Deferred Compensation under the Plan to submit a written application, together with such information as the Committee considers necessary to process the claim. (The following is a Post-2004 Provision only) In any event, the Committee will either pay by the end of the year any amount that is payable in such year pursuant to the terms of the Plan and any effective elections that have been made.</w:t>
      </w:r>
    </w:p>
    <w:p>
      <w:pPr>
        <w:spacing w:after="0" w:line="180" w:lineRule="exact"/>
        <w:rPr>
          <w:sz w:val="20"/>
          <w:szCs w:val="20"/>
          <w:color w:val="auto"/>
        </w:rPr>
      </w:pPr>
    </w:p>
    <w:p>
      <w:pPr>
        <w:jc w:val="both"/>
        <w:ind w:firstLine="872"/>
        <w:spacing w:after="0" w:line="249" w:lineRule="auto"/>
        <w:tabs>
          <w:tab w:leader="none" w:pos="1763"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Action on Application</w:t>
      </w:r>
      <w:r>
        <w:rPr>
          <w:rFonts w:ascii="Times New Roman" w:cs="Times New Roman" w:eastAsia="Times New Roman" w:hAnsi="Times New Roman"/>
          <w:sz w:val="21"/>
          <w:szCs w:val="21"/>
          <w:color w:val="auto"/>
        </w:rPr>
        <w:t>. Within ninety (90) days after receipt of an application and all necessary information, the Committee will furnish the claimant a written notice of its decision. If the Committee denies the claim in whole or in part, the notice will set forth (1) specific reason for the denial, with specific reference to Plan provisions upon which the denial is based;</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information or material necessary to process the application with an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1"/>
          <w:szCs w:val="21"/>
          <w:color w:val="auto"/>
        </w:rPr>
        <w:t>explanation why such material or information is necessary; and (3) an explanation of the claim review procedure under the Plan.</w:t>
      </w:r>
    </w:p>
    <w:p>
      <w:pPr>
        <w:spacing w:after="0" w:line="218" w:lineRule="exact"/>
        <w:rPr>
          <w:sz w:val="20"/>
          <w:szCs w:val="20"/>
          <w:color w:val="auto"/>
        </w:rPr>
      </w:pPr>
    </w:p>
    <w:p>
      <w:pPr>
        <w:jc w:val="both"/>
        <w:ind w:firstLine="872"/>
        <w:spacing w:after="0" w:line="233" w:lineRule="auto"/>
        <w:tabs>
          <w:tab w:leader="none" w:pos="175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 Review</w:t>
      </w:r>
      <w:r>
        <w:rPr>
          <w:rFonts w:ascii="Times New Roman" w:cs="Times New Roman" w:eastAsia="Times New Roman" w:hAnsi="Times New Roman"/>
          <w:sz w:val="22"/>
          <w:szCs w:val="22"/>
          <w:color w:val="auto"/>
        </w:rPr>
        <w:t>. Any Participant, Beneficiary or other claimant who does not agree with the decision rendered on the application may request that the Committee review the decision. Each request for review must be made in a writing addressed to and filed with the Committee within sixty (60) days after the claimant receives the decision, or if the application has neither been approved nor denied within the 90-day period specified in subsection (b), then the request must be made within 60 days after expiration of the 90-day period. Concurrently with filing the request for review the claimant may submit in writing to the Committee a statement of the issues raised by his appeal and supporting arguments and comments. Where the Committee believes that the issues raised by the claimant’s appeal may be more efficiently or fairly processed by taking testimony of the claimant or others, it will set the matter for oral hearing and give the claimant reasonable notice of the time and place. The Committee will proceed promptly to resolve all issues raised by the claimant’s appeal and will render a written decision on the merits within 60 days following the claimant’s request for review. Any determination by the Committee after completion of the review process set forth herein shall be binding upon the Company and the claimant.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AND TERMINATION</w:t>
      </w:r>
    </w:p>
    <w:p>
      <w:pPr>
        <w:spacing w:after="0" w:line="178"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12.1. </w:t>
      </w:r>
      <w:r>
        <w:rPr>
          <w:rFonts w:ascii="Times New Roman" w:cs="Times New Roman" w:eastAsia="Times New Roman" w:hAnsi="Times New Roman"/>
          <w:sz w:val="22"/>
          <w:szCs w:val="22"/>
          <w:b w:val="1"/>
          <w:bCs w:val="1"/>
          <w:u w:val="single" w:color="auto"/>
          <w:color w:val="auto"/>
        </w:rPr>
        <w:t>Amendment of the Plan</w:t>
      </w:r>
      <w:r>
        <w:rPr>
          <w:rFonts w:ascii="Times New Roman" w:cs="Times New Roman" w:eastAsia="Times New Roman" w:hAnsi="Times New Roman"/>
          <w:sz w:val="22"/>
          <w:szCs w:val="22"/>
          <w:color w:val="auto"/>
        </w:rPr>
        <w:t>. The Plan may be amended, modified or suspended by the Company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action taken by the Board or by the Compensation Committee; provided, however, that no such action shall have the effect of reducing or eliminating any Account balance as at the effective date of any such amendment, modification or suspension or otherwise impairing or adversely affecting the rights of any Participant or Beneficiary to payment of Deferred Compensation under the Plan which had accrued prior to the date of such action. In the event of any amendment to, or modification or suspension of, the Plan, the Company will promptly notify each Participant of such amendment, modification or suspension of the Plan. Any such amendment shall be made by, and any such modification or suspension shall be evidenced by, written instrument executed by the Company.</w:t>
      </w:r>
    </w:p>
    <w:p>
      <w:pPr>
        <w:spacing w:after="0" w:line="178"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12.2. </w:t>
      </w:r>
      <w:r>
        <w:rPr>
          <w:rFonts w:ascii="Times New Roman" w:cs="Times New Roman" w:eastAsia="Times New Roman" w:hAnsi="Times New Roman"/>
          <w:sz w:val="22"/>
          <w:szCs w:val="22"/>
          <w:b w:val="1"/>
          <w:bCs w:val="1"/>
          <w:u w:val="single" w:color="auto"/>
          <w:color w:val="auto"/>
        </w:rPr>
        <w:t>Termination of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Although the Company expects the Plan to be continued indefinitely,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reserves the absolute right to terminate the Plan at any time by action taken by the Board or the Compensation Committee in accordance with this Section. Subsections (a), (b) and (c) apply after December 31, 2004.</w:t>
      </w:r>
    </w:p>
    <w:p>
      <w:pPr>
        <w:spacing w:after="0" w:line="171" w:lineRule="exact"/>
        <w:rPr>
          <w:sz w:val="20"/>
          <w:szCs w:val="20"/>
          <w:color w:val="auto"/>
        </w:rPr>
      </w:pPr>
    </w:p>
    <w:p>
      <w:pPr>
        <w:jc w:val="both"/>
        <w:ind w:firstLine="872"/>
        <w:spacing w:after="0" w:line="244" w:lineRule="auto"/>
        <w:tabs>
          <w:tab w:leader="none" w:pos="175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no termination or amendment of this Plan may accelerate payment of Post-2004 Benefits to any Participant except under the following conditions subject to the mandatory six-month delay for Specified Employees:</w:t>
      </w:r>
    </w:p>
    <w:p>
      <w:pPr>
        <w:spacing w:after="0" w:line="173" w:lineRule="exact"/>
        <w:rPr>
          <w:rFonts w:ascii="Times New Roman" w:cs="Times New Roman" w:eastAsia="Times New Roman" w:hAnsi="Times New Roman"/>
          <w:sz w:val="22"/>
          <w:szCs w:val="22"/>
          <w:color w:val="auto"/>
        </w:rPr>
      </w:pPr>
    </w:p>
    <w:p>
      <w:pPr>
        <w:jc w:val="both"/>
        <w:ind w:left="880" w:firstLine="789"/>
        <w:spacing w:after="0" w:line="244" w:lineRule="auto"/>
        <w:tabs>
          <w:tab w:leader="none" w:pos="2577"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terminate and liquidate the Plan within 12 months of a corporate dissolution taxed under section 331, or with the approval of a bankruptcy court pursuant to 11 U.S.C. §503(b)(1)(A), provided that the amounts deferred under the Plan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4" w:name="page165"/>
    <w:bookmarkEnd w:id="164"/>
    <w:p>
      <w:pPr>
        <w:jc w:val="both"/>
        <w:ind w:left="880"/>
        <w:spacing w:after="0" w:line="239" w:lineRule="auto"/>
        <w:rPr>
          <w:sz w:val="20"/>
          <w:szCs w:val="20"/>
          <w:color w:val="auto"/>
        </w:rPr>
      </w:pPr>
      <w:r>
        <w:rPr>
          <w:rFonts w:ascii="Times New Roman" w:cs="Times New Roman" w:eastAsia="Times New Roman" w:hAnsi="Times New Roman"/>
          <w:sz w:val="22"/>
          <w:szCs w:val="22"/>
          <w:color w:val="auto"/>
        </w:rPr>
        <w:t>are included in the Participants’ gross incomes in the latest of the following years (or, if earlier the taxable year in which the amount is actually or constructively received): (a) the calendar year in which the Plan termination and liquidation occurs; (b) the first calendar year in which the amount is no longer subject to a substantial risk of forfeiture; or (c) the first calendar year in which the payment is administratively practicable.</w:t>
      </w:r>
    </w:p>
    <w:p>
      <w:pPr>
        <w:spacing w:after="0" w:line="180" w:lineRule="exact"/>
        <w:rPr>
          <w:sz w:val="20"/>
          <w:szCs w:val="20"/>
          <w:color w:val="auto"/>
        </w:rPr>
      </w:pPr>
    </w:p>
    <w:p>
      <w:pPr>
        <w:jc w:val="both"/>
        <w:ind w:left="880" w:firstLine="789"/>
        <w:spacing w:after="0" w:line="234" w:lineRule="auto"/>
        <w:tabs>
          <w:tab w:leader="none" w:pos="2577"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terminate and liquidate the Plan pursuant to irrevocable action taken by the Board of Directors within the 30 days preceding or the 12 months following a change in control event (as defined in Treasury Regulation §1.409A-3(i)(5)), provided that this paragraph will only apply to a payment under a plan if all agreements, methods, programs, and other arrangements sponsored by the Company immediately after the time of the change in control event with respect to which deferrals of compensation are treated as having been deferred under a single plan under Treasury Regulation §1.409A-1(c)(2) are terminated and liquidated with respect to each Participant that experienced the change in control event, so that under the terms of the termination and liquidation all such participants are required to receive all amounts of compensation deferred under the terminated agreements, methods, programs and other arrangements within 12 months of the date the Company irrevocably takes all necessary action to terminate and liquidate the agreements, methods, programs, and other arrangements.</w:t>
      </w:r>
    </w:p>
    <w:p>
      <w:pPr>
        <w:spacing w:after="0" w:line="179" w:lineRule="exact"/>
        <w:rPr>
          <w:rFonts w:ascii="Times New Roman" w:cs="Times New Roman" w:eastAsia="Times New Roman" w:hAnsi="Times New Roman"/>
          <w:sz w:val="22"/>
          <w:szCs w:val="22"/>
          <w:color w:val="auto"/>
        </w:rPr>
      </w:pPr>
    </w:p>
    <w:p>
      <w:pPr>
        <w:jc w:val="both"/>
        <w:ind w:left="880" w:firstLine="789"/>
        <w:spacing w:after="0" w:line="233" w:lineRule="auto"/>
        <w:tabs>
          <w:tab w:leader="none" w:pos="2577"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terminate and liquidate the Plan, provided that (a) the termination and liquidation does not occur proximate to a downturn in the financial health of the Company; (b) the Company terminates and liquidates all agreements, methods, programs, and other arrangements sponsored by the Company that would be aggregated with any terminated and liquidated agreements, methods, programs, and other arrangements under Treasury Regulation §1.409-1(c) if any Participant had deferrals of compensation under all of the agreements, methods, programs, and other arrangements that are terminated and liquidated; (c) no payments in liquidation of the Plan are made within 12 months of the date the Company takes all necessary action to irrevocably terminate and liquidate the Plan other than payments that would be payable under the terms of the Plan if the action to terminate and liquidate the Plan had not occurred; (d) all payments are made within 24 months of the date the Company takes all necessary action to irrevocably terminate and liquidate the Plan; and (e) the Company does not adopt a new plan that would be aggregated with any terminated and liquidated plan under Treasury Regulation §1.409A-1(c) if the same service provider participated in both plans, at any time within three years following the date the service recipient takes all necessary action to irrevocably terminate and liquidate the Plan.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 PROVISIONS</w:t>
      </w:r>
    </w:p>
    <w:p>
      <w:pPr>
        <w:spacing w:after="0" w:line="178"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13.1. </w:t>
      </w:r>
      <w:r>
        <w:rPr>
          <w:rFonts w:ascii="Times New Roman" w:cs="Times New Roman" w:eastAsia="Times New Roman" w:hAnsi="Times New Roman"/>
          <w:sz w:val="22"/>
          <w:szCs w:val="22"/>
          <w:b w:val="1"/>
          <w:bCs w:val="1"/>
          <w:u w:val="single" w:color="auto"/>
          <w:color w:val="auto"/>
        </w:rPr>
        <w:t>No Assignment</w:t>
      </w:r>
      <w:r>
        <w:rPr>
          <w:rFonts w:ascii="Times New Roman" w:cs="Times New Roman" w:eastAsia="Times New Roman" w:hAnsi="Times New Roman"/>
          <w:sz w:val="22"/>
          <w:szCs w:val="22"/>
          <w:color w:val="auto"/>
        </w:rPr>
        <w:t>. The right of any Participant or any of his or her Beneficiaries to receive Deferred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under the Plan shall not be assigned, anticipated, transferred, pledged or encumbered, either voluntarily or by operation of law, nor shall any amount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5" w:name="page166"/>
    <w:bookmarkEnd w:id="165"/>
    <w:p>
      <w:pPr>
        <w:jc w:val="both"/>
        <w:spacing w:after="0" w:line="234" w:lineRule="auto"/>
        <w:rPr>
          <w:sz w:val="20"/>
          <w:szCs w:val="20"/>
          <w:color w:val="auto"/>
        </w:rPr>
      </w:pPr>
      <w:r>
        <w:rPr>
          <w:rFonts w:ascii="Times New Roman" w:cs="Times New Roman" w:eastAsia="Times New Roman" w:hAnsi="Times New Roman"/>
          <w:sz w:val="22"/>
          <w:szCs w:val="22"/>
          <w:color w:val="auto"/>
        </w:rPr>
        <w:t>of a Participant’s Deferred Compensation be subject to the claim or legal process of any creditor of such Participant, or subject to seizure for payment of any debts or judgments, except as provided in Article X of the Plan with respect to designation of Beneficiaries and except as may otherwise be required by law. If any Participant shall, or shall attempt to, assign, transfer, pledge or encumber any amount payable under the Plan, or if by reason of such Participant’s bankruptcy or other event happening at any time any such payment would be made subject to his or her debts or liabilities or would otherwise devolve upon anyone else and not be enjoyed by him or her or his or her Beneficiary, the Compensation Committee may, in its sole discretion, terminate such Participant’s right to any such payment of Deferred Compensation and, to the extent permitted by Section 409A of the Code, direct that the same be held and applied to or for the benefit of such Participant or his or her spouse, children or other dependents, or any of them, in such manner as the Compensation Committee may deem appropriate.</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Section 13.2. </w:t>
      </w:r>
      <w:r>
        <w:rPr>
          <w:rFonts w:ascii="Times New Roman" w:cs="Times New Roman" w:eastAsia="Times New Roman" w:hAnsi="Times New Roman"/>
          <w:sz w:val="22"/>
          <w:szCs w:val="22"/>
          <w:b w:val="1"/>
          <w:bCs w:val="1"/>
          <w:u w:val="single" w:color="auto"/>
          <w:color w:val="auto"/>
        </w:rPr>
        <w:t>Adoption of and Withdrawal from Plan by a Participating Employer</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jc w:val="both"/>
        <w:ind w:firstLine="872"/>
        <w:spacing w:after="0" w:line="234" w:lineRule="auto"/>
        <w:tabs>
          <w:tab w:leader="none" w:pos="175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domestic wholly-owned subsidiary of the Company which at the time is not a Participating Employer, may, with the consent of the Committee, adopt the Plan and become a Participating Employer by causing an appropriate written instrument evidencing such adoption to be executed pursuant to the authority of its board of directors and filed with the Company and by executing a Trust Agreement in form and substance satisfactory to the Committee.</w:t>
      </w:r>
    </w:p>
    <w:p>
      <w:pPr>
        <w:spacing w:after="0" w:line="177" w:lineRule="exact"/>
        <w:rPr>
          <w:rFonts w:ascii="Times New Roman" w:cs="Times New Roman" w:eastAsia="Times New Roman" w:hAnsi="Times New Roman"/>
          <w:sz w:val="22"/>
          <w:szCs w:val="22"/>
          <w:color w:val="auto"/>
        </w:rPr>
      </w:pPr>
    </w:p>
    <w:p>
      <w:pPr>
        <w:jc w:val="both"/>
        <w:ind w:firstLine="872"/>
        <w:spacing w:after="0" w:line="238" w:lineRule="auto"/>
        <w:tabs>
          <w:tab w:leader="none" w:pos="176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Participating Employer may, by action of its board of directors, withdraw from the Plan, such withdrawal to be effective upon notice in writing to the Committee, and shall thereupon cease to be an Employer with respect to future contributions by its Employees to the Plan. A Participating Employer shall be entitled to terminate the Plan with respect to its participation, if the Participating Employer meets the requirements of Section 12.2 when the Participating Employer is substituted for the Company.</w:t>
      </w:r>
    </w:p>
    <w:p>
      <w:pPr>
        <w:spacing w:after="0" w:line="173"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13.3. </w:t>
      </w:r>
      <w:r>
        <w:rPr>
          <w:rFonts w:ascii="Times New Roman" w:cs="Times New Roman" w:eastAsia="Times New Roman" w:hAnsi="Times New Roman"/>
          <w:sz w:val="22"/>
          <w:szCs w:val="22"/>
          <w:b w:val="1"/>
          <w:bCs w:val="1"/>
          <w:u w:val="single" w:color="auto"/>
          <w:color w:val="auto"/>
        </w:rPr>
        <w:t>Information Required</w:t>
      </w:r>
      <w:r>
        <w:rPr>
          <w:rFonts w:ascii="Times New Roman" w:cs="Times New Roman" w:eastAsia="Times New Roman" w:hAnsi="Times New Roman"/>
          <w:sz w:val="22"/>
          <w:szCs w:val="22"/>
          <w:color w:val="auto"/>
        </w:rPr>
        <w:t>. Each Participant shall provide the Committee with such pertinent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concerning himself or herself and his or her Beneficiaries relating to Plan participation by the Participant as the Committee may specify, and no Participant or Beneficiary or other person shall have any rights in or be entitled to any payments of Deferred Compensation under the Plan unless such information is provided to the Committee.</w:t>
      </w:r>
    </w:p>
    <w:p>
      <w:pPr>
        <w:spacing w:after="0" w:line="172"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13.4. </w:t>
      </w:r>
      <w:r>
        <w:rPr>
          <w:rFonts w:ascii="Times New Roman" w:cs="Times New Roman" w:eastAsia="Times New Roman" w:hAnsi="Times New Roman"/>
          <w:sz w:val="22"/>
          <w:szCs w:val="22"/>
          <w:b w:val="1"/>
          <w:bCs w:val="1"/>
          <w:u w:val="single" w:color="auto"/>
          <w:color w:val="auto"/>
        </w:rPr>
        <w:t>Elections by Eligible Employees</w:t>
      </w:r>
      <w:r>
        <w:rPr>
          <w:rFonts w:ascii="Times New Roman" w:cs="Times New Roman" w:eastAsia="Times New Roman" w:hAnsi="Times New Roman"/>
          <w:sz w:val="22"/>
          <w:szCs w:val="22"/>
          <w:color w:val="auto"/>
        </w:rPr>
        <w:t>. Any elections, designations, requests, notices, instructions and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communications from an Eligible Employee, Participant, Beneficiary or other person to the Committee required or permitted under the Plan shall be in such form as is prescribed from time to time by the Committee, shall be delivered as specified by the Committee and shall be deemed to have been given and delivered only upon actual receipt thereof by the Committee.</w:t>
      </w:r>
    </w:p>
    <w:p>
      <w:pPr>
        <w:spacing w:after="0" w:line="172"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13.5. </w:t>
      </w:r>
      <w:r>
        <w:rPr>
          <w:rFonts w:ascii="Times New Roman" w:cs="Times New Roman" w:eastAsia="Times New Roman" w:hAnsi="Times New Roman"/>
          <w:sz w:val="22"/>
          <w:szCs w:val="22"/>
          <w:b w:val="1"/>
          <w:bCs w:val="1"/>
          <w:u w:val="single" w:color="auto"/>
          <w:color w:val="auto"/>
        </w:rPr>
        <w:t>Notices by Committee or any Employer</w:t>
      </w:r>
      <w:r>
        <w:rPr>
          <w:rFonts w:ascii="Times New Roman" w:cs="Times New Roman" w:eastAsia="Times New Roman" w:hAnsi="Times New Roman"/>
          <w:sz w:val="22"/>
          <w:szCs w:val="22"/>
          <w:color w:val="auto"/>
        </w:rPr>
        <w:t>. All notices, statements, reports and other communications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the Committee or any Employer to any Eligible Employee, Participant, Beneficiary or other person required or permitted under the Plan shall be deemed to have been duly given when delivered to such Eligible Employee, Participant, Beneficiary or other person.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6" w:name="page167"/>
    <w:bookmarkEnd w:id="166"/>
    <w:p>
      <w:pPr>
        <w:jc w:val="both"/>
        <w:ind w:firstLine="864"/>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13.6. </w:t>
      </w:r>
      <w:r>
        <w:rPr>
          <w:rFonts w:ascii="Times New Roman" w:cs="Times New Roman" w:eastAsia="Times New Roman" w:hAnsi="Times New Roman"/>
          <w:sz w:val="22"/>
          <w:szCs w:val="22"/>
          <w:b w:val="1"/>
          <w:bCs w:val="1"/>
          <w:u w:val="single" w:color="auto"/>
          <w:color w:val="auto"/>
        </w:rPr>
        <w:t>No Employment Contract or Commitment</w:t>
      </w:r>
      <w:r>
        <w:rPr>
          <w:rFonts w:ascii="Times New Roman" w:cs="Times New Roman" w:eastAsia="Times New Roman" w:hAnsi="Times New Roman"/>
          <w:sz w:val="22"/>
          <w:szCs w:val="22"/>
          <w:color w:val="auto"/>
        </w:rPr>
        <w:t>. The Plan is not, and shall not be deemed to constitute,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contract of employment between the Company, or any other Employer or other Subsidiary or Affiliate of the Company, and a Participant. Neither the Plan nor any action taken hereunder by the Company or any Participating Employer shall constitute a commitment or agreement to continue the Employment of any Participant or shall be held or construed to confer on a Participant any right to continued Employment with the Company or any Participating Employer or any other Subsidiary or Affiliate of the Company, or as a commitment to continue the rate of compensation of any Participant, or as affecting the right of the Company or any Participating Employer to terminate the Employment of any Participant, Eligible Employee or any other employee at any time, with or without cause.</w:t>
      </w:r>
    </w:p>
    <w:p>
      <w:pPr>
        <w:spacing w:after="0" w:line="178"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13.7.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In the event any provision of the Plan shall be held invalid or illegal for any reason,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illegality or invalidity shall not affect the remaining parts of the Plan and the Plan shall be construed and enforced as if the illegal or invalid provision had been omitted, and the Company shall have the privilege and opportunity to correct and remedy questions of illegality or invalidity by amendment as provided in the Plan.</w:t>
      </w:r>
    </w:p>
    <w:p>
      <w:pPr>
        <w:spacing w:after="0" w:line="172"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13.8. </w:t>
      </w:r>
      <w:r>
        <w:rPr>
          <w:rFonts w:ascii="Times New Roman" w:cs="Times New Roman" w:eastAsia="Times New Roman" w:hAnsi="Times New Roman"/>
          <w:sz w:val="22"/>
          <w:szCs w:val="22"/>
          <w:b w:val="1"/>
          <w:bCs w:val="1"/>
          <w:u w:val="single" w:color="auto"/>
          <w:color w:val="auto"/>
        </w:rPr>
        <w:t>Effect of IRS Determination</w:t>
      </w:r>
      <w:r>
        <w:rPr>
          <w:rFonts w:ascii="Times New Roman" w:cs="Times New Roman" w:eastAsia="Times New Roman" w:hAnsi="Times New Roman"/>
          <w:sz w:val="22"/>
          <w:szCs w:val="22"/>
          <w:color w:val="auto"/>
        </w:rPr>
        <w:t>. For Pre-2005 Benefits, if any Deferred Amount is found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(within the meaning of Section 1313(a) of the Code) to have been includible in gross income by a Participant prior to the payment thereof as provided under the Plan, such Deferred Amount (as adjusted by Equivalents to the applicable Valuation Date) shall be immediately paid to such Participant notwithstanding such Participant’s election or any other provision of the Plan.</w:t>
      </w:r>
    </w:p>
    <w:p>
      <w:pPr>
        <w:spacing w:after="0" w:line="177"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13.9. </w:t>
      </w:r>
      <w:r>
        <w:rPr>
          <w:rFonts w:ascii="Times New Roman" w:cs="Times New Roman" w:eastAsia="Times New Roman" w:hAnsi="Times New Roman"/>
          <w:sz w:val="22"/>
          <w:szCs w:val="22"/>
          <w:b w:val="1"/>
          <w:bCs w:val="1"/>
          <w:u w:val="single" w:color="auto"/>
          <w:color w:val="auto"/>
        </w:rPr>
        <w:t>Taxes and Withholding</w:t>
      </w:r>
      <w:r>
        <w:rPr>
          <w:rFonts w:ascii="Times New Roman" w:cs="Times New Roman" w:eastAsia="Times New Roman" w:hAnsi="Times New Roman"/>
          <w:sz w:val="22"/>
          <w:szCs w:val="22"/>
          <w:color w:val="auto"/>
        </w:rPr>
        <w:t>. All payments of Deferred Compensation in accordance with the Plan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such withholding for taxes and deductions for payroll and other taxes (federal, state or local) as may be due thereon and the determination by the Committee as to the amounts withheld from such payments shall be binding upon each Participant and his or her Beneficiaries.</w:t>
      </w:r>
    </w:p>
    <w:p>
      <w:pPr>
        <w:spacing w:after="0" w:line="172"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Section 13.10. </w:t>
      </w:r>
      <w:r>
        <w:rPr>
          <w:rFonts w:ascii="Times New Roman" w:cs="Times New Roman" w:eastAsia="Times New Roman" w:hAnsi="Times New Roman"/>
          <w:sz w:val="22"/>
          <w:szCs w:val="22"/>
          <w:b w:val="1"/>
          <w:bCs w:val="1"/>
          <w:u w:val="single" w:color="auto"/>
          <w:color w:val="auto"/>
        </w:rPr>
        <w:t>No Rights to Assets Created</w:t>
      </w:r>
      <w:r>
        <w:rPr>
          <w:rFonts w:ascii="Times New Roman" w:cs="Times New Roman" w:eastAsia="Times New Roman" w:hAnsi="Times New Roman"/>
          <w:sz w:val="22"/>
          <w:szCs w:val="22"/>
          <w:color w:val="auto"/>
        </w:rPr>
        <w:t>. The obligations of the Company or any Participating Employer to make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payments of Deferred Compensation under the Plan shall constitute a liability of the Company or a Participating Employer, as the case may be, to the Participant and his or her Beneficiaries. Such payments of Deferred Compensation shall be made from the general funds of the Company or the Participating Employer, as the case may be, or from the Trusts. Neither the Company nor any Participating Employer shall be required to establish or maintain the Trusts or any special or separate fund or trust or otherwise to segregate assets to assure that such payments shall be made, and neither a Participant nor his or her Beneficiaries shall have any interest in any particular asset of the Company or any Participating Employer or in the Trusts or any other trust by reason of the Company’s (or a Participating Employer’s) obligations hereunder. Nothing contained in the Plan shall create or be construed as creating a trust of any kind or any other fiduciary relationship between the Company or any Participating Employer and a Participant or his or her Beneficiaries.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7" w:name="page168"/>
    <w:bookmarkEnd w:id="167"/>
    <w:p>
      <w:pPr>
        <w:jc w:val="both"/>
        <w:ind w:right="20" w:firstLine="864"/>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Section 13.11. </w:t>
      </w:r>
      <w:r>
        <w:rPr>
          <w:rFonts w:ascii="Times New Roman" w:cs="Times New Roman" w:eastAsia="Times New Roman" w:hAnsi="Times New Roman"/>
          <w:sz w:val="21"/>
          <w:szCs w:val="21"/>
          <w:b w:val="1"/>
          <w:bCs w:val="1"/>
          <w:u w:val="single" w:color="auto"/>
          <w:color w:val="auto"/>
        </w:rPr>
        <w:t>Precedent</w:t>
      </w:r>
      <w:r>
        <w:rPr>
          <w:rFonts w:ascii="Times New Roman" w:cs="Times New Roman" w:eastAsia="Times New Roman" w:hAnsi="Times New Roman"/>
          <w:sz w:val="21"/>
          <w:szCs w:val="21"/>
          <w:color w:val="auto"/>
        </w:rPr>
        <w:t>. Except as otherwise specifically provided, no action taken in accordance with the Plan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Employers or the Committee shall be construed or relied upon as a precedent for similar action under similar circumstances.</w:t>
      </w:r>
    </w:p>
    <w:p>
      <w:pPr>
        <w:spacing w:after="0" w:line="126"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13.12. </w:t>
      </w:r>
      <w:r>
        <w:rPr>
          <w:rFonts w:ascii="Times New Roman" w:cs="Times New Roman" w:eastAsia="Times New Roman" w:hAnsi="Times New Roman"/>
          <w:sz w:val="22"/>
          <w:szCs w:val="22"/>
          <w:b w:val="1"/>
          <w:bCs w:val="1"/>
          <w:u w:val="single" w:color="auto"/>
          <w:color w:val="auto"/>
        </w:rPr>
        <w:t>No Guarantees</w:t>
      </w:r>
      <w:r>
        <w:rPr>
          <w:rFonts w:ascii="Times New Roman" w:cs="Times New Roman" w:eastAsia="Times New Roman" w:hAnsi="Times New Roman"/>
          <w:sz w:val="22"/>
          <w:szCs w:val="22"/>
          <w:color w:val="auto"/>
        </w:rPr>
        <w:t>. No employer guarantees that any Reference Investment Fund will not result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reduction of, or loss to, any Deferred Amount or Deferred Compensation or any Account. Neither the Company, nor any Participating Employer nor the Trustee guarantees the amount or payment of any Deferred Compensation or other amount payable to any Participant under the Plan.</w:t>
      </w:r>
    </w:p>
    <w:p>
      <w:pPr>
        <w:spacing w:after="0" w:line="172"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13.13. </w:t>
      </w: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color w:val="auto"/>
        </w:rPr>
        <w:t>. The expenses of administration of the Plan, including the payment of the fees of the Trustee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Recordkeeper, shall be paid by the Company.</w:t>
      </w:r>
    </w:p>
    <w:p>
      <w:pPr>
        <w:spacing w:after="0" w:line="150" w:lineRule="exact"/>
        <w:rPr>
          <w:sz w:val="20"/>
          <w:szCs w:val="20"/>
          <w:color w:val="auto"/>
        </w:rPr>
      </w:pPr>
    </w:p>
    <w:p>
      <w:pPr>
        <w:jc w:val="both"/>
        <w:ind w:right="20" w:firstLine="864"/>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Section 13.14. </w:t>
      </w:r>
      <w:r>
        <w:rPr>
          <w:rFonts w:ascii="Times New Roman" w:cs="Times New Roman" w:eastAsia="Times New Roman" w:hAnsi="Times New Roman"/>
          <w:sz w:val="22"/>
          <w:szCs w:val="22"/>
          <w:b w:val="1"/>
          <w:bCs w:val="1"/>
          <w:u w:val="single" w:color="auto"/>
          <w:color w:val="auto"/>
        </w:rPr>
        <w:t>Claims of Other Persons</w:t>
      </w:r>
      <w:r>
        <w:rPr>
          <w:rFonts w:ascii="Times New Roman" w:cs="Times New Roman" w:eastAsia="Times New Roman" w:hAnsi="Times New Roman"/>
          <w:sz w:val="22"/>
          <w:szCs w:val="22"/>
          <w:color w:val="auto"/>
        </w:rPr>
        <w:t>. The provisions of the Plan shall in no event be construed as giving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firm or corporation any legal or equitable right as against the</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Company or any Participating Employer or their respective officers, directors or employees, except as expressly provided for in the Plan.</w:t>
      </w:r>
    </w:p>
    <w:p>
      <w:pPr>
        <w:spacing w:after="0" w:line="174"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13.15. </w:t>
      </w:r>
      <w:r>
        <w:rPr>
          <w:rFonts w:ascii="Times New Roman" w:cs="Times New Roman" w:eastAsia="Times New Roman" w:hAnsi="Times New Roman"/>
          <w:sz w:val="22"/>
          <w:szCs w:val="22"/>
          <w:b w:val="1"/>
          <w:bCs w:val="1"/>
          <w:u w:val="single" w:color="auto"/>
          <w:color w:val="auto"/>
        </w:rPr>
        <w:t>Captions</w:t>
      </w:r>
      <w:r>
        <w:rPr>
          <w:rFonts w:ascii="Times New Roman" w:cs="Times New Roman" w:eastAsia="Times New Roman" w:hAnsi="Times New Roman"/>
          <w:sz w:val="22"/>
          <w:szCs w:val="22"/>
          <w:color w:val="auto"/>
        </w:rPr>
        <w:t>. The captions preceding the Articles, Sections and subsections hereof have been inserted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solely as a matter of convenience and in no way define or limit the scope or intent of any provisions thereof.</w:t>
      </w:r>
    </w:p>
    <w:p>
      <w:pPr>
        <w:spacing w:after="0" w:line="150"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13.16. </w:t>
      </w:r>
      <w:r>
        <w:rPr>
          <w:rFonts w:ascii="Times New Roman" w:cs="Times New Roman" w:eastAsia="Times New Roman" w:hAnsi="Times New Roman"/>
          <w:sz w:val="22"/>
          <w:szCs w:val="22"/>
          <w:b w:val="1"/>
          <w:bCs w:val="1"/>
          <w:u w:val="single" w:color="auto"/>
          <w:color w:val="auto"/>
        </w:rPr>
        <w:t>Validity of the Plan</w:t>
      </w:r>
      <w:r>
        <w:rPr>
          <w:rFonts w:ascii="Times New Roman" w:cs="Times New Roman" w:eastAsia="Times New Roman" w:hAnsi="Times New Roman"/>
          <w:sz w:val="22"/>
          <w:szCs w:val="22"/>
          <w:color w:val="auto"/>
        </w:rPr>
        <w:t>. The validity of the Plan shall be determined, and the Plan shall be governed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construed and interpreted, in accordance with the laws of the State of Ohio.</w:t>
      </w:r>
    </w:p>
    <w:p>
      <w:pPr>
        <w:spacing w:after="0" w:line="150"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13.17. </w:t>
      </w:r>
      <w:r>
        <w:rPr>
          <w:rFonts w:ascii="Times New Roman" w:cs="Times New Roman" w:eastAsia="Times New Roman" w:hAnsi="Times New Roman"/>
          <w:sz w:val="22"/>
          <w:szCs w:val="22"/>
          <w:b w:val="1"/>
          <w:bCs w:val="1"/>
          <w:u w:val="single" w:color="auto"/>
          <w:color w:val="auto"/>
        </w:rPr>
        <w:t>Plan Binding on Parties</w:t>
      </w:r>
      <w:r>
        <w:rPr>
          <w:rFonts w:ascii="Times New Roman" w:cs="Times New Roman" w:eastAsia="Times New Roman" w:hAnsi="Times New Roman"/>
          <w:sz w:val="22"/>
          <w:szCs w:val="22"/>
          <w:color w:val="auto"/>
        </w:rPr>
        <w:t>. The Plan shall be binding upon the Employees, all Participants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Beneficiaries, and, as the case may be, the heirs, executors, administrators, successors and assigns of each of them. Obligations incurred by the Company or any Participating Employer shall be binding upon the Company or such Participating Employer, as the case may be, and shall inure to the benefit of the Participants or their Beneficiaries.</w:t>
      </w:r>
    </w:p>
    <w:p>
      <w:pPr>
        <w:spacing w:after="0" w:line="172"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13.18. </w:t>
      </w:r>
      <w:r>
        <w:rPr>
          <w:rFonts w:ascii="Times New Roman" w:cs="Times New Roman" w:eastAsia="Times New Roman" w:hAnsi="Times New Roman"/>
          <w:sz w:val="22"/>
          <w:szCs w:val="22"/>
          <w:b w:val="1"/>
          <w:bCs w:val="1"/>
          <w:u w:val="single" w:color="auto"/>
          <w:color w:val="auto"/>
        </w:rPr>
        <w:t>Compliance with Section 409A of the Code</w:t>
      </w:r>
      <w:r>
        <w:rPr>
          <w:rFonts w:ascii="Times New Roman" w:cs="Times New Roman" w:eastAsia="Times New Roman" w:hAnsi="Times New Roman"/>
          <w:sz w:val="22"/>
          <w:szCs w:val="22"/>
          <w:color w:val="auto"/>
        </w:rPr>
        <w:t>. (a) It is intended that the Plan comply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of Section 409A of the Code, so as to prevent the inclusion in gross income of any amounts deferred hereunder in a taxable year that is prior to the taxable year or years in which such amounts would otherwise actually be paid or made available to Participants or Beneficiaries. This Plan shall be construed, administered, and governed in a manner that affects such intent, and the Committee shall not take any action that would be inconsistent with such intent.</w:t>
      </w:r>
    </w:p>
    <w:p>
      <w:pPr>
        <w:spacing w:after="0" w:line="181" w:lineRule="exact"/>
        <w:rPr>
          <w:sz w:val="20"/>
          <w:szCs w:val="20"/>
          <w:color w:val="auto"/>
        </w:rPr>
      </w:pPr>
    </w:p>
    <w:p>
      <w:pPr>
        <w:jc w:val="both"/>
        <w:ind w:firstLine="872"/>
        <w:spacing w:after="0" w:line="239" w:lineRule="auto"/>
        <w:tabs>
          <w:tab w:leader="none" w:pos="176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Although the Committee shall use its best efforts to avoid the imposition of taxation, interest and penalties under Section 409A of the Code, the tax treatment of deferrals under this Plan is not warranted or guaranteed. Neither the Company, the other members of the Affiliated Group, the Board, nor the Committee (nor its designee) shall be held liable for any taxes,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2"/>
          <w:szCs w:val="22"/>
          <w:color w:val="auto"/>
        </w:rPr>
        <w:t>interest, penalties or other monetary amounts owed by any Participant, Beneficiary or other taxpayer as a result of the Plan.</w:t>
      </w:r>
    </w:p>
    <w:p>
      <w:pPr>
        <w:spacing w:after="0" w:line="206" w:lineRule="exact"/>
        <w:rPr>
          <w:sz w:val="20"/>
          <w:szCs w:val="20"/>
          <w:color w:val="auto"/>
        </w:rPr>
      </w:pPr>
    </w:p>
    <w:p>
      <w:pPr>
        <w:jc w:val="both"/>
        <w:ind w:firstLine="872"/>
        <w:spacing w:after="0" w:line="236" w:lineRule="auto"/>
        <w:tabs>
          <w:tab w:leader="none" w:pos="175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in this Plan to Section 409A of the Code will also include any proposed, temporary or final regulations, or any other guidance promulgated with respect to such Section 409A by the U.S. Department of Treasury or the Internal Revenue Service. For purposes of the Plan, the phrase “permitted by Section 409A of the Code,” or words or phrases of similar import, shall mean that the event or circumstance shall only be permitted to the extent it would not cause an amount deferred or payable under the Plan to be includible in the gross income of a Participant or Beneficiary under Section 409(A)(a)(1) of the Code.</w:t>
      </w:r>
    </w:p>
    <w:p>
      <w:pPr>
        <w:spacing w:after="0" w:line="181" w:lineRule="exact"/>
        <w:rPr>
          <w:rFonts w:ascii="Times New Roman" w:cs="Times New Roman" w:eastAsia="Times New Roman" w:hAnsi="Times New Roman"/>
          <w:sz w:val="22"/>
          <w:szCs w:val="22"/>
          <w:color w:val="auto"/>
        </w:rPr>
      </w:pPr>
    </w:p>
    <w:p>
      <w:pPr>
        <w:ind w:left="54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9" w:name="page170"/>
    <w:bookmarkEnd w:id="169"/>
    <w:p>
      <w:pPr>
        <w:ind w:left="880"/>
        <w:spacing w:after="0"/>
        <w:rPr>
          <w:sz w:val="20"/>
          <w:szCs w:val="20"/>
          <w:color w:val="auto"/>
        </w:rPr>
      </w:pPr>
      <w:r>
        <w:rPr>
          <w:rFonts w:ascii="Times New Roman" w:cs="Times New Roman" w:eastAsia="Times New Roman" w:hAnsi="Times New Roman"/>
          <w:sz w:val="22"/>
          <w:szCs w:val="22"/>
          <w:color w:val="auto"/>
        </w:rPr>
        <w:t>Executed at Akron, Ohio, this 12th day of October, 2020.</w:t>
      </w:r>
    </w:p>
    <w:p>
      <w:pPr>
        <w:spacing w:after="0" w:line="20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2"/>
          <w:szCs w:val="22"/>
          <w:color w:val="auto"/>
        </w:rPr>
        <w:t>The Goodyear Tire &amp; Rubber Company</w:t>
      </w:r>
    </w:p>
    <w:p>
      <w:pPr>
        <w:spacing w:after="0" w:line="200" w:lineRule="exact"/>
        <w:rPr>
          <w:sz w:val="20"/>
          <w:szCs w:val="20"/>
          <w:color w:val="auto"/>
        </w:rPr>
      </w:pPr>
    </w:p>
    <w:p>
      <w:pPr>
        <w:spacing w:after="0" w:line="22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By: /s/ Gary S. VanderLind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10795</wp:posOffset>
            </wp:positionV>
            <wp:extent cx="30689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22"/>
          <w:szCs w:val="22"/>
          <w:color w:val="auto"/>
        </w:rPr>
        <w:t>Gary S. VanderLind</w:t>
      </w:r>
    </w:p>
    <w:p>
      <w:pPr>
        <w:ind w:left="6400"/>
        <w:spacing w:after="0"/>
        <w:rPr>
          <w:sz w:val="20"/>
          <w:szCs w:val="20"/>
          <w:color w:val="auto"/>
        </w:rPr>
      </w:pPr>
      <w:r>
        <w:rPr>
          <w:rFonts w:ascii="Times New Roman" w:cs="Times New Roman" w:eastAsia="Times New Roman" w:hAnsi="Times New Roman"/>
          <w:sz w:val="21"/>
          <w:szCs w:val="21"/>
          <w:color w:val="auto"/>
        </w:rPr>
        <w:t>Senior Vice President and Chief Human Resources</w:t>
      </w:r>
    </w:p>
    <w:p>
      <w:pPr>
        <w:spacing w:after="0" w:line="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2"/>
          <w:szCs w:val="22"/>
          <w:color w:val="auto"/>
        </w:rPr>
        <w:t>Officer</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ATTEST: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Daniel T.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7890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7">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Daniel T. Young</w:t>
      </w:r>
    </w:p>
    <w:p>
      <w:pPr>
        <w:spacing w:after="0"/>
        <w:rPr>
          <w:sz w:val="20"/>
          <w:szCs w:val="20"/>
          <w:color w:val="auto"/>
        </w:rPr>
      </w:pPr>
      <w:r>
        <w:rPr>
          <w:rFonts w:ascii="Times New Roman" w:cs="Times New Roman" w:eastAsia="Times New Roman" w:hAnsi="Times New Roman"/>
          <w:sz w:val="22"/>
          <w:szCs w:val="22"/>
          <w:color w:val="auto"/>
        </w:rPr>
        <w:t>Secretary</w:t>
      </w:r>
    </w:p>
    <w:p>
      <w:pPr>
        <w:spacing w:after="0" w:line="39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320" w:top="328" w:right="779" w:bottom="1440" w:gutter="0" w:footer="0" w:header="0"/>
        </w:sectPr>
      </w:pPr>
    </w:p>
    <w:bookmarkStart w:id="170" w:name="page171"/>
    <w:bookmarkEnd w:id="17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ANNEX I</w:t>
      </w:r>
    </w:p>
    <w:p>
      <w:pPr>
        <w:spacing w:after="0" w:line="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TO</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THE GOODYEAR TIRE &amp; RUBBER COMPANY</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DEFERRED COMPENSATION PLAN FOR EXECUTIVES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Reference Investment Funds are as follows:</w:t>
      </w:r>
    </w:p>
    <w:p>
      <w:pPr>
        <w:spacing w:after="0" w:line="199" w:lineRule="exact"/>
        <w:rPr>
          <w:sz w:val="20"/>
          <w:szCs w:val="20"/>
          <w:color w:val="auto"/>
        </w:rPr>
      </w:pPr>
    </w:p>
    <w:p>
      <w:pPr>
        <w:ind w:left="820" w:hanging="812"/>
        <w:spacing w:after="0"/>
        <w:tabs>
          <w:tab w:leader="none" w:pos="8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Money Market Fund</w:t>
      </w:r>
      <w:r>
        <w:rPr>
          <w:rFonts w:ascii="Times New Roman" w:cs="Times New Roman" w:eastAsia="Times New Roman" w:hAnsi="Times New Roman"/>
          <w:sz w:val="22"/>
          <w:szCs w:val="22"/>
          <w:color w:val="auto"/>
        </w:rPr>
        <w:t xml:space="preserve">. The Benchmark Fixed Income </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Government Select Portfolio.</w:t>
      </w:r>
    </w:p>
    <w:p>
      <w:pPr>
        <w:spacing w:after="0" w:line="212"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Bond Fund</w:t>
      </w:r>
      <w:r>
        <w:rPr>
          <w:rFonts w:ascii="Times New Roman" w:cs="Times New Roman" w:eastAsia="Times New Roman" w:hAnsi="Times New Roman"/>
          <w:sz w:val="22"/>
          <w:szCs w:val="22"/>
          <w:color w:val="auto"/>
        </w:rPr>
        <w:t>. The Benchmark Short-Intermediate Bond Portfolio.</w:t>
      </w:r>
    </w:p>
    <w:p>
      <w:pPr>
        <w:spacing w:after="0" w:line="206"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Index Fund</w:t>
      </w:r>
      <w:r>
        <w:rPr>
          <w:rFonts w:ascii="Times New Roman" w:cs="Times New Roman" w:eastAsia="Times New Roman" w:hAnsi="Times New Roman"/>
          <w:sz w:val="22"/>
          <w:szCs w:val="22"/>
          <w:color w:val="auto"/>
        </w:rPr>
        <w:t>. The Benchmark Equity Index Portfolio.</w:t>
      </w:r>
    </w:p>
    <w:p>
      <w:pPr>
        <w:spacing w:after="0" w:line="206"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Balanced Fund</w:t>
      </w:r>
      <w:r>
        <w:rPr>
          <w:rFonts w:ascii="Times New Roman" w:cs="Times New Roman" w:eastAsia="Times New Roman" w:hAnsi="Times New Roman"/>
          <w:sz w:val="22"/>
          <w:szCs w:val="22"/>
          <w:color w:val="auto"/>
        </w:rPr>
        <w:t>. The Benchmark Balance Portfolio.</w:t>
      </w:r>
    </w:p>
    <w:p>
      <w:pPr>
        <w:spacing w:after="0" w:line="206"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Growth Fund</w:t>
      </w:r>
      <w:r>
        <w:rPr>
          <w:rFonts w:ascii="Times New Roman" w:cs="Times New Roman" w:eastAsia="Times New Roman" w:hAnsi="Times New Roman"/>
          <w:sz w:val="22"/>
          <w:szCs w:val="22"/>
          <w:color w:val="auto"/>
        </w:rPr>
        <w:t>. The Twentieth Century Ultra Investment Fund.</w:t>
      </w:r>
    </w:p>
    <w:p>
      <w:pPr>
        <w:spacing w:after="0" w:line="200" w:lineRule="exact"/>
        <w:rPr>
          <w:sz w:val="20"/>
          <w:szCs w:val="20"/>
          <w:color w:val="auto"/>
        </w:rPr>
      </w:pPr>
    </w:p>
    <w:p>
      <w:pPr>
        <w:spacing w:after="0" w:line="2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0139"/>
          </w:cols>
          <w:pgMar w:left="320" w:top="324" w:right="1440" w:bottom="1440" w:gutter="0" w:footer="0" w:header="0"/>
        </w:sectPr>
      </w:pPr>
    </w:p>
    <w:bookmarkStart w:id="171" w:name="page172"/>
    <w:bookmarkEnd w:id="171"/>
    <w:p>
      <w:pPr>
        <w:ind w:left="1012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SUBSIDIARIES OF THE REGISTRANT (1) (2) (3)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subsidiary companies of The Goodyear Tire &amp; Rubber Company at December 31, 2020, and the places of incorporation or organization thereof, are:</w:t>
      </w:r>
    </w:p>
    <w:p>
      <w:pPr>
        <w:spacing w:after="0" w:line="200" w:lineRule="exact"/>
        <w:rPr>
          <w:sz w:val="20"/>
          <w:szCs w:val="20"/>
          <w:color w:val="auto"/>
        </w:rPr>
      </w:pP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81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216"/>
        </w:trPr>
        <w:tc>
          <w:tcPr>
            <w:tcW w:w="818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238"/>
        </w:trPr>
        <w:tc>
          <w:tcPr>
            <w:tcW w:w="818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11"/>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3080" w:type="dxa"/>
            <w:vAlign w:val="bottom"/>
          </w:tcPr>
          <w:p>
            <w:pPr>
              <w:spacing w:after="0"/>
              <w:rPr>
                <w:sz w:val="24"/>
                <w:szCs w:val="24"/>
                <w:color w:val="auto"/>
              </w:rPr>
            </w:pPr>
          </w:p>
        </w:tc>
      </w:tr>
      <w:tr>
        <w:trPr>
          <w:trHeight w:val="108"/>
        </w:trPr>
        <w:tc>
          <w:tcPr>
            <w:tcW w:w="818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Celeron Corporation</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Divested Atomic Corporation</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Export Inc.</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Farms, Inc.</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Laurelwood Properties, Inc.</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Raben Tire Co., LLC</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Indiana</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Retreading L, Inc.</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Retreading L, Inc. of Oregon</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Oregon</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T&amp;WA, Inc.</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Kentucky</w:t>
            </w:r>
          </w:p>
        </w:tc>
      </w:tr>
      <w:tr>
        <w:trPr>
          <w:trHeight w:val="228"/>
        </w:trPr>
        <w:tc>
          <w:tcPr>
            <w:tcW w:w="81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Wingfoot Corporation</w:t>
            </w:r>
          </w:p>
        </w:tc>
        <w:tc>
          <w:tcPr>
            <w:tcW w:w="3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36"/>
        </w:trPr>
        <w:tc>
          <w:tcPr>
            <w:tcW w:w="8180" w:type="dxa"/>
            <w:vAlign w:val="bottom"/>
            <w:tcBorders>
              <w:left w:val="single" w:sz="8" w:color="auto"/>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72" w:name="page173"/>
    <w:bookmarkEnd w:id="172"/>
    <w:tbl>
      <w:tblPr>
        <w:tblLayout w:type="fixed"/>
        <w:tblInd w:w="1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81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216"/>
        </w:trPr>
        <w:tc>
          <w:tcPr>
            <w:tcW w:w="818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238"/>
        </w:trPr>
        <w:tc>
          <w:tcPr>
            <w:tcW w:w="818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11"/>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080" w:type="dxa"/>
            <w:vAlign w:val="bottom"/>
          </w:tcPr>
          <w:p>
            <w:pPr>
              <w:spacing w:after="0"/>
              <w:rPr>
                <w:sz w:val="24"/>
                <w:szCs w:val="24"/>
                <w:color w:val="auto"/>
              </w:rPr>
            </w:pPr>
          </w:p>
        </w:tc>
      </w:tr>
      <w:tr>
        <w:trPr>
          <w:trHeight w:val="108"/>
        </w:trPr>
        <w:tc>
          <w:tcPr>
            <w:tcW w:w="818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Airship Comercio de Produtos de Borracha e Participacoes Societarias Ltda</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 Goodyear de Venezuela</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Venezuela</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+Compania Goodyear del Peru, S.A.</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Peru</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+DNA (Housemarks) Limited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Dunglaide Limited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Dunlop Grund und Service Verwaltungs GmbH</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Dunlop Tyres Limited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Easy Autocentres Limited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Fonds de Pension Goodyear ASBL</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GD Handelssysteme GmbH</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GD Versicherungsservice GmbH</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G.I.E. Goodyear Mireval</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Australia Pty Limited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Baltic OU</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Estonia</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Belgium N.V.</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Canada Inc.</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Czech s.r.o.</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Dalian Tire Company Ltd.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Danmark A/S</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Denmark</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de Chile S.A.I.C.</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Chile</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de Colombia S.A.</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Colombia</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do Brasil Produtos de Borracha Ltda</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&amp; Dunlop Tyres (Australia) Pty Ltd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&amp; Dunlop Tyres (NZ)</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Zealand</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Dunlop Sava Tires d.o.o.</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Slovenia</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Dunlop Tires Amiens Sud SAS</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Dunlop Tires Austria GmbH</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Dunlop Tires Germany GmbH</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Dunlop Tires Ireland (Pension Trustees) Ltd.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Dunlop Tires Manufacturing GmbH &amp; Co. KG</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Dunlop Tires Operations S.A.</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Dunlop Tires Suisse S.A.</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Dunlop Tyres UK (Pension Trustees) Limited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Earthmover Pty Ltd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Egypt L.L.C.</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Egypt</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Europe B.V.</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Finland OY</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Finland</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France SAS</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Hellas Single Member Industrial and Commercial Societe Anonyme</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Greece</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Holdings Sarl</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Hungary Kft.</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Hungary</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India Ltd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Industrial Rubber Products Ltd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Italiana S.p.A.</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Jamaica Limited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Jamaica</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Korea Company</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Korea</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Lastikleri TAS</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Turkey</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Malaysia Berhad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Middle East FZE</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Dubai</w:t>
            </w:r>
          </w:p>
        </w:tc>
      </w:tr>
    </w:tbl>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sectPr>
      </w:pPr>
    </w:p>
    <w:bookmarkStart w:id="173" w:name="page174"/>
    <w:bookmarkEnd w:id="173"/>
    <w:tbl>
      <w:tblPr>
        <w:tblLayout w:type="fixed"/>
        <w:tblInd w:w="1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81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216"/>
        </w:trPr>
        <w:tc>
          <w:tcPr>
            <w:tcW w:w="818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238"/>
        </w:trPr>
        <w:tc>
          <w:tcPr>
            <w:tcW w:w="818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11"/>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080" w:type="dxa"/>
            <w:vAlign w:val="bottom"/>
          </w:tcPr>
          <w:p>
            <w:pPr>
              <w:spacing w:after="0"/>
              <w:rPr>
                <w:sz w:val="24"/>
                <w:szCs w:val="24"/>
                <w:color w:val="auto"/>
              </w:rPr>
            </w:pPr>
          </w:p>
        </w:tc>
      </w:tr>
      <w:tr>
        <w:trPr>
          <w:trHeight w:val="108"/>
        </w:trPr>
        <w:tc>
          <w:tcPr>
            <w:tcW w:w="818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Mounting Solutions S.A.</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Nederland B.V.</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Norge A/S</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Norway</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Operations Romania SrL</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Romania</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Orient Company Private Limited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Philippines, Inc.</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Polska Sp. z.o.o.</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Portugal Unipessoal, Ltda</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Portugal</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Regional Business Services Inc.</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Romania S.r.L.</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Romania</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Russia LLC</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S.A.</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Servicios y Asistencia Tecnica S. de R.L. de C.V.</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Servicios Comerciales S. de R.L. de C.V.</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(Shanghai) Trading Company Limited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Slovakia s.r.o.</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Slovakia</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Goodyear-SLP, S. de R.L. de C.V.</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South Africa (Pty) Ltd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South Asia Tyres Private Limited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Sverige A.B.</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Taiwan Limited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(Thailand) Public Company Limited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Tire Management Company (Shanghai) Ltd.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Tires Espana S.A.</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Tires Italia SpA</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Tyre and Rubber Holdings (Pty) Ltd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Tyres Ireland Ltd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Tyres Pty Ltd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Tyres UK Limited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Tyres Vietnam LLC</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Vietnam</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Ukraine</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Ukraine</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Goodyear Ventech GmbH</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GY Tire Kitakanto Kabushiki Kaisha</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Hi-Q Automotive (Pty) Ltd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HiQ Holdings Limited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Kabushiki Kaisha Goodyear Aviation Japan</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Kabushiki Kaisha Tohoku GY</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Kelly-Springfield Tyre Company Ltd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Kettering Tyres Ltd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Motorway Tyres &amp; Accessories (UK) Limited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Neumaticos Goodyear S.r.L.</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Argentina</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Nippon Giant Tire Kabushiki Kaisha</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Nippon Goodyear Kabushiki Kaisha</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Goodyear Indonesia Tbk</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Reifen Baierlacher GmbH</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Saudi Goodyear Management Consulting Co.</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Saudi Arabia</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Sava Trade d.o.o.</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Croatia</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Snella Auto SAS</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 Brand Holding EEIG</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r>
    </w:tbl>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74" w:name="page175"/>
    <w:bookmarkEnd w:id="174"/>
    <w:tbl>
      <w:tblPr>
        <w:tblLayout w:type="fixed"/>
        <w:tblInd w:w="1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81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216"/>
        </w:trPr>
        <w:tc>
          <w:tcPr>
            <w:tcW w:w="818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238"/>
        </w:trPr>
        <w:tc>
          <w:tcPr>
            <w:tcW w:w="818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11"/>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080" w:type="dxa"/>
            <w:vAlign w:val="bottom"/>
          </w:tcPr>
          <w:p>
            <w:pPr>
              <w:spacing w:after="0"/>
              <w:rPr>
                <w:sz w:val="24"/>
                <w:szCs w:val="24"/>
                <w:color w:val="auto"/>
              </w:rPr>
            </w:pPr>
          </w:p>
        </w:tc>
      </w:tr>
      <w:tr>
        <w:trPr>
          <w:trHeight w:val="108"/>
        </w:trPr>
        <w:tc>
          <w:tcPr>
            <w:tcW w:w="818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+Tire Company Debica S.A.</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Tyres Australia Pty Ltd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Tren Tyre Holdings (Pty) Ltd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+Trentyre (Lesotho) (Pty) Ltd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Lesotho</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+Trentyre (Pty) Ltd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Tyre Services Great Britain Limited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UK Tyres Lubricants Limited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Vulco Developpement</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Vulco Truck Services</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Weeting Tyres Limited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Wingfoot Insurance Company Limited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Bermuda</w:t>
            </w:r>
          </w:p>
        </w:tc>
      </w:tr>
      <w:tr>
        <w:trPr>
          <w:trHeight w:val="210"/>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WTL Suffolk Limited</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09"/>
        </w:trPr>
        <w:tc>
          <w:tcPr>
            <w:tcW w:w="8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 Fleet Group GmbH</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bl>
    <w:p>
      <w:pPr>
        <w:spacing w:after="0" w:line="198" w:lineRule="exact"/>
        <w:rPr>
          <w:sz w:val="20"/>
          <w:szCs w:val="20"/>
          <w:color w:val="auto"/>
        </w:rPr>
      </w:pPr>
    </w:p>
    <w:p>
      <w:pPr>
        <w:ind w:right="240" w:firstLine="8"/>
        <w:spacing w:after="0" w:line="282" w:lineRule="auto"/>
        <w:tabs>
          <w:tab w:leader="none" w:pos="65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subsidiaries named in the foregoing list conducts its business under its corporate name and, in a few instances, under a shortened form of its corporate name or in combination with a trade name.</w:t>
      </w:r>
    </w:p>
    <w:p>
      <w:pPr>
        <w:spacing w:after="0" w:line="161" w:lineRule="exact"/>
        <w:rPr>
          <w:rFonts w:ascii="Times New Roman" w:cs="Times New Roman" w:eastAsia="Times New Roman" w:hAnsi="Times New Roman"/>
          <w:sz w:val="18"/>
          <w:szCs w:val="18"/>
          <w:color w:val="auto"/>
        </w:rPr>
      </w:pPr>
    </w:p>
    <w:p>
      <w:pPr>
        <w:jc w:val="both"/>
        <w:ind w:right="220" w:firstLine="8"/>
        <w:spacing w:after="0" w:line="256" w:lineRule="auto"/>
        <w:tabs>
          <w:tab w:leader="none" w:pos="60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subsidiaries named in the foregoing list is directly or indirectly wholly-owned by the Registrant, except that in respect of each of the following subsidiaries (marked by a plus preceding its name) the Registrant directly or indirectly owns the indicated percentage of such subsidiary’s equity capital: Compania Goodyear del Peru, S.A., 99.54%; DNA (Housemarks) Limited, 98%; Goodyear India Ltd., 74%; Goodyear Jamaica Limited, 60%; Goodyear Lastikleri TAS, 74.6%; Goodyear Malaysia Berhad, 51%; Goodyear Operations Romania S.r.L., 99.9%; Goodyear Philippines, Inc., 88.54%; Goodyear Taiwan Limited, 94.22%; Goodyear (Thailand) Public Company Limited, 66.79%; P.T. Goodyear Indonesia Tbk, 85%; Tire Company Debica S.A., 87.25%; Trentyre (Lesotho) (Pty) Ltd, 69.93%; and Trentyre (Pty) Ltd, 69.93%.</w:t>
      </w:r>
    </w:p>
    <w:p>
      <w:pPr>
        <w:spacing w:after="0" w:line="187" w:lineRule="exact"/>
        <w:rPr>
          <w:rFonts w:ascii="Times New Roman" w:cs="Times New Roman" w:eastAsia="Times New Roman" w:hAnsi="Times New Roman"/>
          <w:sz w:val="18"/>
          <w:szCs w:val="18"/>
          <w:color w:val="auto"/>
        </w:rPr>
      </w:pPr>
    </w:p>
    <w:p>
      <w:pPr>
        <w:ind w:right="220" w:firstLine="8"/>
        <w:spacing w:after="0" w:line="282" w:lineRule="auto"/>
        <w:tabs>
          <w:tab w:leader="none" w:pos="60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C.A. Goodyear de Venezuela and Wingfoot Corporation, at December 31, 2020, the Registrant did not have any majority owned subsidiaries that were not consolidated.</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60"/>
          </w:cols>
          <w:pgMar w:left="320" w:top="360" w:right="31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subsidiaries of The Goodyear Tire &amp; Rubber Company (the "Parent Company") were, as of December 31, 2020, guarantors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5.125% senior notes due 2023, 9.5% senior notes due 2025, 5% senior notes due 2026, and 4.875% senior notes due 2027:</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20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198"/>
        </w:trPr>
        <w:tc>
          <w:tcPr>
            <w:tcW w:w="8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NAME OF SUBSIDIARY</w:t>
            </w:r>
          </w:p>
        </w:tc>
        <w:tc>
          <w:tcPr>
            <w:tcW w:w="17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OR ORGANIZATION</w:t>
            </w:r>
          </w:p>
        </w:tc>
      </w:tr>
      <w:tr>
        <w:trPr>
          <w:trHeight w:val="245"/>
        </w:trPr>
        <w:tc>
          <w:tcPr>
            <w:tcW w:w="2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Celeron Corporation</w:t>
            </w:r>
          </w:p>
        </w:tc>
        <w:tc>
          <w:tcPr>
            <w:tcW w:w="6540" w:type="dxa"/>
            <w:vAlign w:val="bottom"/>
          </w:tcPr>
          <w:p>
            <w:pPr>
              <w:spacing w:after="0"/>
              <w:rPr>
                <w:sz w:val="21"/>
                <w:szCs w:val="21"/>
                <w:color w:val="auto"/>
              </w:rPr>
            </w:pPr>
          </w:p>
        </w:tc>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Canada Inc.</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29"/>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Export Inc.</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Farms, Inc.</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Raben Tire Co., LLC</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Indiana</w:t>
            </w:r>
          </w:p>
        </w:tc>
      </w:tr>
      <w:tr>
        <w:trPr>
          <w:trHeight w:val="234"/>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T&amp;WA, Inc.</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Kentucky</w:t>
            </w:r>
          </w:p>
        </w:tc>
      </w:tr>
    </w:tbl>
    <w:p>
      <w:pPr>
        <w:sectPr>
          <w:pgSz w:w="11900" w:h="16838" w:orient="portrait"/>
          <w:cols w:equalWidth="0" w:num="1">
            <w:col w:w="11240"/>
          </w:cols>
          <w:pgMar w:left="320" w:top="360"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(i) the Registration Statements on Form S-8 (Nos. 333-219603, 333-190252, 333-177752, 333-150405, 333-141468, 333-126566, and 333-126565) and (ii) the Registration Statement on Form S-3 (No. 333-238212) of The Goodyear Tire &amp; Rubber Company of our report dated February 9, 2021 relating to the financial statements and financial statement schedule and the effectiveness of internal control over financial reporting, which appears in this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2021</w:t>
      </w:r>
    </w:p>
    <w:p>
      <w:pPr>
        <w:sectPr>
          <w:pgSz w:w="11900" w:h="16838" w:orient="portrait"/>
          <w:cols w:equalWidth="0" w:num="1">
            <w:col w:w="11240"/>
          </w:cols>
          <w:pgMar w:left="320" w:top="333"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GOODYEAR TIRE &amp; RUBBER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10" w:lineRule="exact"/>
        <w:rPr>
          <w:sz w:val="20"/>
          <w:szCs w:val="20"/>
          <w:color w:val="auto"/>
        </w:rPr>
      </w:pPr>
    </w:p>
    <w:p>
      <w:pPr>
        <w:jc w:val="both"/>
        <w:ind w:firstLine="802"/>
        <w:spacing w:after="0" w:line="233" w:lineRule="auto"/>
        <w:rPr>
          <w:sz w:val="20"/>
          <w:szCs w:val="20"/>
          <w:color w:val="auto"/>
        </w:rPr>
      </w:pPr>
      <w:r>
        <w:rPr>
          <w:rFonts w:ascii="Times New Roman" w:cs="Times New Roman" w:eastAsia="Times New Roman" w:hAnsi="Times New Roman"/>
          <w:sz w:val="22"/>
          <w:szCs w:val="22"/>
          <w:color w:val="auto"/>
        </w:rPr>
        <w:t>KNOW ALL MEN BY THESE PRESENTS, that the undersigned directors of THE GOODYEAR TIRE &amp; RUBBER COMPANY, a corporation organized and existing under the laws of the State of Ohio (the “Company”), hereby constitute and appoint DARREN R. WELLS, EVAN M. SCOCOS and DANIEL T. YOUNG, and each of them, their true and lawful attorneys-in-fact and agents, each one of them with full power and authority to sign the names of the undersigned directors to the Company’s Annual Report to the Securities and Exchange Commission on Form 10-K for its fiscal year ended December 31, 2020, and to any and all amendments, supplements and exhibits thereto and any other instruments filed in connection therewith; provided, however, that said attorneys-in-fact shall not sign the name of any director unless and until the Annual Report shall have been duly executed by the officers of the Company then serving as the chief executive officer of the Company, the principal financial officer of the Company and the principal accounting officer of the Company; and each of the undersigned hereby ratifies and confirms all that the said attorneys-in-fact and agents, or any one or more of them, shall do or cause to be done by virtue hereof.</w:t>
      </w:r>
    </w:p>
    <w:p>
      <w:pPr>
        <w:spacing w:after="0" w:line="18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IN WITNESS WHEREOF, the undersigned have subscribed these presents this 17th day of December, 2020.</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/s/ James A. Firestone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4688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1"/>
          <w:szCs w:val="21"/>
          <w:color w:val="auto"/>
        </w:rPr>
        <w:t>James A. Firestone, Director</w:t>
      </w:r>
    </w:p>
    <w:p>
      <w:pPr>
        <w:spacing w:after="0" w:line="38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/s/ Peter S. Hellman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4688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Peter S. Hellman, Director</w:t>
      </w:r>
    </w:p>
    <w:p>
      <w:pPr>
        <w:spacing w:after="0" w:line="37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/s/ Richard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4688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4">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Richard J. Kramer, Director</w:t>
      </w:r>
    </w:p>
    <w:p>
      <w:pPr>
        <w:spacing w:after="0" w:line="37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/s/ John E. McGlade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4688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John E. McGlade, Director</w:t>
      </w:r>
    </w:p>
    <w:p>
      <w:pPr>
        <w:spacing w:after="0" w:line="37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/s/ Hera Siu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4688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Hera Siu, Director</w:t>
      </w:r>
    </w:p>
    <w:p>
      <w:pPr>
        <w:spacing w:after="0" w:line="37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/s/ Michael R. Wessel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4688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7">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1"/>
          <w:szCs w:val="21"/>
          <w:color w:val="auto"/>
        </w:rPr>
        <w:t>Michael R. Wessel,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22"/>
          <w:szCs w:val="22"/>
          <w:color w:val="auto"/>
        </w:rPr>
        <w:t>/s/ Werner Geissler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10795</wp:posOffset>
            </wp:positionV>
            <wp:extent cx="24688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22"/>
          <w:szCs w:val="22"/>
          <w:color w:val="auto"/>
        </w:rPr>
        <w:t>Werner Geissler, Director</w:t>
      </w:r>
    </w:p>
    <w:p>
      <w:pPr>
        <w:spacing w:after="0" w:line="371"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22"/>
          <w:szCs w:val="22"/>
          <w:color w:val="auto"/>
        </w:rPr>
        <w:t>/s/ Laurette T. Koellner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10795</wp:posOffset>
            </wp:positionV>
            <wp:extent cx="24688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22"/>
          <w:szCs w:val="22"/>
          <w:color w:val="auto"/>
        </w:rPr>
        <w:t>Laurette T. Koellner, Director</w:t>
      </w:r>
    </w:p>
    <w:p>
      <w:pPr>
        <w:spacing w:after="0" w:line="371"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22"/>
          <w:szCs w:val="22"/>
          <w:color w:val="auto"/>
        </w:rPr>
        <w:t>/s/ W. Alan McCollough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10795</wp:posOffset>
            </wp:positionV>
            <wp:extent cx="24688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0">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8"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21"/>
          <w:szCs w:val="21"/>
          <w:color w:val="auto"/>
        </w:rPr>
        <w:t>W. Alan McCollough, Director</w:t>
      </w:r>
    </w:p>
    <w:p>
      <w:pPr>
        <w:spacing w:after="0" w:line="383"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22"/>
          <w:szCs w:val="22"/>
          <w:color w:val="auto"/>
        </w:rPr>
        <w:t>/s/ Roderick A. Palmore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10795</wp:posOffset>
            </wp:positionV>
            <wp:extent cx="24688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21"/>
          <w:szCs w:val="21"/>
          <w:color w:val="auto"/>
        </w:rPr>
        <w:t>Roderick A. Palmore, Director</w:t>
      </w:r>
    </w:p>
    <w:p>
      <w:pPr>
        <w:spacing w:after="0" w:line="383"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22"/>
          <w:szCs w:val="22"/>
          <w:color w:val="auto"/>
        </w:rPr>
        <w:t>/s/ Stephanie A. Streeter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10795</wp:posOffset>
            </wp:positionV>
            <wp:extent cx="24688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21"/>
          <w:szCs w:val="21"/>
          <w:color w:val="auto"/>
        </w:rPr>
        <w:t>Stephanie A. Streeter, Director</w:t>
      </w:r>
    </w:p>
    <w:p>
      <w:pPr>
        <w:spacing w:after="0" w:line="383"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22"/>
          <w:szCs w:val="22"/>
          <w:color w:val="auto"/>
        </w:rPr>
        <w:t>/s/ Thomas L.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10795</wp:posOffset>
            </wp:positionV>
            <wp:extent cx="24688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3">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8"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22"/>
          <w:szCs w:val="22"/>
          <w:color w:val="auto"/>
        </w:rPr>
        <w:t>Thomas L. Williams, Director</w:t>
      </w:r>
    </w:p>
    <w:p>
      <w:pPr>
        <w:sectPr>
          <w:pgSz w:w="11900" w:h="16838" w:orient="portrait"/>
          <w:cols w:equalWidth="0" w:num="2">
            <w:col w:w="4420" w:space="720"/>
            <w:col w:w="6100"/>
          </w:cols>
          <w:pgMar w:left="320" w:top="360" w:right="339" w:bottom="1440" w:gutter="0" w:footer="0" w:header="0"/>
          <w:type w:val="continuous"/>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J. Kramer, certify that:</w:t>
      </w:r>
    </w:p>
    <w:p>
      <w:pPr>
        <w:spacing w:after="0" w:line="185" w:lineRule="exact"/>
        <w:rPr>
          <w:sz w:val="20"/>
          <w:szCs w:val="20"/>
          <w:color w:val="auto"/>
        </w:rPr>
      </w:pPr>
    </w:p>
    <w:p>
      <w:pPr>
        <w:ind w:left="540" w:hanging="532"/>
        <w:spacing w:after="0"/>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Goodyear Tire &amp; Rubber Company;</w:t>
      </w:r>
    </w:p>
    <w:p>
      <w:pPr>
        <w:spacing w:after="0" w:line="184" w:lineRule="exact"/>
        <w:rPr>
          <w:rFonts w:ascii="Times New Roman" w:cs="Times New Roman" w:eastAsia="Times New Roman" w:hAnsi="Times New Roman"/>
          <w:sz w:val="18"/>
          <w:szCs w:val="18"/>
          <w:color w:val="auto"/>
        </w:rPr>
      </w:pPr>
    </w:p>
    <w:p>
      <w:pPr>
        <w:jc w:val="both"/>
        <w:ind w:left="540" w:right="240" w:hanging="532"/>
        <w:spacing w:after="0" w:line="266"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40" w:right="200" w:hanging="532"/>
        <w:spacing w:after="0" w:line="282"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40" w:right="240" w:hanging="532"/>
        <w:spacing w:after="0" w:line="266"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060" w:right="160" w:hanging="526"/>
        <w:spacing w:after="0" w:line="266" w:lineRule="auto"/>
        <w:tabs>
          <w:tab w:leader="none" w:pos="10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060" w:right="280" w:hanging="526"/>
        <w:spacing w:after="0" w:line="266" w:lineRule="auto"/>
        <w:tabs>
          <w:tab w:leader="none" w:pos="10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060" w:right="460" w:hanging="526"/>
        <w:spacing w:after="0" w:line="312" w:lineRule="auto"/>
        <w:tabs>
          <w:tab w:leader="none" w:pos="106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060" w:hanging="526"/>
        <w:spacing w:after="0" w:line="266" w:lineRule="auto"/>
        <w:tabs>
          <w:tab w:leader="none" w:pos="10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40" w:right="220" w:hanging="532"/>
        <w:spacing w:after="0" w:line="282"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60" w:right="700" w:hanging="526"/>
        <w:spacing w:after="0" w:line="282" w:lineRule="auto"/>
        <w:tabs>
          <w:tab w:leader="none" w:pos="10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60" w:right="400" w:hanging="526"/>
        <w:spacing w:after="0" w:line="282" w:lineRule="auto"/>
        <w:tabs>
          <w:tab w:leader="none" w:pos="10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2021</w:t>
      </w:r>
    </w:p>
    <w:p>
      <w:pPr>
        <w:spacing w:after="0" w:line="200" w:lineRule="exact"/>
        <w:rPr>
          <w:sz w:val="20"/>
          <w:szCs w:val="20"/>
          <w:color w:val="auto"/>
        </w:rPr>
      </w:pPr>
    </w:p>
    <w:p>
      <w:pPr>
        <w:spacing w:after="0" w:line="268"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18"/>
          <w:szCs w:val="18"/>
          <w:color w:val="auto"/>
        </w:rPr>
        <w:t xml:space="preserve"> J. K</w:t>
      </w:r>
      <w:r>
        <w:rPr>
          <w:rFonts w:ascii="Times New Roman" w:cs="Times New Roman" w:eastAsia="Times New Roman" w:hAnsi="Times New Roman"/>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34290</wp:posOffset>
            </wp:positionV>
            <wp:extent cx="42773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4">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5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Richard J. Kramer</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Darren R. Wells, certify that:</w:t>
      </w:r>
    </w:p>
    <w:p>
      <w:pPr>
        <w:spacing w:after="0" w:line="185" w:lineRule="exact"/>
        <w:rPr>
          <w:sz w:val="20"/>
          <w:szCs w:val="20"/>
          <w:color w:val="auto"/>
        </w:rPr>
      </w:pPr>
    </w:p>
    <w:p>
      <w:pPr>
        <w:ind w:left="540" w:hanging="532"/>
        <w:spacing w:after="0"/>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Goodyear Tire &amp; Rubber Company;</w:t>
      </w:r>
    </w:p>
    <w:p>
      <w:pPr>
        <w:spacing w:after="0" w:line="184" w:lineRule="exact"/>
        <w:rPr>
          <w:rFonts w:ascii="Times New Roman" w:cs="Times New Roman" w:eastAsia="Times New Roman" w:hAnsi="Times New Roman"/>
          <w:sz w:val="18"/>
          <w:szCs w:val="18"/>
          <w:color w:val="auto"/>
        </w:rPr>
      </w:pPr>
    </w:p>
    <w:p>
      <w:pPr>
        <w:jc w:val="both"/>
        <w:ind w:left="540" w:right="240" w:hanging="532"/>
        <w:spacing w:after="0" w:line="266"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40" w:right="200" w:hanging="532"/>
        <w:spacing w:after="0" w:line="282"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40" w:right="240" w:hanging="532"/>
        <w:spacing w:after="0" w:line="266"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060" w:right="160" w:hanging="526"/>
        <w:spacing w:after="0" w:line="266" w:lineRule="auto"/>
        <w:tabs>
          <w:tab w:leader="none" w:pos="10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060" w:right="280" w:hanging="526"/>
        <w:spacing w:after="0" w:line="266" w:lineRule="auto"/>
        <w:tabs>
          <w:tab w:leader="none" w:pos="10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060" w:right="460" w:hanging="526"/>
        <w:spacing w:after="0" w:line="312" w:lineRule="auto"/>
        <w:tabs>
          <w:tab w:leader="none" w:pos="106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060" w:hanging="526"/>
        <w:spacing w:after="0" w:line="266" w:lineRule="auto"/>
        <w:tabs>
          <w:tab w:leader="none" w:pos="10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40" w:right="220" w:hanging="532"/>
        <w:spacing w:after="0" w:line="282"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60" w:right="700" w:hanging="526"/>
        <w:spacing w:after="0" w:line="282" w:lineRule="auto"/>
        <w:tabs>
          <w:tab w:leader="none" w:pos="10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60" w:right="400" w:hanging="526"/>
        <w:spacing w:after="0" w:line="282" w:lineRule="auto"/>
        <w:tabs>
          <w:tab w:leader="none" w:pos="10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2021</w:t>
      </w:r>
    </w:p>
    <w:p>
      <w:pPr>
        <w:spacing w:after="0" w:line="200" w:lineRule="exact"/>
        <w:rPr>
          <w:sz w:val="20"/>
          <w:szCs w:val="20"/>
          <w:color w:val="auto"/>
        </w:rPr>
      </w:pPr>
    </w:p>
    <w:p>
      <w:pPr>
        <w:spacing w:after="0" w:line="268"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ARREN</w:t>
      </w:r>
      <w:r>
        <w:rPr>
          <w:rFonts w:ascii="Times New Roman" w:cs="Times New Roman" w:eastAsia="Times New Roman" w:hAnsi="Times New Roman"/>
          <w:sz w:val="18"/>
          <w:szCs w:val="18"/>
          <w:color w:val="auto"/>
        </w:rPr>
        <w:t xml:space="preserve"> R. W</w:t>
      </w:r>
      <w:r>
        <w:rPr>
          <w:rFonts w:ascii="Times New Roman" w:cs="Times New Roman" w:eastAsia="Times New Roman" w:hAnsi="Times New Roman"/>
          <w:sz w:val="14"/>
          <w:szCs w:val="14"/>
          <w:color w:val="auto"/>
        </w:rPr>
        <w:t>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34290</wp:posOffset>
            </wp:positionV>
            <wp:extent cx="42773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5">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5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Darren R. Wells</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360"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(Subsections (a) and (b) of Section 1350, Chapter 63 of Title 18, United States Code)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each of the undersigned officers of The Goodyear Tire &amp; Rubber Company, an Ohio corporation (the “Company”), hereby certifies with respect to the Annual Report on Form 10-K of the Company for the year ended December 31, 2020 as filed with the Securities and Exchange Commission (the “10-K Report”) that to his knowledge:</w:t>
      </w:r>
    </w:p>
    <w:p>
      <w:pPr>
        <w:spacing w:after="0" w:line="176" w:lineRule="exact"/>
        <w:rPr>
          <w:sz w:val="20"/>
          <w:szCs w:val="20"/>
          <w:color w:val="auto"/>
        </w:rPr>
      </w:pPr>
    </w:p>
    <w:p>
      <w:pPr>
        <w:ind w:left="540" w:hanging="532"/>
        <w:spacing w:after="0"/>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10-K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40" w:right="680" w:hanging="532"/>
        <w:spacing w:after="0" w:line="282"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10-K Report fairly presents, in all material respects, the financial condition and results of operations of the Company.</w:t>
      </w:r>
    </w:p>
    <w:p>
      <w:pPr>
        <w:spacing w:after="0" w:line="378" w:lineRule="exact"/>
        <w:rPr>
          <w:sz w:val="20"/>
          <w:szCs w:val="20"/>
          <w:color w:val="auto"/>
        </w:rPr>
      </w:pPr>
    </w:p>
    <w:p>
      <w:pPr>
        <w:ind w:left="220"/>
        <w:spacing w:after="0"/>
        <w:tabs>
          <w:tab w:leader="none" w:pos="5740" w:val="left"/>
        </w:tabs>
        <w:rPr>
          <w:sz w:val="20"/>
          <w:szCs w:val="20"/>
          <w:color w:val="auto"/>
        </w:rPr>
      </w:pPr>
      <w:r>
        <w:rPr>
          <w:rFonts w:ascii="Times New Roman" w:cs="Times New Roman" w:eastAsia="Times New Roman" w:hAnsi="Times New Roman"/>
          <w:sz w:val="18"/>
          <w:szCs w:val="18"/>
          <w:color w:val="auto"/>
        </w:rPr>
        <w:t>Dated: February 9, 2021</w:t>
      </w:r>
      <w:r>
        <w:rPr>
          <w:sz w:val="20"/>
          <w:szCs w:val="20"/>
          <w:color w:val="auto"/>
        </w:rPr>
        <w:tab/>
      </w: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18"/>
          <w:szCs w:val="18"/>
          <w:color w:val="auto"/>
        </w:rPr>
        <w:t xml:space="preserve"> J. K</w:t>
      </w:r>
      <w:r>
        <w:rPr>
          <w:rFonts w:ascii="Times New Roman" w:cs="Times New Roman" w:eastAsia="Times New Roman" w:hAnsi="Times New Roman"/>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17145</wp:posOffset>
            </wp:positionV>
            <wp:extent cx="42773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6">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Richard J. Kramer</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tabs>
          <w:tab w:leader="none" w:pos="5800" w:val="left"/>
        </w:tabs>
        <w:rPr>
          <w:sz w:val="20"/>
          <w:szCs w:val="20"/>
          <w:color w:val="auto"/>
        </w:rPr>
      </w:pPr>
      <w:r>
        <w:rPr>
          <w:rFonts w:ascii="Times New Roman" w:cs="Times New Roman" w:eastAsia="Times New Roman" w:hAnsi="Times New Roman"/>
          <w:sz w:val="18"/>
          <w:szCs w:val="18"/>
          <w:color w:val="auto"/>
        </w:rPr>
        <w:t>Dated: February 9, 2021</w:t>
      </w:r>
      <w:r>
        <w:rPr>
          <w:sz w:val="20"/>
          <w:szCs w:val="20"/>
          <w:color w:val="auto"/>
        </w:rPr>
        <w:tab/>
      </w: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ARREN</w:t>
      </w:r>
      <w:r>
        <w:rPr>
          <w:rFonts w:ascii="Times New Roman" w:cs="Times New Roman" w:eastAsia="Times New Roman" w:hAnsi="Times New Roman"/>
          <w:sz w:val="18"/>
          <w:szCs w:val="18"/>
          <w:color w:val="auto"/>
        </w:rPr>
        <w:t xml:space="preserve"> R. W</w:t>
      </w:r>
      <w:r>
        <w:rPr>
          <w:rFonts w:ascii="Times New Roman" w:cs="Times New Roman" w:eastAsia="Times New Roman" w:hAnsi="Times New Roman"/>
          <w:sz w:val="14"/>
          <w:szCs w:val="14"/>
          <w:color w:val="auto"/>
        </w:rPr>
        <w:t>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17145</wp:posOffset>
            </wp:positionV>
            <wp:extent cx="42773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7">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Darren R. Wells</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The Goodyear Tire &amp; Rubber Company</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1)"/>
      <w:numFmt w:val="decimal"/>
      <w:start w:val="1"/>
    </w:lvl>
  </w:abstractNum>
  <w:abstractNum w:abstractNumId="12">
    <w:nsid w:val="4AD084E9"/>
    <w:multiLevelType w:val="hybridMultilevel"/>
    <w:lvl w:ilvl="0">
      <w:lvlJc w:val="left"/>
      <w:lvlText w:val="(%1)"/>
      <w:numFmt w:val="decimal"/>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1)"/>
      <w:numFmt w:val="lowerRoman"/>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1)"/>
      <w:numFmt w:val="decimal"/>
      <w:start w:val="1"/>
    </w:lvl>
  </w:abstractNum>
  <w:abstractNum w:abstractNumId="23">
    <w:nsid w:val="42C296BD"/>
    <w:multiLevelType w:val="hybridMultilevel"/>
    <w:lvl w:ilvl="0">
      <w:lvlJc w:val="left"/>
      <w:lvlText w:val="(%1)"/>
      <w:numFmt w:val="decimal"/>
      <w:start w:val="2"/>
    </w:lvl>
  </w:abstractNum>
  <w:abstractNum w:abstractNumId="24">
    <w:nsid w:val="168E121F"/>
    <w:multiLevelType w:val="hybridMultilevel"/>
    <w:lvl w:ilvl="0">
      <w:lvlJc w:val="left"/>
      <w:lvlText w:val="(%1)"/>
      <w:numFmt w:val="decimal"/>
      <w:start w:val="1"/>
    </w:lvl>
    <w:lvl w:ilvl="1">
      <w:lvlJc w:val="left"/>
      <w:lvlText w:val="•"/>
      <w:numFmt w:val="bullet"/>
      <w:start w:val="1"/>
    </w:lvl>
  </w:abstractNum>
  <w:abstractNum w:abstractNumId="25">
    <w:nsid w:val="1EBA5D23"/>
    <w:multiLevelType w:val="hybridMultilevel"/>
    <w:lvl w:ilvl="0">
      <w:lvlJc w:val="left"/>
      <w:lvlText w:val="(%1)"/>
      <w:numFmt w:val="decimal"/>
      <w:start w:val="7"/>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1)"/>
      <w:numFmt w:val="decimal"/>
      <w:start w:val="1"/>
    </w:lvl>
  </w:abstractNum>
  <w:abstractNum w:abstractNumId="33">
    <w:nsid w:val="11447B73"/>
    <w:multiLevelType w:val="hybridMultilevel"/>
    <w:lvl w:ilvl="0">
      <w:lvlJc w:val="left"/>
      <w:lvlText w:val="(%1)"/>
      <w:numFmt w:val="decimal"/>
      <w:start w:val="1"/>
    </w:lvl>
  </w:abstractNum>
  <w:abstractNum w:abstractNumId="34">
    <w:nsid w:val="42963E5A"/>
    <w:multiLevelType w:val="hybridMultilevel"/>
    <w:lvl w:ilvl="0">
      <w:lvlJc w:val="left"/>
      <w:lvlText w:val="(%1)"/>
      <w:numFmt w:val="decimal"/>
      <w:start w:val="1"/>
    </w:lvl>
  </w:abstractNum>
  <w:abstractNum w:abstractNumId="35">
    <w:nsid w:val="A0382C5"/>
    <w:multiLevelType w:val="hybridMultilevel"/>
    <w:lvl w:ilvl="0">
      <w:lvlJc w:val="left"/>
      <w:lvlText w:val="(%1)"/>
      <w:numFmt w:val="decimal"/>
      <w:start w:val="1"/>
    </w:lvl>
  </w:abstractNum>
  <w:abstractNum w:abstractNumId="36">
    <w:nsid w:val="8F2B15E"/>
    <w:multiLevelType w:val="hybridMultilevel"/>
    <w:lvl w:ilvl="0">
      <w:lvlJc w:val="left"/>
      <w:lvlText w:val="(%1)"/>
      <w:numFmt w:val="decimal"/>
      <w:start w:val="1"/>
    </w:lvl>
    <w:lvl w:ilvl="1">
      <w:lvlJc w:val="left"/>
      <w:lvlText w:val="•"/>
      <w:numFmt w:val="bullet"/>
      <w:start w:val="1"/>
    </w:lvl>
  </w:abstractNum>
  <w:abstractNum w:abstractNumId="37">
    <w:nsid w:val="1A32234B"/>
    <w:multiLevelType w:val="hybridMultilevel"/>
    <w:lvl w:ilvl="0">
      <w:lvlJc w:val="left"/>
      <w:lvlText w:val="(%1)"/>
      <w:numFmt w:val="decimal"/>
      <w:start w:val="1"/>
    </w:lvl>
  </w:abstractNum>
  <w:abstractNum w:abstractNumId="38">
    <w:nsid w:val="3B0FD379"/>
    <w:multiLevelType w:val="hybridMultilevel"/>
    <w:lvl w:ilvl="0">
      <w:lvlJc w:val="left"/>
      <w:lvlText w:val="(%1)"/>
      <w:numFmt w:val="decimal"/>
      <w:start w:val="1"/>
    </w:lvl>
  </w:abstractNum>
  <w:abstractNum w:abstractNumId="39">
    <w:nsid w:val="68EB2F63"/>
    <w:multiLevelType w:val="hybridMultilevel"/>
    <w:lvl w:ilvl="0">
      <w:lvlJc w:val="left"/>
      <w:lvlText w:val="(%1)"/>
      <w:numFmt w:val="decimal"/>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1)"/>
      <w:numFmt w:val="lowerRoman"/>
      <w:start w:val="1"/>
    </w:lvl>
  </w:abstractNum>
  <w:abstractNum w:abstractNumId="42">
    <w:nsid w:val="6A5EE64"/>
    <w:multiLevelType w:val="hybridMultilevel"/>
    <w:lvl w:ilvl="0">
      <w:lvlJc w:val="left"/>
      <w:lvlText w:val="(%1)"/>
      <w:numFmt w:val="lowerRoman"/>
      <w:start w:val="3"/>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1)"/>
      <w:numFmt w:val="decimal"/>
      <w:start w:val="1"/>
    </w:lvl>
  </w:abstractNum>
  <w:abstractNum w:abstractNumId="45">
    <w:nsid w:val="1A27709E"/>
    <w:multiLevelType w:val="hybridMultilevel"/>
    <w:lvl w:ilvl="0">
      <w:lvlJc w:val="left"/>
      <w:lvlText w:val="(%1)"/>
      <w:numFmt w:val="decimal"/>
      <w:start w:val="1"/>
    </w:lvl>
  </w:abstractNum>
  <w:abstractNum w:abstractNumId="46">
    <w:nsid w:val="71EA1109"/>
    <w:multiLevelType w:val="hybridMultilevel"/>
    <w:lvl w:ilvl="0">
      <w:lvlJc w:val="left"/>
      <w:lvlText w:val="•"/>
      <w:numFmt w:val="bullet"/>
      <w:start w:val="1"/>
    </w:lvl>
  </w:abstractNum>
  <w:abstractNum w:abstractNumId="47">
    <w:nsid w:val="100F59DC"/>
    <w:multiLevelType w:val="hybridMultilevel"/>
    <w:lvl w:ilvl="0">
      <w:lvlJc w:val="left"/>
      <w:lvlText w:val="(%1)"/>
      <w:numFmt w:val="decimal"/>
      <w:start w:val="1"/>
    </w:lvl>
  </w:abstractNum>
  <w:abstractNum w:abstractNumId="48">
    <w:nsid w:val="7FB7E0AA"/>
    <w:multiLevelType w:val="hybridMultilevel"/>
    <w:lvl w:ilvl="0">
      <w:lvlJc w:val="left"/>
      <w:lvlText w:val="(%1)"/>
      <w:numFmt w:val="decimal"/>
      <w:start w:val="1"/>
    </w:lvl>
  </w:abstractNum>
  <w:abstractNum w:abstractNumId="49">
    <w:nsid w:val="6EB5BD4"/>
    <w:multiLevelType w:val="hybridMultilevel"/>
    <w:lvl w:ilvl="0">
      <w:lvlJc w:val="left"/>
      <w:lvlText w:val="(%1)"/>
      <w:numFmt w:val="decimal"/>
      <w:start w:val="1"/>
    </w:lvl>
  </w:abstractNum>
  <w:abstractNum w:abstractNumId="50">
    <w:nsid w:val="6F6DD9AC"/>
    <w:multiLevelType w:val="hybridMultilevel"/>
    <w:lvl w:ilvl="0">
      <w:lvlJc w:val="left"/>
      <w:lvlText w:val="•"/>
      <w:numFmt w:val="bullet"/>
      <w:start w:val="1"/>
    </w:lvl>
  </w:abstractNum>
  <w:abstractNum w:abstractNumId="51">
    <w:nsid w:val="94211F2"/>
    <w:multiLevelType w:val="hybridMultilevel"/>
    <w:lvl w:ilvl="0">
      <w:lvlJc w:val="left"/>
      <w:lvlText w:val="(%1)"/>
      <w:numFmt w:val="decimal"/>
      <w:start w:val="1"/>
    </w:lvl>
  </w:abstractNum>
  <w:abstractNum w:abstractNumId="52">
    <w:nsid w:val="885E1B"/>
    <w:multiLevelType w:val="hybridMultilevel"/>
    <w:lvl w:ilvl="0">
      <w:lvlJc w:val="left"/>
      <w:lvlText w:val="*"/>
      <w:numFmt w:val="bullet"/>
      <w:start w:val="1"/>
    </w:lvl>
  </w:abstractNum>
  <w:abstractNum w:abstractNumId="53">
    <w:nsid w:val="76272110"/>
    <w:multiLevelType w:val="hybridMultilevel"/>
    <w:lvl w:ilvl="0">
      <w:lvlJc w:val="left"/>
      <w:lvlText w:val="*"/>
      <w:numFmt w:val="bullet"/>
      <w:start w:val="1"/>
    </w:lvl>
  </w:abstractNum>
  <w:abstractNum w:abstractNumId="54">
    <w:nsid w:val="4C04A8AF"/>
    <w:multiLevelType w:val="hybridMultilevel"/>
    <w:lvl w:ilvl="0">
      <w:lvlJc w:val="left"/>
      <w:lvlText w:val="(%1)"/>
      <w:numFmt w:val="decimal"/>
      <w:start w:val="1"/>
    </w:lvl>
  </w:abstractNum>
  <w:abstractNum w:abstractNumId="55">
    <w:nsid w:val="1716703B"/>
    <w:multiLevelType w:val="hybridMultilevel"/>
    <w:lvl w:ilvl="0">
      <w:lvlJc w:val="left"/>
      <w:lvlText w:val="(%1)"/>
      <w:numFmt w:val="lowerLetter"/>
      <w:start w:val="1"/>
    </w:lvl>
  </w:abstractNum>
  <w:abstractNum w:abstractNumId="56">
    <w:nsid w:val="14E17E33"/>
    <w:multiLevelType w:val="hybridMultilevel"/>
    <w:lvl w:ilvl="0">
      <w:lvlJc w:val="left"/>
      <w:lvlText w:val="3"/>
      <w:numFmt w:val="bullet"/>
      <w:start w:val="1"/>
    </w:lvl>
  </w:abstractNum>
  <w:abstractNum w:abstractNumId="57">
    <w:nsid w:val="3222E7CD"/>
    <w:multiLevelType w:val="hybridMultilevel"/>
    <w:lvl w:ilvl="0">
      <w:lvlJc w:val="left"/>
      <w:lvlText w:val="(%1)"/>
      <w:numFmt w:val="lowerLetter"/>
      <w:start w:val="1"/>
    </w:lvl>
  </w:abstractNum>
  <w:abstractNum w:abstractNumId="58">
    <w:nsid w:val="74DE0EE3"/>
    <w:multiLevelType w:val="hybridMultilevel"/>
    <w:lvl w:ilvl="0">
      <w:lvlJc w:val="left"/>
      <w:lvlText w:val="4"/>
      <w:numFmt w:val="bullet"/>
      <w:start w:val="1"/>
    </w:lvl>
  </w:abstractNum>
  <w:abstractNum w:abstractNumId="59">
    <w:nsid w:val="68EBC550"/>
    <w:multiLevelType w:val="hybridMultilevel"/>
    <w:lvl w:ilvl="0">
      <w:lvlJc w:val="left"/>
      <w:lvlText w:val="(%1)"/>
      <w:numFmt w:val="lowerLetter"/>
      <w:start w:val="1"/>
    </w:lvl>
  </w:abstractNum>
  <w:abstractNum w:abstractNumId="60">
    <w:nsid w:val="2DF6D648"/>
    <w:multiLevelType w:val="hybridMultilevel"/>
    <w:lvl w:ilvl="0">
      <w:lvlJc w:val="left"/>
      <w:lvlText w:val="(%1)"/>
      <w:numFmt w:val="lowerLetter"/>
      <w:start w:val="4"/>
    </w:lvl>
  </w:abstractNum>
  <w:abstractNum w:abstractNumId="61">
    <w:nsid w:val="46B7D447"/>
    <w:multiLevelType w:val="hybridMultilevel"/>
    <w:lvl w:ilvl="0">
      <w:lvlJc w:val="left"/>
      <w:lvlText w:val="%1"/>
      <w:numFmt w:val="decimal"/>
      <w:start w:val="10"/>
    </w:lvl>
  </w:abstractNum>
  <w:abstractNum w:abstractNumId="62">
    <w:nsid w:val="4A2AC315"/>
    <w:multiLevelType w:val="hybridMultilevel"/>
    <w:lvl w:ilvl="0">
      <w:lvlJc w:val="left"/>
      <w:lvlText w:val="(%1)"/>
      <w:numFmt w:val="lowerLetter"/>
      <w:start w:val="1"/>
    </w:lvl>
  </w:abstractNum>
  <w:abstractNum w:abstractNumId="63">
    <w:nsid w:val="39EE015C"/>
    <w:multiLevelType w:val="hybridMultilevel"/>
    <w:lvl w:ilvl="0">
      <w:lvlJc w:val="left"/>
      <w:lvlText w:val="(%1)"/>
      <w:numFmt w:val="lowerLetter"/>
      <w:start w:val="6"/>
    </w:lvl>
  </w:abstractNum>
  <w:abstractNum w:abstractNumId="64">
    <w:nsid w:val="57FC4FBB"/>
    <w:multiLevelType w:val="hybridMultilevel"/>
    <w:lvl w:ilvl="0">
      <w:lvlJc w:val="left"/>
      <w:lvlText w:val="(%1)"/>
      <w:numFmt w:val="lowerLetter"/>
      <w:start w:val="7"/>
    </w:lvl>
  </w:abstractNum>
  <w:abstractNum w:abstractNumId="65">
    <w:nsid w:val="CC1016F"/>
    <w:multiLevelType w:val="hybridMultilevel"/>
    <w:lvl w:ilvl="0">
      <w:lvlJc w:val="left"/>
      <w:lvlText w:val="(%1)"/>
      <w:numFmt w:val="lowerRoman"/>
      <w:start w:val="1"/>
    </w:lvl>
  </w:abstractNum>
  <w:abstractNum w:abstractNumId="66">
    <w:nsid w:val="43F18422"/>
    <w:multiLevelType w:val="hybridMultilevel"/>
    <w:lvl w:ilvl="0">
      <w:lvlJc w:val="left"/>
      <w:lvlText w:val="%1"/>
      <w:numFmt w:val="decimal"/>
      <w:start w:val="21"/>
    </w:lvl>
  </w:abstractNum>
  <w:abstractNum w:abstractNumId="67">
    <w:nsid w:val="60EF0119"/>
    <w:multiLevelType w:val="hybridMultilevel"/>
    <w:lvl w:ilvl="0">
      <w:lvlJc w:val="left"/>
      <w:lvlText w:val="%1"/>
      <w:numFmt w:val="decimal"/>
      <w:start w:val="22"/>
    </w:lvl>
  </w:abstractNum>
  <w:abstractNum w:abstractNumId="68">
    <w:nsid w:val="26F324BA"/>
    <w:multiLevelType w:val="hybridMultilevel"/>
    <w:lvl w:ilvl="0">
      <w:lvlJc w:val="left"/>
      <w:lvlText w:val="%1"/>
      <w:numFmt w:val="decimal"/>
      <w:start w:val="23"/>
    </w:lvl>
  </w:abstractNum>
  <w:abstractNum w:abstractNumId="69">
    <w:nsid w:val="7F01579B"/>
    <w:multiLevelType w:val="hybridMultilevel"/>
    <w:lvl w:ilvl="0">
      <w:lvlJc w:val="left"/>
      <w:lvlText w:val="%1"/>
      <w:numFmt w:val="decimal"/>
      <w:start w:val="24"/>
    </w:lvl>
  </w:abstractNum>
  <w:abstractNum w:abstractNumId="70">
    <w:nsid w:val="49DA307D"/>
    <w:multiLevelType w:val="hybridMultilevel"/>
    <w:lvl w:ilvl="0">
      <w:lvlJc w:val="left"/>
      <w:lvlText w:val="%1"/>
      <w:numFmt w:val="decimal"/>
      <w:start w:val="31"/>
    </w:lvl>
  </w:abstractNum>
  <w:abstractNum w:abstractNumId="71">
    <w:nsid w:val="7055A5F5"/>
    <w:multiLevelType w:val="hybridMultilevel"/>
    <w:lvl w:ilvl="0">
      <w:lvlJc w:val="left"/>
      <w:lvlText w:val="%1"/>
      <w:numFmt w:val="decimal"/>
      <w:start w:val="32"/>
    </w:lvl>
  </w:abstractNum>
  <w:abstractNum w:abstractNumId="72">
    <w:nsid w:val="5FB8370B"/>
    <w:multiLevelType w:val="hybridMultilevel"/>
    <w:lvl w:ilvl="0">
      <w:lvlJc w:val="left"/>
      <w:lvlText w:val="*"/>
      <w:numFmt w:val="bullet"/>
      <w:start w:val="1"/>
    </w:lvl>
    <w:lvl w:ilvl="1">
      <w:lvlJc w:val="left"/>
      <w:lvlText w:val="%2"/>
      <w:numFmt w:val="decimal"/>
      <w:start w:val="104"/>
    </w:lvl>
  </w:abstractNum>
  <w:abstractNum w:abstractNumId="73">
    <w:nsid w:val="50801EE1"/>
    <w:multiLevelType w:val="hybridMultilevel"/>
    <w:lvl w:ilvl="0">
      <w:lvlJc w:val="left"/>
      <w:lvlText w:val="(%1)"/>
      <w:numFmt w:val="lowerLetter"/>
      <w:start w:val="1"/>
    </w:lvl>
  </w:abstractNum>
  <w:abstractNum w:abstractNumId="74">
    <w:nsid w:val="488AC1A"/>
    <w:multiLevelType w:val="hybridMultilevel"/>
    <w:lvl w:ilvl="0">
      <w:lvlJc w:val="left"/>
      <w:lvlText w:val="(%1)"/>
      <w:numFmt w:val="lowerLetter"/>
      <w:start w:val="2"/>
    </w:lvl>
  </w:abstractNum>
  <w:abstractNum w:abstractNumId="75">
    <w:nsid w:val="5FB8011C"/>
    <w:multiLevelType w:val="hybridMultilevel"/>
    <w:lvl w:ilvl="0">
      <w:lvlJc w:val="left"/>
      <w:lvlText w:val="(%1)"/>
      <w:numFmt w:val="lowerRoman"/>
      <w:start w:val="2"/>
    </w:lvl>
  </w:abstractNum>
  <w:abstractNum w:abstractNumId="76">
    <w:nsid w:val="6AA78F7F"/>
    <w:multiLevelType w:val="hybridMultilevel"/>
    <w:lvl w:ilvl="0">
      <w:lvlJc w:val="left"/>
      <w:lvlText w:val="(%1)"/>
      <w:numFmt w:val="lowerLetter"/>
      <w:start w:val="1"/>
    </w:lvl>
  </w:abstractNum>
  <w:abstractNum w:abstractNumId="77">
    <w:nsid w:val="7672BD23"/>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78">
    <w:nsid w:val="6FC75AF8"/>
    <w:multiLevelType w:val="hybridMultilevel"/>
    <w:lvl w:ilvl="0">
      <w:lvlJc w:val="left"/>
      <w:lvlText w:val="%1"/>
      <w:numFmt w:val="upperLetter"/>
      <w:start w:val="1"/>
    </w:lvl>
    <w:lvl w:ilvl="1">
      <w:lvlJc w:val="left"/>
      <w:lvlText w:val="(%2)"/>
      <w:numFmt w:val="lowerLetter"/>
      <w:start w:val="25"/>
    </w:lvl>
  </w:abstractNum>
  <w:abstractNum w:abstractNumId="79">
    <w:nsid w:val="6A5F7029"/>
    <w:multiLevelType w:val="hybridMultilevel"/>
    <w:lvl w:ilvl="0">
      <w:lvlJc w:val="left"/>
      <w:lvlText w:val="(%1)"/>
      <w:numFmt w:val="upperLetter"/>
      <w:start w:val="2"/>
    </w:lvl>
    <w:lvl w:ilvl="1">
      <w:lvlJc w:val="left"/>
      <w:lvlText w:val="%2"/>
      <w:numFmt w:val="lowerLetter"/>
      <w:start w:val="1"/>
    </w:lvl>
  </w:abstractNum>
  <w:abstractNum w:abstractNumId="80">
    <w:nsid w:val="7D5E18F8"/>
    <w:multiLevelType w:val="hybridMultilevel"/>
    <w:lvl w:ilvl="0">
      <w:lvlJc w:val="left"/>
      <w:lvlText w:val="(%1)"/>
      <w:numFmt w:val="lowerRoman"/>
      <w:start w:val="2"/>
    </w:lvl>
  </w:abstractNum>
  <w:abstractNum w:abstractNumId="81">
    <w:nsid w:val="5F3534A4"/>
    <w:multiLevelType w:val="hybridMultilevel"/>
    <w:lvl w:ilvl="0">
      <w:lvlJc w:val="left"/>
      <w:lvlText w:val="(%1)"/>
      <w:numFmt w:val="lowerLetter"/>
      <w:start w:val="2"/>
    </w:lvl>
  </w:abstractNum>
  <w:abstractNum w:abstractNumId="82">
    <w:nsid w:val="73A1821B"/>
    <w:multiLevelType w:val="hybridMultilevel"/>
    <w:lvl w:ilvl="0">
      <w:lvlJc w:val="left"/>
      <w:lvlText w:val="(%1)"/>
      <w:numFmt w:val="lowerLetter"/>
      <w:start w:val="2"/>
    </w:lvl>
  </w:abstractNum>
  <w:abstractNum w:abstractNumId="83">
    <w:nsid w:val="7DE67713"/>
    <w:multiLevelType w:val="hybridMultilevel"/>
    <w:lvl w:ilvl="0">
      <w:lvlJc w:val="left"/>
      <w:lvlText w:val="(%1)"/>
      <w:numFmt w:val="lowerLetter"/>
      <w:start w:val="1"/>
    </w:lvl>
  </w:abstractNum>
  <w:abstractNum w:abstractNumId="84">
    <w:nsid w:val="555C55B5"/>
    <w:multiLevelType w:val="hybridMultilevel"/>
    <w:lvl w:ilvl="0">
      <w:lvlJc w:val="left"/>
      <w:lvlText w:val="(%1)"/>
      <w:numFmt w:val="lowerLetter"/>
      <w:start w:val="2"/>
    </w:lvl>
  </w:abstractNum>
  <w:abstractNum w:abstractNumId="85">
    <w:nsid w:val="3FA62ACA"/>
    <w:multiLevelType w:val="hybridMultilevel"/>
    <w:lvl w:ilvl="0">
      <w:lvlJc w:val="left"/>
      <w:lvlText w:val="%1"/>
      <w:numFmt w:val="lowerLetter"/>
      <w:start w:val="1"/>
    </w:lvl>
    <w:lvl w:ilvl="1">
      <w:lvlJc w:val="left"/>
      <w:lvlText w:val="(%2)"/>
      <w:numFmt w:val="decimal"/>
      <w:start w:val="1"/>
    </w:lvl>
  </w:abstractNum>
  <w:abstractNum w:abstractNumId="86">
    <w:nsid w:val="14FCE74E"/>
    <w:multiLevelType w:val="hybridMultilevel"/>
    <w:lvl w:ilvl="0">
      <w:lvlJc w:val="left"/>
      <w:lvlText w:val="(%1)"/>
      <w:numFmt w:val="lowerLetter"/>
      <w:start w:val="3"/>
    </w:lvl>
    <w:lvl w:ilvl="1">
      <w:lvlJc w:val="left"/>
      <w:lvlText w:val="(%2)"/>
      <w:numFmt w:val="decimal"/>
      <w:start w:val="1"/>
    </w:lvl>
  </w:abstractNum>
  <w:abstractNum w:abstractNumId="87">
    <w:nsid w:val="6A3DD3E8"/>
    <w:multiLevelType w:val="hybridMultilevel"/>
    <w:lvl w:ilvl="0">
      <w:lvlJc w:val="left"/>
      <w:lvlText w:val="%1"/>
      <w:numFmt w:val="lowerLetter"/>
      <w:start w:val="1"/>
    </w:lvl>
    <w:lvl w:ilvl="1">
      <w:lvlJc w:val="left"/>
      <w:lvlText w:val="(%2)"/>
      <w:numFmt w:val="decimal"/>
      <w:start w:val="2"/>
    </w:lvl>
  </w:abstractNum>
  <w:abstractNum w:abstractNumId="88">
    <w:nsid w:val="71C91298"/>
    <w:multiLevelType w:val="hybridMultilevel"/>
    <w:lvl w:ilvl="0">
      <w:lvlJc w:val="left"/>
      <w:lvlText w:val="(%1)"/>
      <w:numFmt w:val="lowerLetter"/>
      <w:start w:val="5"/>
    </w:lvl>
    <w:lvl w:ilvl="1">
      <w:lvlJc w:val="left"/>
      <w:lvlText w:val="%2"/>
      <w:numFmt w:val="decimal"/>
      <w:start w:val="1"/>
    </w:lvl>
  </w:abstractNum>
  <w:abstractNum w:abstractNumId="89">
    <w:nsid w:val="9DAF632"/>
    <w:multiLevelType w:val="hybridMultilevel"/>
    <w:lvl w:ilvl="0">
      <w:lvlJc w:val="left"/>
      <w:lvlText w:val="(%1)"/>
      <w:numFmt w:val="lowerLetter"/>
      <w:start w:val="1"/>
    </w:lvl>
    <w:lvl w:ilvl="1">
      <w:lvlJc w:val="left"/>
      <w:lvlText w:val="(%2)"/>
      <w:numFmt w:val="decimal"/>
      <w:start w:val="1"/>
    </w:lvl>
  </w:abstractNum>
  <w:abstractNum w:abstractNumId="90">
    <w:nsid w:val="53299938"/>
    <w:multiLevelType w:val="hybridMultilevel"/>
    <w:lvl w:ilvl="0">
      <w:lvlJc w:val="left"/>
      <w:lvlText w:val="(%1)"/>
      <w:numFmt w:val="lowerLetter"/>
      <w:start w:val="2"/>
    </w:lvl>
  </w:abstractNum>
  <w:abstractNum w:abstractNumId="91">
    <w:nsid w:val="1FBFE8E0"/>
    <w:multiLevelType w:val="hybridMultilevel"/>
    <w:lvl w:ilvl="0">
      <w:lvlJc w:val="left"/>
      <w:lvlText w:val="(%1)"/>
      <w:numFmt w:val="lowerLetter"/>
      <w:start w:val="1"/>
    </w:lvl>
  </w:abstractNum>
  <w:abstractNum w:abstractNumId="92">
    <w:nsid w:val="5092CA79"/>
    <w:multiLevelType w:val="hybridMultilevel"/>
    <w:lvl w:ilvl="0">
      <w:lvlJc w:val="left"/>
      <w:lvlText w:val="(%1)"/>
      <w:numFmt w:val="lowerLetter"/>
      <w:start w:val="2"/>
    </w:lvl>
  </w:abstractNum>
  <w:abstractNum w:abstractNumId="93">
    <w:nsid w:val="1D545C4D"/>
    <w:multiLevelType w:val="hybridMultilevel"/>
    <w:lvl w:ilvl="0">
      <w:lvlJc w:val="left"/>
      <w:lvlText w:val="(%1)"/>
      <w:numFmt w:val="lowerRoman"/>
      <w:start w:val="1"/>
    </w:lvl>
  </w:abstractNum>
  <w:abstractNum w:abstractNumId="94">
    <w:nsid w:val="59ADEA3D"/>
    <w:multiLevelType w:val="hybridMultilevel"/>
    <w:lvl w:ilvl="0">
      <w:lvlJc w:val="left"/>
      <w:lvlText w:val="(%1)"/>
      <w:numFmt w:val="lowerRoman"/>
      <w:start w:val="2"/>
    </w:lvl>
  </w:abstractNum>
  <w:abstractNum w:abstractNumId="95">
    <w:nsid w:val="288F1A34"/>
    <w:multiLevelType w:val="hybridMultilevel"/>
    <w:lvl w:ilvl="0">
      <w:lvlJc w:val="left"/>
      <w:lvlText w:val="(%1)"/>
      <w:numFmt w:val="lowerLetter"/>
      <w:start w:val="5"/>
    </w:lvl>
    <w:lvl w:ilvl="1">
      <w:lvlJc w:val="left"/>
      <w:lvlText w:val="(%2)"/>
      <w:numFmt w:val="lowerRoman"/>
      <w:start w:val="1"/>
    </w:lvl>
  </w:abstractNum>
  <w:abstractNum w:abstractNumId="96">
    <w:nsid w:val="2A155DBC"/>
    <w:multiLevelType w:val="hybridMultilevel"/>
    <w:lvl w:ilvl="0">
      <w:lvlJc w:val="left"/>
      <w:lvlText w:val="(%1)"/>
      <w:numFmt w:val="lowerRoman"/>
      <w:start w:val="4"/>
    </w:lvl>
  </w:abstractNum>
  <w:abstractNum w:abstractNumId="97">
    <w:nsid w:val="1D9F6E5F"/>
    <w:multiLevelType w:val="hybridMultilevel"/>
    <w:lvl w:ilvl="0">
      <w:lvlJc w:val="left"/>
      <w:lvlText w:val="(%1)"/>
      <w:numFmt w:val="lowerLetter"/>
      <w:start w:val="1"/>
    </w:lvl>
  </w:abstractNum>
  <w:abstractNum w:abstractNumId="98">
    <w:nsid w:val="97E1B4E"/>
    <w:multiLevelType w:val="hybridMultilevel"/>
    <w:lvl w:ilvl="0">
      <w:lvlJc w:val="left"/>
      <w:lvlText w:val="(%1)"/>
      <w:numFmt w:val="lowerLetter"/>
      <w:start w:val="1"/>
    </w:lvl>
  </w:abstractNum>
  <w:abstractNum w:abstractNumId="99">
    <w:nsid w:val="51088277"/>
    <w:multiLevelType w:val="hybridMultilevel"/>
    <w:lvl w:ilvl="0">
      <w:lvlJc w:val="left"/>
      <w:lvlText w:val="(%1)"/>
      <w:numFmt w:val="lowerLetter"/>
      <w:start w:val="2"/>
    </w:lvl>
  </w:abstractNum>
  <w:abstractNum w:abstractNumId="100">
    <w:nsid w:val="1CA0C5FA"/>
    <w:multiLevelType w:val="hybridMultilevel"/>
    <w:lvl w:ilvl="0">
      <w:lvlJc w:val="left"/>
      <w:lvlText w:val="(%1)"/>
      <w:numFmt w:val="lowerLetter"/>
      <w:start w:val="2"/>
    </w:lvl>
  </w:abstractNum>
  <w:abstractNum w:abstractNumId="101">
    <w:nsid w:val="53584BCB"/>
    <w:multiLevelType w:val="hybridMultilevel"/>
    <w:lvl w:ilvl="0">
      <w:lvlJc w:val="left"/>
      <w:lvlText w:val="(%1)"/>
      <w:numFmt w:val="lowerLetter"/>
      <w:start w:val="3"/>
    </w:lvl>
  </w:abstractNum>
  <w:abstractNum w:abstractNumId="102">
    <w:nsid w:val="415E286C"/>
    <w:multiLevelType w:val="hybridMultilevel"/>
    <w:lvl w:ilvl="0">
      <w:lvlJc w:val="left"/>
      <w:lvlText w:val="(%1)"/>
      <w:numFmt w:val="lowerLetter"/>
      <w:start w:val="1"/>
    </w:lvl>
  </w:abstractNum>
  <w:abstractNum w:abstractNumId="103">
    <w:nsid w:val="7C58FD05"/>
    <w:multiLevelType w:val="hybridMultilevel"/>
    <w:lvl w:ilvl="0">
      <w:lvlJc w:val="left"/>
      <w:lvlText w:val="(%1)"/>
      <w:numFmt w:val="lowerLetter"/>
      <w:start w:val="2"/>
    </w:lvl>
  </w:abstractNum>
  <w:abstractNum w:abstractNumId="104">
    <w:nsid w:val="23D86AAC"/>
    <w:multiLevelType w:val="hybridMultilevel"/>
    <w:lvl w:ilvl="0">
      <w:lvlJc w:val="left"/>
      <w:lvlText w:val="(%1)"/>
      <w:numFmt w:val="lowerLetter"/>
      <w:start w:val="1"/>
    </w:lvl>
    <w:lvl w:ilvl="1">
      <w:lvlJc w:val="left"/>
      <w:lvlText w:val="(%2)"/>
      <w:numFmt w:val="decimal"/>
      <w:start w:val="1"/>
    </w:lvl>
  </w:abstractNum>
  <w:abstractNum w:abstractNumId="105">
    <w:nsid w:val="45E6D486"/>
    <w:multiLevelType w:val="hybridMultilevel"/>
    <w:lvl w:ilvl="0">
      <w:lvlJc w:val="left"/>
      <w:lvlText w:val="(%1)"/>
      <w:numFmt w:val="decimal"/>
      <w:start w:val="3"/>
    </w:lvl>
    <w:lvl w:ilvl="1">
      <w:lvlJc w:val="left"/>
      <w:lvlText w:val="(%2)"/>
      <w:numFmt w:val="upperLetter"/>
      <w:start w:val="1"/>
    </w:lvl>
  </w:abstractNum>
  <w:abstractNum w:abstractNumId="106">
    <w:nsid w:val="5C10FE21"/>
    <w:multiLevelType w:val="hybridMultilevel"/>
    <w:lvl w:ilvl="0">
      <w:lvlJc w:val="left"/>
      <w:lvlText w:val="(%1)"/>
      <w:numFmt w:val="upperLetter"/>
      <w:start w:val="7"/>
    </w:lvl>
  </w:abstractNum>
  <w:abstractNum w:abstractNumId="107">
    <w:nsid w:val="E7FFA2B"/>
    <w:multiLevelType w:val="hybridMultilevel"/>
    <w:lvl w:ilvl="0">
      <w:lvlJc w:val="left"/>
      <w:lvlText w:val="%1"/>
      <w:numFmt w:val="decimal"/>
      <w:start w:val="1"/>
    </w:lvl>
    <w:lvl w:ilvl="1">
      <w:lvlJc w:val="left"/>
      <w:lvlText w:val="(%2)"/>
      <w:numFmt w:val="lowerLetter"/>
      <w:start w:val="2"/>
    </w:lvl>
  </w:abstractNum>
  <w:abstractNum w:abstractNumId="108">
    <w:nsid w:val="3C5991AA"/>
    <w:multiLevelType w:val="hybridMultilevel"/>
    <w:lvl w:ilvl="0">
      <w:lvlJc w:val="left"/>
      <w:lvlText w:val="(%1)"/>
      <w:numFmt w:val="decimal"/>
      <w:start w:val="2"/>
    </w:lvl>
    <w:lvl w:ilvl="1">
      <w:lvlJc w:val="left"/>
      <w:lvlText w:val="%2"/>
      <w:numFmt w:val="lowerLetter"/>
      <w:start w:val="1"/>
    </w:lvl>
  </w:abstractNum>
  <w:abstractNum w:abstractNumId="109">
    <w:nsid w:val="4BD8591A"/>
    <w:multiLevelType w:val="hybridMultilevel"/>
    <w:lvl w:ilvl="0">
      <w:lvlJc w:val="left"/>
      <w:lvlText w:val="(%1)"/>
      <w:numFmt w:val="lowerLetter"/>
      <w:start w:val="3"/>
    </w:lvl>
  </w:abstractNum>
  <w:abstractNum w:abstractNumId="110">
    <w:nsid w:val="78DF6A55"/>
    <w:multiLevelType w:val="hybridMultilevel"/>
    <w:lvl w:ilvl="0">
      <w:lvlJc w:val="left"/>
      <w:lvlText w:val="(%1)"/>
      <w:numFmt w:val="lowerLetter"/>
      <w:start w:val="1"/>
    </w:lvl>
    <w:lvl w:ilvl="1">
      <w:lvlJc w:val="left"/>
      <w:lvlText w:val="(%2)"/>
      <w:numFmt w:val="decimal"/>
      <w:start w:val="1"/>
    </w:lvl>
  </w:abstractNum>
  <w:abstractNum w:abstractNumId="111">
    <w:nsid w:val="39B7AAA2"/>
    <w:multiLevelType w:val="hybridMultilevel"/>
    <w:lvl w:ilvl="0">
      <w:lvlJc w:val="left"/>
      <w:lvlText w:val="(%1)"/>
      <w:numFmt w:val="decimal"/>
      <w:start w:val="2"/>
    </w:lvl>
  </w:abstractNum>
  <w:abstractNum w:abstractNumId="112">
    <w:nsid w:val="2B0D8DBE"/>
    <w:multiLevelType w:val="hybridMultilevel"/>
    <w:lvl w:ilvl="0">
      <w:lvlJc w:val="left"/>
      <w:lvlText w:val="(%1)"/>
      <w:numFmt w:val="lowerLetter"/>
      <w:start w:val="1"/>
    </w:lvl>
  </w:abstractNum>
  <w:abstractNum w:abstractNumId="113">
    <w:nsid w:val="6C80EC70"/>
    <w:multiLevelType w:val="hybridMultilevel"/>
    <w:lvl w:ilvl="0">
      <w:lvlJc w:val="left"/>
      <w:lvlText w:val="(%1)"/>
      <w:numFmt w:val="lowerLetter"/>
      <w:start w:val="2"/>
    </w:lvl>
  </w:abstractNum>
  <w:abstractNum w:abstractNumId="114">
    <w:nsid w:val="379E21B5"/>
    <w:multiLevelType w:val="hybridMultilevel"/>
    <w:lvl w:ilvl="0">
      <w:lvlJc w:val="left"/>
      <w:lvlText w:val="(%1)"/>
      <w:numFmt w:val="lowerLetter"/>
      <w:start w:val="3"/>
    </w:lvl>
    <w:lvl w:ilvl="1">
      <w:lvlJc w:val="left"/>
      <w:lvlText w:val="*"/>
      <w:numFmt w:val="bullet"/>
      <w:start w:val="1"/>
    </w:lvl>
  </w:abstractNum>
  <w:abstractNum w:abstractNumId="115">
    <w:nsid w:val="69E373"/>
    <w:multiLevelType w:val="hybridMultilevel"/>
    <w:lvl w:ilvl="0">
      <w:lvlJc w:val="left"/>
      <w:lvlText w:val="%1."/>
      <w:numFmt w:val="decimal"/>
      <w:start w:val="1"/>
    </w:lvl>
  </w:abstractNum>
  <w:abstractNum w:abstractNumId="116">
    <w:nsid w:val="2C27173B"/>
    <w:multiLevelType w:val="hybridMultilevel"/>
    <w:lvl w:ilvl="0">
      <w:lvlJc w:val="left"/>
      <w:lvlText w:val="(%1)"/>
      <w:numFmt w:val="decimal"/>
      <w:start w:val="1"/>
    </w:lvl>
  </w:abstractNum>
  <w:abstractNum w:abstractNumId="117">
    <w:nsid w:val="4C9B0904"/>
    <w:multiLevelType w:val="hybridMultilevel"/>
    <w:lvl w:ilvl="0">
      <w:lvlJc w:val="left"/>
      <w:lvlText w:val="%1."/>
      <w:numFmt w:val="decimal"/>
      <w:start w:val="1"/>
    </w:lvl>
    <w:lvl w:ilvl="1">
      <w:lvlJc w:val="left"/>
      <w:lvlText w:val="%2)"/>
      <w:numFmt w:val="lowerLetter"/>
      <w:start w:val="1"/>
    </w:lvl>
  </w:abstractNum>
  <w:abstractNum w:abstractNumId="118">
    <w:nsid w:val="6AA7B75C"/>
    <w:multiLevelType w:val="hybridMultilevel"/>
    <w:lvl w:ilvl="0">
      <w:lvlJc w:val="left"/>
      <w:lvlText w:val="%1."/>
      <w:numFmt w:val="decimal"/>
      <w:start w:val="1"/>
    </w:lvl>
    <w:lvl w:ilvl="1">
      <w:lvlJc w:val="left"/>
      <w:lvlText w:val="%2)"/>
      <w:numFmt w:val="lowerLetter"/>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78" Type="http://schemas.openxmlformats.org/officeDocument/2006/relationships/image" Target="media/image162.png"/><Relationship Id="rId186"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209" Type="http://schemas.openxmlformats.org/officeDocument/2006/relationships/image" Target="media/image166.png"/><Relationship Id="rId210" Type="http://schemas.openxmlformats.org/officeDocument/2006/relationships/image" Target="media/image167.png"/><Relationship Id="rId214" Type="http://schemas.openxmlformats.org/officeDocument/2006/relationships/image" Target="media/image168.png"/><Relationship Id="rId215"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226" Type="http://schemas.openxmlformats.org/officeDocument/2006/relationships/image" Target="media/image180.png"/><Relationship Id="rId227" Type="http://schemas.openxmlformats.org/officeDocument/2006/relationships/image" Target="media/image181.png"/><Relationship Id="rId228" Type="http://schemas.openxmlformats.org/officeDocument/2006/relationships/image" Target="media/image182.png"/><Relationship Id="rId229" Type="http://schemas.openxmlformats.org/officeDocument/2006/relationships/image" Target="media/image183.png"/><Relationship Id="rId230" Type="http://schemas.openxmlformats.org/officeDocument/2006/relationships/image" Target="media/image184.png"/><Relationship Id="rId231" Type="http://schemas.openxmlformats.org/officeDocument/2006/relationships/image" Target="media/image185.png"/><Relationship Id="rId232" Type="http://schemas.openxmlformats.org/officeDocument/2006/relationships/image" Target="media/image186.png"/><Relationship Id="rId233" Type="http://schemas.openxmlformats.org/officeDocument/2006/relationships/image" Target="media/image187.png"/><Relationship Id="rId234" Type="http://schemas.openxmlformats.org/officeDocument/2006/relationships/image" Target="media/image188.png"/><Relationship Id="rId235" Type="http://schemas.openxmlformats.org/officeDocument/2006/relationships/image" Target="media/image189.png"/><Relationship Id="rId236" Type="http://schemas.openxmlformats.org/officeDocument/2006/relationships/image" Target="media/image190.png"/><Relationship Id="rId237" Type="http://schemas.openxmlformats.org/officeDocument/2006/relationships/image" Target="media/image191.png"/><Relationship Id="rId238" Type="http://schemas.openxmlformats.org/officeDocument/2006/relationships/image" Target="media/image192.png"/><Relationship Id="rId239" Type="http://schemas.openxmlformats.org/officeDocument/2006/relationships/image" Target="media/image193.png"/><Relationship Id="rId240" Type="http://schemas.openxmlformats.org/officeDocument/2006/relationships/image" Target="media/image194.png"/><Relationship Id="rId241" Type="http://schemas.openxmlformats.org/officeDocument/2006/relationships/image" Target="media/image195.png"/><Relationship Id="rId242" Type="http://schemas.openxmlformats.org/officeDocument/2006/relationships/image" Target="media/image196.png"/><Relationship Id="rId243" Type="http://schemas.openxmlformats.org/officeDocument/2006/relationships/image" Target="media/image197.png"/><Relationship Id="rId244" Type="http://schemas.openxmlformats.org/officeDocument/2006/relationships/image" Target="media/image198.png"/><Relationship Id="rId245" Type="http://schemas.openxmlformats.org/officeDocument/2006/relationships/image" Target="media/image199.png"/><Relationship Id="rId246" Type="http://schemas.openxmlformats.org/officeDocument/2006/relationships/image" Target="media/image200.png"/><Relationship Id="rId247" Type="http://schemas.openxmlformats.org/officeDocument/2006/relationships/image" Target="media/image201.png"/><Relationship Id="rId248" Type="http://schemas.openxmlformats.org/officeDocument/2006/relationships/image" Target="media/image202.png"/><Relationship Id="rId249" Type="http://schemas.openxmlformats.org/officeDocument/2006/relationships/image" Target="media/image203.png"/><Relationship Id="rId250" Type="http://schemas.openxmlformats.org/officeDocument/2006/relationships/image" Target="media/image204.png"/><Relationship Id="rId251" Type="http://schemas.openxmlformats.org/officeDocument/2006/relationships/image" Target="media/image205.png"/><Relationship Id="rId252" Type="http://schemas.openxmlformats.org/officeDocument/2006/relationships/image" Target="media/image206.png"/><Relationship Id="rId253" Type="http://schemas.openxmlformats.org/officeDocument/2006/relationships/image" Target="media/image207.png"/><Relationship Id="rId254" Type="http://schemas.openxmlformats.org/officeDocument/2006/relationships/image" Target="media/image208.png"/><Relationship Id="rId255" Type="http://schemas.openxmlformats.org/officeDocument/2006/relationships/image" Target="media/image209.png"/><Relationship Id="rId256" Type="http://schemas.openxmlformats.org/officeDocument/2006/relationships/image" Target="media/image210.png"/><Relationship Id="rId257" Type="http://schemas.openxmlformats.org/officeDocument/2006/relationships/image" Target="media/image211.png"/><Relationship Id="rId258" Type="http://schemas.openxmlformats.org/officeDocument/2006/relationships/image" Target="media/image212.png"/><Relationship Id="rId259" Type="http://schemas.openxmlformats.org/officeDocument/2006/relationships/image" Target="media/image213.png"/><Relationship Id="rId260" Type="http://schemas.openxmlformats.org/officeDocument/2006/relationships/image" Target="media/image214.png"/><Relationship Id="rId261" Type="http://schemas.openxmlformats.org/officeDocument/2006/relationships/image" Target="media/image215.png"/><Relationship Id="rId262" Type="http://schemas.openxmlformats.org/officeDocument/2006/relationships/image" Target="media/image216.png"/><Relationship Id="rId263" Type="http://schemas.openxmlformats.org/officeDocument/2006/relationships/image" Target="media/image217.png"/><Relationship Id="rId264" Type="http://schemas.openxmlformats.org/officeDocument/2006/relationships/image" Target="media/image218.png"/><Relationship Id="rId265" Type="http://schemas.openxmlformats.org/officeDocument/2006/relationships/image" Target="media/image219.png"/><Relationship Id="rId266" Type="http://schemas.openxmlformats.org/officeDocument/2006/relationships/image" Target="media/image220.png"/><Relationship Id="rId267" Type="http://schemas.openxmlformats.org/officeDocument/2006/relationships/image" Target="media/image221.png"/><Relationship Id="rId268" Type="http://schemas.openxmlformats.org/officeDocument/2006/relationships/image" Target="media/image222.png"/><Relationship Id="rId269" Type="http://schemas.openxmlformats.org/officeDocument/2006/relationships/image" Target="media/image223.png"/><Relationship Id="rId270" Type="http://schemas.openxmlformats.org/officeDocument/2006/relationships/image" Target="media/image224.png"/><Relationship Id="rId271" Type="http://schemas.openxmlformats.org/officeDocument/2006/relationships/image" Target="media/image225.png"/><Relationship Id="rId272" Type="http://schemas.openxmlformats.org/officeDocument/2006/relationships/image" Target="media/image226.png"/><Relationship Id="rId273" Type="http://schemas.openxmlformats.org/officeDocument/2006/relationships/image" Target="media/image227.png"/><Relationship Id="rId274" Type="http://schemas.openxmlformats.org/officeDocument/2006/relationships/image" Target="media/image228.png"/><Relationship Id="rId275" Type="http://schemas.openxmlformats.org/officeDocument/2006/relationships/image" Target="media/image229.png"/><Relationship Id="rId276" Type="http://schemas.openxmlformats.org/officeDocument/2006/relationships/image" Target="media/image230.png"/><Relationship Id="rId277" Type="http://schemas.openxmlformats.org/officeDocument/2006/relationships/image" Target="media/image231.png"/><Relationship Id="rId169" Type="http://schemas.openxmlformats.org/officeDocument/2006/relationships/hyperlink" Target="http://www.sec.gov/Archives/edgar/data/42582/000095012315007799/d58668dex31.htm" TargetMode="External"/><Relationship Id="rId170" Type="http://schemas.openxmlformats.org/officeDocument/2006/relationships/hyperlink" Target="http://www.sec.gov/Archives/edgar/data/42582/000119312517071682/d285828dex31.htm" TargetMode="External"/><Relationship Id="rId171" Type="http://schemas.openxmlformats.org/officeDocument/2006/relationships/hyperlink" Target="http://www.sec.gov/Archives/edgar/data/42582/000095015207004201/l26105aexv4w1.txt" TargetMode="External"/><Relationship Id="rId172" Type="http://schemas.openxmlformats.org/officeDocument/2006/relationships/hyperlink" Target="http://www.sec.gov/Archives/edgar/data/42582/0000950152-98-003336.txt" TargetMode="External"/><Relationship Id="rId173" Type="http://schemas.openxmlformats.org/officeDocument/2006/relationships/hyperlink" Target="http://www.sec.gov/Archives/edgar/data/42582/000095012310077159/l40510exv4w1.htm" TargetMode="External"/><Relationship Id="rId174" Type="http://schemas.openxmlformats.org/officeDocument/2006/relationships/hyperlink" Target="http://www.sec.gov/Archives/edgar/data/42582/000119312515367333/d87503dex42.htm" TargetMode="External"/><Relationship Id="rId175" Type="http://schemas.openxmlformats.org/officeDocument/2006/relationships/hyperlink" Target="http://www.sec.gov/Archives/edgar/data/42582/000119312516589623/d178446dex42.htm" TargetMode="External"/><Relationship Id="rId176" Type="http://schemas.openxmlformats.org/officeDocument/2006/relationships/hyperlink" Target="http://www.sec.gov/Archives/edgar/data/42582/000119312517072576/d356399dex42.htm" TargetMode="External"/><Relationship Id="rId177" Type="http://schemas.openxmlformats.org/officeDocument/2006/relationships/hyperlink" Target="http://www.sec.gov/Archives/edgar/data/42582/000119312520144577/d892098dex42.htm" TargetMode="External"/><Relationship Id="rId179" Type="http://schemas.openxmlformats.org/officeDocument/2006/relationships/hyperlink" Target="http://www.sec.gov/Archives/edgar/data/42582/000095012316013733/d114035dex41.htm" TargetMode="External"/><Relationship Id="rId180" Type="http://schemas.openxmlformats.org/officeDocument/2006/relationships/hyperlink" Target="http://www.sec.gov/Archives/edgar/data/42582/000095012320001393/gt-q42019xex41.htm" TargetMode="External"/><Relationship Id="rId181" Type="http://schemas.openxmlformats.org/officeDocument/2006/relationships/hyperlink" Target="http://www.sec.gov/Archives/edgar/data/42582/000156459020020061/gt-ex101_786.htm" TargetMode="External"/><Relationship Id="rId182" Type="http://schemas.openxmlformats.org/officeDocument/2006/relationships/hyperlink" Target="http://www.sec.gov/Archives/edgar/data/42582/000095012318003783/gtq120182ndlienarcreditagree.htm" TargetMode="External"/><Relationship Id="rId183" Type="http://schemas.openxmlformats.org/officeDocument/2006/relationships/hyperlink" Target="http://www.sec.gov/Archives/edgar/data/42582/000156459020020061/gt-ex102_809.htm" TargetMode="External"/><Relationship Id="rId184" Type="http://schemas.openxmlformats.org/officeDocument/2006/relationships/hyperlink" Target="http://www.sec.gov/Archives/edgar/data/42582/000095012317003639/d386771dex102.htm" TargetMode="External"/><Relationship Id="rId185" Type="http://schemas.openxmlformats.org/officeDocument/2006/relationships/hyperlink" Target="http://www.sec.gov/Archives/edgar/data/42582/000095012312010755/d377041dex105.htm" TargetMode="External"/><Relationship Id="rId187" Type="http://schemas.openxmlformats.org/officeDocument/2006/relationships/hyperlink" Target="http://www.sec.gov/Archives/edgar/data/42582/000095012319003618/d738090dex101.htm" TargetMode="External"/><Relationship Id="rId188" Type="http://schemas.openxmlformats.org/officeDocument/2006/relationships/hyperlink" Target="http://www.sec.gov/Archives/edgar/data/42582/000095012319003618/d738090dex102.htm" TargetMode="External"/><Relationship Id="rId189" Type="http://schemas.openxmlformats.org/officeDocument/2006/relationships/hyperlink" Target="http://www.sec.gov/Archives/edgar/data/42582/000095012318010221/d635065dex102.htm" TargetMode="External"/><Relationship Id="rId190" Type="http://schemas.openxmlformats.org/officeDocument/2006/relationships/hyperlink" Target="http://www.sec.gov/Archives/edgar/data/42582/000119312517123372/d375510dex101.htm" TargetMode="External"/><Relationship Id="rId191" Type="http://schemas.openxmlformats.org/officeDocument/2006/relationships/hyperlink" Target="http://www.sec.gov/Archives/edgar/data/42582/000129993317000598/exhibit1.htm" TargetMode="External"/><Relationship Id="rId192" Type="http://schemas.openxmlformats.org/officeDocument/2006/relationships/hyperlink" Target="http://www.sec.gov/Archives/edgar/data/42582/000129993317000598/exhibit2.htm" TargetMode="External"/><Relationship Id="rId195" Type="http://schemas.openxmlformats.org/officeDocument/2006/relationships/hyperlink" Target="http://www.sec.gov/Archives/edgar/data/42582/000119312520056588/d872286dex101.htm" TargetMode="External"/><Relationship Id="rId196" Type="http://schemas.openxmlformats.org/officeDocument/2006/relationships/hyperlink" Target="http://www.sec.gov/Archives/edgar/data/42582/000129993317000598/exhibit3.htm" TargetMode="External"/><Relationship Id="rId197" Type="http://schemas.openxmlformats.org/officeDocument/2006/relationships/hyperlink" Target="http://www.sec.gov/Archives/edgar/data/42582/000129993317000598/exhibit4.htm" TargetMode="External"/><Relationship Id="rId198" Type="http://schemas.openxmlformats.org/officeDocument/2006/relationships/hyperlink" Target="http://www.sec.gov/Archives/edgar/data/42582/000119312520056588/d872286dex102.htm" TargetMode="External"/><Relationship Id="rId199" Type="http://schemas.openxmlformats.org/officeDocument/2006/relationships/hyperlink" Target="http://www.sec.gov/Archives/edgar/data/42582/000129993317000598/exhibit5.htm" TargetMode="External"/><Relationship Id="rId200" Type="http://schemas.openxmlformats.org/officeDocument/2006/relationships/hyperlink" Target="http://www.sec.gov/Archives/edgar/data/42582/000119312520056588/d872286dex103.htm" TargetMode="External"/><Relationship Id="rId201" Type="http://schemas.openxmlformats.org/officeDocument/2006/relationships/hyperlink" Target="http://www.sec.gov/Archives/edgar/data/42582/000129993317000598/exhibit6.htm" TargetMode="External"/><Relationship Id="rId202" Type="http://schemas.openxmlformats.org/officeDocument/2006/relationships/hyperlink" Target="http://www.sec.gov/Archives/edgar/data/42582/000129993317000598/exhibit7.htm" TargetMode="External"/><Relationship Id="rId203" Type="http://schemas.openxmlformats.org/officeDocument/2006/relationships/hyperlink" Target="http://www.sec.gov/Archives/edgar/data/42582/000119312520056588/d872286dex104.htm" TargetMode="External"/><Relationship Id="rId204" Type="http://schemas.openxmlformats.org/officeDocument/2006/relationships/hyperlink" Target="http://www.sec.gov/Archives/edgar/data/42582/000119312513162989/d525588dex101.htm" TargetMode="External"/><Relationship Id="rId205" Type="http://schemas.openxmlformats.org/officeDocument/2006/relationships/hyperlink" Target="http://www.sec.gov/Archives/edgar/data/42582/000095012311011714/l41188exv10w2.htm" TargetMode="External"/><Relationship Id="rId206" Type="http://schemas.openxmlformats.org/officeDocument/2006/relationships/hyperlink" Target="http://www.sec.gov/Archives/edgar/data/42582/000119312518346155/d659319dex101.htm" TargetMode="External"/><Relationship Id="rId207" Type="http://schemas.openxmlformats.org/officeDocument/2006/relationships/hyperlink" Target="http://www.sec.gov/Archives/edgar/data/42582/000095015209001538/l35232aexv10w10.htm" TargetMode="External"/><Relationship Id="rId208" Type="http://schemas.openxmlformats.org/officeDocument/2006/relationships/hyperlink" Target="http://www.sec.gov/Archives/edgar/data/42582/000095015209001538/l35232aexv10w11.htm" TargetMode="External"/><Relationship Id="rId211" Type="http://schemas.openxmlformats.org/officeDocument/2006/relationships/hyperlink" Target="http://www.sec.gov/Archives/edgar/data/42582/000095012313000902/ex10_1definedcontributione.htm" TargetMode="External"/><Relationship Id="rId212" Type="http://schemas.openxmlformats.org/officeDocument/2006/relationships/hyperlink" Target="http://www.sec.gov/Archives/edgar/data/42582/000095012320001393/gt-q42019xex101.htm" TargetMode="External"/><Relationship Id="rId213" Type="http://schemas.openxmlformats.org/officeDocument/2006/relationships/hyperlink" Target="http://www.sec.gov/Archives/edgar/data/42582/000119312513093976/d49742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2021-02-09T10:54:54Z</dcterms:created>
  <dcterms:modified xsi:type="dcterms:W3CDTF">2021-02-09T10:54:54Z</dcterms:modified>
</cp:coreProperties>
</file>