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6900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THE GOODYEAR TIRE &amp; RUBBER COMPANY</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34-0253240</w:t>
            </w:r>
          </w:p>
        </w:tc>
      </w:tr>
      <w:tr>
        <w:trPr>
          <w:trHeight w:val="252"/>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20" w:type="dxa"/>
            <w:vAlign w:val="bottom"/>
          </w:tcPr>
          <w:p>
            <w:pPr>
              <w:jc w:val="center"/>
              <w:ind w:left="2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78"/>
        </w:trPr>
        <w:tc>
          <w:tcPr>
            <w:tcW w:w="33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44316-0001</w:t>
            </w:r>
          </w:p>
        </w:tc>
      </w:tr>
      <w:tr>
        <w:trPr>
          <w:trHeight w:val="270"/>
        </w:trPr>
        <w:tc>
          <w:tcPr>
            <w:tcW w:w="33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3380" w:type="dxa"/>
            <w:vAlign w:val="bottom"/>
          </w:tcPr>
          <w:p>
            <w:pPr>
              <w:spacing w:after="0"/>
              <w:rPr>
                <w:sz w:val="24"/>
                <w:szCs w:val="24"/>
                <w:color w:val="auto"/>
              </w:rPr>
            </w:pPr>
          </w:p>
        </w:tc>
        <w:tc>
          <w:tcPr>
            <w:tcW w:w="4220" w:type="dxa"/>
            <w:vAlign w:val="bottom"/>
          </w:tcPr>
          <w:p>
            <w:pPr>
              <w:jc w:val="right"/>
              <w:ind w:right="2570"/>
              <w:spacing w:after="0"/>
              <w:rPr>
                <w:sz w:val="20"/>
                <w:szCs w:val="20"/>
                <w:color w:val="auto"/>
              </w:rPr>
            </w:pPr>
            <w:r>
              <w:rPr>
                <w:rFonts w:ascii="Times New Roman" w:cs="Times New Roman" w:eastAsia="Times New Roman" w:hAnsi="Times New Roman"/>
                <w:sz w:val="18"/>
                <w:szCs w:val="18"/>
                <w:b w:val="1"/>
                <w:bCs w:val="1"/>
                <w:color w:val="auto"/>
              </w:rPr>
              <w:t>(330) 796-2121</w:t>
            </w:r>
          </w:p>
        </w:tc>
      </w:tr>
    </w:tbl>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248"/>
        </w:trPr>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GT</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21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1580" w:type="dxa"/>
            <w:vAlign w:val="bottom"/>
          </w:tcPr>
          <w:p>
            <w:pPr>
              <w:spacing w:after="0"/>
              <w:rPr>
                <w:sz w:val="18"/>
                <w:szCs w:val="18"/>
                <w:color w:val="auto"/>
              </w:rPr>
            </w:pPr>
          </w:p>
        </w:tc>
        <w:tc>
          <w:tcPr>
            <w:tcW w:w="5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vMerge w:val="restart"/>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w:t>
            </w:r>
          </w:p>
        </w:tc>
        <w:tc>
          <w:tcPr>
            <w:tcW w:w="5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2180" w:type="dxa"/>
            <w:vAlign w:val="bottom"/>
            <w:vMerge w:val="continue"/>
          </w:tcPr>
          <w:p>
            <w:pPr>
              <w:spacing w:after="0"/>
              <w:rPr>
                <w:sz w:val="22"/>
                <w:szCs w:val="22"/>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230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00" w:type="dxa"/>
            <w:vAlign w:val="bottom"/>
            <w:vMerge w:val="continue"/>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6"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12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April 30, 2026:</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287,438,631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63" w:lineRule="exact"/>
        <w:rPr>
          <w:sz w:val="20"/>
          <w:szCs w:val="20"/>
          <w:color w:val="auto"/>
        </w:rPr>
      </w:pPr>
    </w:p>
    <w:p>
      <w:pPr>
        <w:ind w:left="820"/>
        <w:spacing w:after="0" w:line="313"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337" w:right="1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60" w:type="dxa"/>
            <w:vAlign w:val="bottom"/>
          </w:tcPr>
          <w:p>
            <w:pPr>
              <w:spacing w:after="0"/>
              <w:rPr>
                <w:sz w:val="15"/>
                <w:szCs w:val="15"/>
                <w:color w:val="auto"/>
              </w:rPr>
            </w:pPr>
          </w:p>
        </w:tc>
      </w:tr>
      <w:tr>
        <w:trPr>
          <w:trHeight w:val="190"/>
        </w:trPr>
        <w:tc>
          <w:tcPr>
            <w:tcW w:w="5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8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960" w:type="dxa"/>
            <w:vAlign w:val="bottom"/>
          </w:tcPr>
          <w:p>
            <w:pPr>
              <w:spacing w:after="0"/>
              <w:rPr>
                <w:sz w:val="16"/>
                <w:szCs w:val="16"/>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700" w:type="dxa"/>
            <w:vAlign w:val="bottom"/>
          </w:tcPr>
          <w:p>
            <w:pPr>
              <w:spacing w:after="0"/>
              <w:rPr>
                <w:sz w:val="19"/>
                <w:szCs w:val="19"/>
                <w:color w:val="auto"/>
              </w:rPr>
            </w:pPr>
          </w:p>
        </w:tc>
        <w:tc>
          <w:tcPr>
            <w:tcW w:w="2220" w:type="dxa"/>
            <w:vAlign w:val="bottom"/>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60" w:type="dxa"/>
            <w:vAlign w:val="bottom"/>
          </w:tcPr>
          <w:p>
            <w:pPr>
              <w:jc w:val="right"/>
              <w:ind w:right="12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2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(Note 2)</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7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7"/>
        </w:trPr>
        <w:tc>
          <w:tcPr>
            <w:tcW w:w="5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7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(Note 3)</w:t>
            </w:r>
          </w:p>
        </w:tc>
        <w:tc>
          <w:tcPr>
            <w:tcW w:w="7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5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7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5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7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5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(Note 5)</w:t>
            </w:r>
          </w:p>
        </w:tc>
        <w:tc>
          <w:tcPr>
            <w:tcW w:w="7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5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7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7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r>
      <w:tr>
        <w:trPr>
          <w:trHeight w:val="27"/>
        </w:trPr>
        <w:tc>
          <w:tcPr>
            <w:tcW w:w="52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17"/>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70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100" w:type="dxa"/>
            <w:vAlign w:val="bottom"/>
          </w:tcPr>
          <w:p>
            <w:pPr>
              <w:spacing w:after="0"/>
              <w:rPr>
                <w:sz w:val="21"/>
                <w:szCs w:val="21"/>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r>
      <w:tr>
        <w:trPr>
          <w:trHeight w:val="27"/>
        </w:trPr>
        <w:tc>
          <w:tcPr>
            <w:tcW w:w="52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7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100" w:type="dxa"/>
            <w:vAlign w:val="bottom"/>
          </w:tcPr>
          <w:p>
            <w:pPr>
              <w:spacing w:after="0"/>
              <w:rPr>
                <w:sz w:val="21"/>
                <w:szCs w:val="21"/>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r>
      <w:tr>
        <w:trPr>
          <w:trHeight w:val="27"/>
        </w:trPr>
        <w:tc>
          <w:tcPr>
            <w:tcW w:w="52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700" w:type="dxa"/>
            <w:vAlign w:val="bottom"/>
            <w:shd w:val="clear" w:color="auto" w:fill="CCEEFF"/>
          </w:tcPr>
          <w:p>
            <w:pPr>
              <w:spacing w:after="0"/>
              <w:rPr>
                <w:sz w:val="20"/>
                <w:szCs w:val="20"/>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5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-16510</wp:posOffset>
            </wp:positionV>
            <wp:extent cx="60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-565150</wp:posOffset>
            </wp:positionV>
            <wp:extent cx="60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-3034030</wp:posOffset>
            </wp:positionV>
            <wp:extent cx="60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4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r>
      <w:tr>
        <w:trPr>
          <w:trHeight w:val="243"/>
        </w:trPr>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net of tax of $0 in 2026 ($2 in 2025)</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 2026 ($0 in 2025)</w:t>
            </w: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benefit plans: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82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 total benefit cost, net of</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41"/>
        </w:trPr>
        <w:tc>
          <w:tcPr>
            <w:tcW w:w="82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tax of $1 in 2026 ($6 in 2025)</w:t>
            </w: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net actuarial losses, net of tax of $0 in 2026 ($3 in 2025)</w:t>
            </w:r>
          </w:p>
        </w:tc>
        <w:tc>
          <w:tcPr>
            <w:tcW w:w="34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82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 due to curtailments,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61"/>
        </w:trPr>
        <w:tc>
          <w:tcPr>
            <w:tcW w:w="82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settlements and divestitures, net of tax of $0 in 2026 ($0 in 2025)</w:t>
            </w: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7"/>
        </w:trPr>
        <w:tc>
          <w:tcPr>
            <w:tcW w:w="82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34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2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-33655</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-213995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-565150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-2571115</wp:posOffset>
            </wp:positionV>
            <wp:extent cx="60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26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4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less Allowance — $84 ($89 in 2025)</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53"/>
        </w:trPr>
        <w:tc>
          <w:tcPr>
            <w:tcW w:w="8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37"/>
        </w:trPr>
        <w:tc>
          <w:tcPr>
            <w:tcW w:w="82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Finished Products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w:t>
            </w:r>
          </w:p>
        </w:tc>
      </w:tr>
      <w:tr>
        <w:trPr>
          <w:trHeight w:val="243"/>
        </w:trPr>
        <w:tc>
          <w:tcPr>
            <w:tcW w:w="8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3,572</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Assets Held for Sale (Note 1)</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27"/>
        </w:trPr>
        <w:tc>
          <w:tcPr>
            <w:tcW w:w="8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7,218</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w:t>
            </w:r>
          </w:p>
        </w:tc>
      </w:tr>
      <w:tr>
        <w:trPr>
          <w:trHeight w:val="237"/>
        </w:trPr>
        <w:tc>
          <w:tcPr>
            <w:tcW w:w="8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$12,486 ($12,390 in 2025)</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7,689</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w:t>
            </w:r>
          </w:p>
        </w:tc>
      </w:tr>
      <w:tr>
        <w:trPr>
          <w:trHeight w:val="261"/>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18,469</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18,208</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r>
        <w:trPr>
          <w:trHeight w:val="170"/>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3,879</w:t>
            </w:r>
          </w:p>
        </w:tc>
      </w:tr>
      <w:tr>
        <w:trPr>
          <w:trHeight w:val="260"/>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and Benefits (Notes 10 and 11</w:t>
            </w: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Notes Payable and Overdrafts (Note 8)</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36"/>
        </w:trPr>
        <w:tc>
          <w:tcPr>
            <w:tcW w:w="82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8)</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43"/>
        </w:trPr>
        <w:tc>
          <w:tcPr>
            <w:tcW w:w="8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7,355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6,782</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8)</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5,328</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37"/>
        </w:trPr>
        <w:tc>
          <w:tcPr>
            <w:tcW w:w="8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43"/>
        </w:trPr>
        <w:tc>
          <w:tcPr>
            <w:tcW w:w="8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15,295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14,805</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12)</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450 million shares, Outstanding shares — 287 million in 2026 (286 million in 2025)</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Capital Surplus</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3,175</w:t>
            </w:r>
          </w:p>
        </w:tc>
      </w:tr>
      <w:tr>
        <w:trPr>
          <w:trHeight w:val="233"/>
        </w:trPr>
        <w:tc>
          <w:tcPr>
            <w:tcW w:w="8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w:t>
            </w:r>
          </w:p>
        </w:tc>
      </w:tr>
      <w:tr>
        <w:trPr>
          <w:trHeight w:val="253"/>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 (Note 14)</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(3,588)</w:t>
            </w:r>
          </w:p>
        </w:tc>
      </w:tr>
      <w:tr>
        <w:trPr>
          <w:trHeight w:val="227"/>
        </w:trPr>
        <w:tc>
          <w:tcPr>
            <w:tcW w:w="8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3,233</w:t>
            </w:r>
          </w:p>
        </w:tc>
      </w:tr>
      <w:tr>
        <w:trPr>
          <w:trHeight w:val="25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30"/>
        </w:trPr>
        <w:tc>
          <w:tcPr>
            <w:tcW w:w="8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3,174</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3,403</w:t>
            </w:r>
          </w:p>
        </w:tc>
      </w:tr>
      <w:tr>
        <w:trPr>
          <w:trHeight w:val="261"/>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18,469</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18,208</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-33655</wp:posOffset>
            </wp:positionV>
            <wp:extent cx="60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-196215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-2073910</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-3007995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-4413885</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-4577080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-6137275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-7406005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7"/>
                <w:szCs w:val="17"/>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deducting 38,040,862 common treasury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286,247,045</w:t>
            </w:r>
          </w:p>
        </w:tc>
        <w:tc>
          <w:tcPr>
            <w:tcW w:w="80" w:type="dxa"/>
            <w:vAlign w:val="bottom"/>
          </w:tcPr>
          <w:p>
            <w:pPr>
              <w:spacing w:after="0"/>
              <w:rPr>
                <w:sz w:val="15"/>
                <w:szCs w:val="15"/>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3,175</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3,360</w:t>
            </w:r>
          </w:p>
        </w:tc>
        <w:tc>
          <w:tcPr>
            <w:tcW w:w="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(3,588)</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3,233</w:t>
            </w:r>
          </w:p>
        </w:tc>
        <w:tc>
          <w:tcPr>
            <w:tcW w:w="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170</w:t>
            </w:r>
          </w:p>
        </w:tc>
        <w:tc>
          <w:tcPr>
            <w:tcW w:w="8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3,403</w:t>
            </w: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8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1,125,762</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(after deducting 36,915,100 common treasury</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287,372,807</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287</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3,175</w:t>
            </w:r>
          </w:p>
        </w:tc>
        <w:tc>
          <w:tcPr>
            <w:tcW w:w="8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3,111</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(3,569)</w:t>
            </w:r>
          </w:p>
        </w:tc>
        <w:tc>
          <w:tcPr>
            <w:tcW w:w="8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3,004</w:t>
            </w:r>
          </w:p>
        </w:tc>
        <w:tc>
          <w:tcPr>
            <w:tcW w:w="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170</w:t>
            </w:r>
          </w:p>
        </w:tc>
        <w:tc>
          <w:tcPr>
            <w:tcW w:w="8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3,174</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vMerge w:val="continue"/>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vMerge w:val="continue"/>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p>
      <w:pPr>
        <w:spacing w:after="0" w:line="71"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4"/>
          <w:szCs w:val="14"/>
          <w:color w:val="auto"/>
        </w:rPr>
        <w:t>(after deducting 39,313,644 common treasury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Net income (loss)</w:t>
      </w:r>
    </w:p>
    <w:p>
      <w:pPr>
        <w:spacing w:after="0" w:line="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00" w:type="dxa"/>
            <w:vAlign w:val="bottom"/>
            <w:gridSpan w:val="4"/>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5"/>
                <w:szCs w:val="15"/>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20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80" w:type="dxa"/>
            <w:vAlign w:val="bottom"/>
            <w:gridSpan w:val="3"/>
            <w:vMerge w:val="restart"/>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6"/>
                <w:szCs w:val="16"/>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7"/>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78"/>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284,974,263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5,081</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4,681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142</w:t>
            </w:r>
          </w:p>
        </w:tc>
        <w:tc>
          <w:tcPr>
            <w:tcW w:w="8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4,823</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-524510</wp:posOffset>
            </wp:positionV>
            <wp:extent cx="712343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257175"/>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-121920</wp:posOffset>
            </wp:positionV>
            <wp:extent cx="712343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2840" w:space="60"/>
            <w:col w:w="8340"/>
          </w:cols>
          <w:pgMar w:left="320" w:top="337" w:right="33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w:t>
            </w: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674,461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deducting 38,639,183 common treasury</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285,648,724</w:t>
            </w:r>
          </w:p>
        </w:tc>
        <w:tc>
          <w:tcPr>
            <w:tcW w:w="8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tcPr>
          <w:p>
            <w:pPr>
              <w:spacing w:after="0"/>
              <w:rPr>
                <w:sz w:val="14"/>
                <w:szCs w:val="14"/>
                <w:color w:val="auto"/>
              </w:rPr>
            </w:pP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3,160</w:t>
            </w:r>
          </w:p>
        </w:tc>
        <w:tc>
          <w:tcPr>
            <w:tcW w:w="80" w:type="dxa"/>
            <w:vAlign w:val="bottom"/>
          </w:tcPr>
          <w:p>
            <w:pPr>
              <w:spacing w:after="0"/>
              <w:rPr>
                <w:sz w:val="14"/>
                <w:szCs w:val="14"/>
                <w:color w:val="auto"/>
              </w:rPr>
            </w:pP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5,196</w:t>
            </w:r>
          </w:p>
        </w:tc>
        <w:tc>
          <w:tcPr>
            <w:tcW w:w="80" w:type="dxa"/>
            <w:vAlign w:val="bottom"/>
          </w:tcPr>
          <w:p>
            <w:pPr>
              <w:spacing w:after="0"/>
              <w:rPr>
                <w:sz w:val="14"/>
                <w:szCs w:val="14"/>
                <w:color w:val="auto"/>
              </w:rPr>
            </w:pP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(3,787)</w:t>
            </w:r>
          </w:p>
        </w:tc>
        <w:tc>
          <w:tcPr>
            <w:tcW w:w="80" w:type="dxa"/>
            <w:vAlign w:val="bottom"/>
          </w:tcPr>
          <w:p>
            <w:pPr>
              <w:spacing w:after="0"/>
              <w:rPr>
                <w:sz w:val="14"/>
                <w:szCs w:val="14"/>
                <w:color w:val="auto"/>
              </w:rPr>
            </w:pPr>
          </w:p>
        </w:tc>
        <w:tc>
          <w:tcPr>
            <w:tcW w:w="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4,855</w:t>
            </w:r>
          </w:p>
        </w:tc>
        <w:tc>
          <w:tcPr>
            <w:tcW w:w="8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148</w:t>
            </w:r>
          </w:p>
        </w:tc>
        <w:tc>
          <w:tcPr>
            <w:tcW w:w="80" w:type="dxa"/>
            <w:vAlign w:val="bottom"/>
          </w:tcPr>
          <w:p>
            <w:pPr>
              <w:spacing w:after="0"/>
              <w:rPr>
                <w:sz w:val="14"/>
                <w:szCs w:val="14"/>
                <w:color w:val="auto"/>
              </w:rPr>
            </w:pPr>
          </w:p>
        </w:tc>
        <w:tc>
          <w:tcPr>
            <w:tcW w:w="3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5,003</w:t>
            </w: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months ended March 31, 2026 and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9"/>
                <w:szCs w:val="19"/>
                <w:color w:val="auto"/>
              </w:rPr>
            </w:pPr>
          </w:p>
        </w:tc>
        <w:tc>
          <w:tcPr>
            <w:tcW w:w="10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Deferred Income Taxes (Note 5)</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Rationalization Charges (Note 3)</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Rationalization Payments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(Gain) Loss on Asset Sales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Payments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 — Trade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3"/>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53"/>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36"/>
        </w:trPr>
        <w:tc>
          <w:tcPr>
            <w:tcW w:w="84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4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(718)</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(538)</w:t>
            </w: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Dispositions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Transactions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2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432</w:t>
            </w:r>
          </w:p>
        </w:tc>
      </w:tr>
      <w:tr>
        <w:trPr>
          <w:trHeight w:val="25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3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 Term Debt Incurred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w:t>
            </w:r>
          </w:p>
        </w:tc>
      </w:tr>
      <w:tr>
        <w:trPr>
          <w:trHeight w:val="25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 Term Debt Paid</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(5,627)</w:t>
            </w:r>
          </w:p>
        </w:tc>
      </w:tr>
      <w:tr>
        <w:trPr>
          <w:trHeight w:val="236"/>
        </w:trPr>
        <w:tc>
          <w:tcPr>
            <w:tcW w:w="84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Other Transactions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4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211</w:t>
            </w:r>
          </w:p>
        </w:tc>
      </w:tr>
      <w:tr>
        <w:trPr>
          <w:trHeight w:val="237"/>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r>
      <w:tr>
        <w:trPr>
          <w:trHeight w:val="237"/>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61"/>
        </w:trPr>
        <w:tc>
          <w:tcPr>
            <w:tcW w:w="8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841</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978</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-196215</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-513715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-830580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-2699385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-5785485</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2025 (the “2025 Form 10-K”).</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months ended March 31, 2026 are not necessarily indicative of the results expected in subsequent quarters or for the year ending December 31,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4, 2024, the Financial Accounting Standards Board ("FASB") issued a final Accounting Standards Update ("ASU") to require disaggregated disclosure of income statement expenses. This new standard requires certain expense categories, including selling expenses, to be disaggregated in the notes to the consolidated financial statements. The standards update is effective for fiscal years beginning after December 15, 2026, and interim periods within fiscal years beginning after December 15, 2027. We are currently assessing the impact of this standards update on our disclosures in the notes to the consolidated financial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18, 2025, the FASB issued a final ASU to modernize the accounting for internal-use software. This update replaces the previous stage-based capitalization model with a principles-based approach, allowing capitalization of software development costs once management has authorized and committed funding and it is probable the project will be completed and perform its intended function. The ASU also consolidates guidance for website development under the internal-use software framework and expands applicability to cloud-based and agile development methods. The standards update is effective for fiscal years beginning after December 15, 2026, with early adoption permitted. We are currently assessing the impact of this standards update on our accounting policies and disclosures.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Intangible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or more frequently if an indicator of 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$43 million and $658 million, respectively, at March 31, 2026, compared to $42 million and $663 million, respectively, at December 31, 2025. All goodwill was associated with the reporting unit in our Asia Pacific segment at March 31, 2026 and December 31, 2025.</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2026, macroeconomic factors and geopolitical events adversely impacted our results and contributed to a decline in our volume. We considered the impact on the fair value of our goodwill reporting unit and our indefinite-lived intangible assets. During this review, we considered the nature and extent of current market conditions, forecasts for reporting units and individual brands, as well as the quantitative analysis performed during our annual 2025 impairment test. Based on our review of external and internal factors compared to our latest quantitative assessment, we determined it was not more likely than not that the fair value of our goodwill or indefinite-lived intangible assets is less than the respective carrying value, and thus, a triggering event had not occurred which would require an interim impairment test to be performed. We will continue to monitor our results and market conditions to determine if a future analysis would be required.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Tariff Refunds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International Emergency Economic Powers Act ("IEEPA") was used by President Trump to impose tariffs on imports. On December 10, 2025, we filed a lawsuit in the U.S. Court of International Trade challenging the IEPPA tariffs. On February 20, 2026, the U.S. Supreme Court ruled that IEEPA does not authorize the President to impose tariffs. The Court of International Trade has ordered U.S. Customs and Border Protection ("CBP") to begin refunding tariffs imposed under IEEPA. On April 20, 2026, we submitted our claim for a refund of the IEPPA tariffs through the CBP portal established to process such claims.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applied the loss recovery model and determined that the receipt of the refund of the previously paid IEEPA tariffs is probable. We estimate the amount of the probable refund to be $60 million, of which $46 million was recognized as a reduction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cost of goods sold, $12 million was applied as a reduction to tariffs that remained in inventory, and $2 million was accrued as an other liability associated with contractual terms.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Held for Sale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and liabilities are classified as held for sale when management approves and commits to a formal plan to actively market the assets for sale at a price reasonable in relation to their estimated fair value, the assets are available for immediate sale in their present condition, an active program to locate a buyer and other actions required to complete the sale have been initiated, the sale of the assets is probable and expected to be completed within one year, and it is unlikely that significant changes will be made to the plan. When all of these criteria have been met, the assets and liabilities are classified as held for sale in the balance sheet. Assets classified as held for sale are reported at the lower of their carrying value or fair value less costs to sell. Depreciation of assets ceases upon designation as held for sale. At March 31, 2026 and December 31, 2025, Assets Held for Sale of $6 million and $58 million, respectively, related to Dunlop tire inventory in Europe as a result of the sale of the Dunlop brand in 2025 were included in the Consolidated Balance Sheets.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1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tbl>
      <w:tblPr>
        <w:tblLayout w:type="fixed"/>
        <w:tblInd w:w="6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9"/>
                <w:szCs w:val="19"/>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70"/>
        </w:trPr>
        <w:tc>
          <w:tcPr>
            <w:tcW w:w="84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89"/>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Restricted cash at March 31, 2026 also includes amounts collected in connection with ongoing agreements related to the sale of our off-the-road ("OTR") tire business. At both March 31, 2026 and 2025, restricted cash was recorded in Prepaid Expenses and Other Current Assets in the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4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220" w:type="dxa"/>
            <w:vAlign w:val="bottom"/>
            <w:tcBorders>
              <w:bottom w:val="single" w:sz="8" w:color="CFF0FC"/>
            </w:tcBorders>
          </w:tcPr>
          <w:p>
            <w:pPr>
              <w:spacing w:after="0"/>
              <w:rPr>
                <w:sz w:val="3"/>
                <w:szCs w:val="3"/>
                <w:color w:val="auto"/>
              </w:rPr>
            </w:pPr>
          </w:p>
        </w:tc>
        <w:tc>
          <w:tcPr>
            <w:tcW w:w="144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1680" w:type="dxa"/>
            <w:vAlign w:val="bottom"/>
            <w:tcBorders>
              <w:bottom w:val="single" w:sz="8" w:color="CFF0FC"/>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0" w:type="dxa"/>
            <w:vAlign w:val="bottom"/>
          </w:tcPr>
          <w:p>
            <w:pPr>
              <w:spacing w:after="0"/>
              <w:rPr>
                <w:sz w:val="21"/>
                <w:szCs w:val="2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14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21"/>
                <w:szCs w:val="2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r>
      <w:tr>
        <w:trPr>
          <w:trHeight w:val="23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14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3,881</w:t>
            </w:r>
          </w:p>
        </w:tc>
        <w:tc>
          <w:tcPr>
            <w:tcW w:w="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0"/>
        </w:trPr>
        <w:tc>
          <w:tcPr>
            <w:tcW w:w="4220" w:type="dxa"/>
            <w:vAlign w:val="bottom"/>
          </w:tcPr>
          <w:p>
            <w:pPr>
              <w:spacing w:after="0"/>
              <w:rPr>
                <w:sz w:val="24"/>
                <w:szCs w:val="24"/>
                <w:color w:val="auto"/>
              </w:rPr>
            </w:pP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5"/>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2,502</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4,253</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Tire unit sales consist of consumer, commercial, farm and OTR tire sales, including the sale of new Company-branded tires through Company-owned retail channels. OTR tire sales primarily consist of tires sold to The Yokohama Rubber Company, Limited (“Yokohama”), pursuant to the product supply agreement related to the sale of our OTR tire business.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$33 million and $34 million at March 31, 2026 and December 31, 2025, respectively. Deferred revenue included in Other Long Term Liabilities in the Consolidated Balance Sheets totaled $71 million and $76 million at March 31, 2026 and December 31, 2025, respectively. We recognize deferred revenue after we have transferred control of the goods or services to the customer and all revenue recognition criteria are met. Revenue deferred during the three months ended March 31, 2026 primarily relates to the product supply agreement we entered into with Yokohama in connection with the sale of our OTR tire business.</w:t>
      </w:r>
    </w:p>
    <w:p>
      <w:pPr>
        <w:spacing w:after="0" w:line="7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three months ended March 31, 2026:</w:t>
      </w:r>
    </w:p>
    <w:tbl>
      <w:tblPr>
        <w:tblLayout w:type="fixed"/>
        <w:tblInd w:w="40" w:type="dxa"/>
        <w:tblCellMar>
          <w:top w:w="0" w:type="dxa"/>
          <w:left w:w="0" w:type="dxa"/>
          <w:bottom w:w="0" w:type="dxa"/>
          <w:right w:w="0" w:type="dxa"/>
        </w:tblCellMar>
      </w:tblPr>
      <w:tr>
        <w:trPr>
          <w:trHeight w:val="190"/>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
        </w:trPr>
        <w:tc>
          <w:tcPr>
            <w:tcW w:w="9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0"/>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56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9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5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4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9"/>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56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r>
      <w:tr>
        <w:trPr>
          <w:trHeight w:val="20"/>
        </w:trPr>
        <w:tc>
          <w:tcPr>
            <w:tcW w:w="98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COSTS ASSOCIATED WITH RATIONALIZATION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we have implemented, and are implementing, rationalization actions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2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06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Charges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($3) million and $0 million, respectively</w:t>
            </w: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0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-33655</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-213360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-213360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-908050</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-908050</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2026, we approved a rationalization plan in Europe, Middle East and Africa (“EMEA”) to improve its cost structure as part of actions we expect to take in order to streamline its sales and distribution model and simplify business processes. The plan includes approximately 400 net headcount reductions. In certain countries, relevant portions of the rationalization plan remain subject to consultation with employee representative bodies. Total pre-tax charges are expected to be between $100 million and $110 million, of which $75 million to $85 million are expected to be cash charges primarily for</w:t>
      </w:r>
    </w:p>
    <w:p>
      <w:pPr>
        <w:sectPr>
          <w:pgSz w:w="11900" w:h="16838" w:orient="portrait"/>
          <w:cols w:equalWidth="0" w:num="1">
            <w:col w:w="11240"/>
          </w:cols>
          <w:pgMar w:left="320" w:top="337"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associate-related and other exit costs. We expect these actions to be substantially complete in 2028. We have accrued approximately $70 million for this plan at March 31, 2026.</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approved a plan to reduce Selling, Administrative and General Expense ("SAG") headcount globally. The plan includes approximately 100 net headcount reductions. The total pre-tax charges associated with these actions are expected to be approximately $10 million, primarily for associate-related and other exit costs. We have accrued approximately $9 million for this plan at March 31, 2026.</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approved a plan in Americas to consolidate mold operations and close the Tall Timbers mold plant in Findlay, Ohio ("Tall Timbers"). The plan includes approximately 100 net headcount reductions. The total pre-tax charges associated with these actions are expected to be approximately $13 million, primarily for associate-related and other exit costs. We have accrued approximately $3 million for this plan at March 31, 2026.</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remainder of the accrual balance at March 31, 2026 includes $72 million related to the closures of our Fulda, Germany ("Fulda") and our Fürstenwalde, Germany ("Fürstenwalde") tire manufacturing facilities, $19 million related to a rationalization and workforce reorganization plan in EMEA, $10 million for the plan to eliminate commercial tire production at our Danville, Virginia ("Danville") tire manufacturing facility, $10 million related to the plan to reduce headcount in our Fayetteville, North Carolina ("Fayetteville") tire manufacturing facility, $5 million related to the closed Amiens, France tire manufacturing facility, $4 million related to a global workforce reorganization plan to improve our cost structure, and $2 million related to the closure of our Kariega, South Africa tire manufacturing facility.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$100 million and $131 million were recorded in Other Current Liabilities in the Consolidated Balance Sheets,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19"/>
                <w:szCs w:val="19"/>
                <w:color w:val="auto"/>
              </w:rPr>
            </w:pPr>
          </w:p>
        </w:tc>
        <w:tc>
          <w:tcPr>
            <w:tcW w:w="206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740" w:type="dxa"/>
            <w:vAlign w:val="bottom"/>
            <w:tcBorders>
              <w:bottom w:val="single" w:sz="8" w:color="CFF0FC"/>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640" w:type="dxa"/>
            <w:vAlign w:val="bottom"/>
            <w:tcBorders>
              <w:bottom w:val="single" w:sz="8" w:color="CFF0FC"/>
            </w:tcBorders>
            <w:shd w:val="clear" w:color="auto" w:fill="CFF0FC"/>
          </w:tcPr>
          <w:p>
            <w:pPr>
              <w:spacing w:after="0"/>
              <w:rPr>
                <w:sz w:val="20"/>
                <w:szCs w:val="20"/>
                <w:color w:val="auto"/>
              </w:rPr>
            </w:pPr>
          </w:p>
        </w:tc>
        <w:tc>
          <w:tcPr>
            <w:tcW w:w="20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Plan Curtailments/Settlements/Termination Benefits</w:t>
            </w:r>
          </w:p>
        </w:tc>
        <w:tc>
          <w:tcPr>
            <w:tcW w:w="64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64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640" w:type="dxa"/>
            <w:vAlign w:val="bottom"/>
            <w:tcBorders>
              <w:bottom w:val="single" w:sz="8" w:color="CFF0FC"/>
            </w:tcBorders>
            <w:shd w:val="clear" w:color="auto" w:fill="CFF0FC"/>
          </w:tcPr>
          <w:p>
            <w:pPr>
              <w:spacing w:after="0"/>
              <w:rPr>
                <w:sz w:val="23"/>
                <w:szCs w:val="23"/>
                <w:color w:val="auto"/>
              </w:rPr>
            </w:pP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740" w:type="dxa"/>
            <w:vAlign w:val="bottom"/>
            <w:vMerge w:val="continue"/>
          </w:tcPr>
          <w:p>
            <w:pPr>
              <w:spacing w:after="0"/>
              <w:rPr>
                <w:sz w:val="14"/>
                <w:szCs w:val="14"/>
                <w:color w:val="auto"/>
              </w:rPr>
            </w:pP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4"/>
                <w:szCs w:val="14"/>
                <w:color w:val="auto"/>
              </w:rPr>
            </w:pPr>
          </w:p>
        </w:tc>
        <w:tc>
          <w:tcPr>
            <w:tcW w:w="92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net</w:t>
            </w:r>
          </w:p>
        </w:tc>
        <w:tc>
          <w:tcPr>
            <w:tcW w:w="64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-342265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-521970</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-864870</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-1567815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-2253615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new charges for the three months ended March 31, 2026 and 2025 relate to future cash outflows. Net current year plan charges for the three months ended March 31, 2026 primarily relate to the plans approved during the first quarter of 2026 described above. Net current year plan charges for the three months ended March 31, 2025 primarily relate to the elimination of commercial tire production at Danville.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prior year plan charges for the three months ended March 31, 2026 and 2025 primarily relate to the closures of Fulda and Fürstenwalde.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the three months ended March 31, 2026 primarily relate to the announced closures of the Tall Timbers mold plant as well as Fulda and Fürstenwalde.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write-offs (recoveries) and accelerated depreciation for the three months ended March 31, 2025 primarily relate to the closures of Fulda and Fürstenwalde, as well as the plan to eliminate commercial tire production at Danville.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$950 million in charges incurred prior to 2026 and have approximately $100 million in expected charges to be incurred in future periods.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Approximately 600 associates will be released under plans initiated in 2026, of which approximately 200 were released through March 31, 2026. In the first three months of 2026, approximately 200 associates were released under plans initiated in prior years. Approximately 1,200 associates remain to be released under all ongoing rationalization plans.</w:t>
      </w:r>
    </w:p>
    <w:p>
      <w:pPr>
        <w:sectPr>
          <w:pgSz w:w="11900" w:h="16838" w:orient="portrait"/>
          <w:cols w:equalWidth="0" w:num="1">
            <w:col w:w="11240"/>
          </w:cols>
          <w:pgMar w:left="320" w:top="337"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OTHER (INCOME) EXPENSE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5"/>
                <w:szCs w:val="15"/>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19"/>
                <w:szCs w:val="19"/>
                <w:color w:val="auto"/>
              </w:rPr>
            </w:pPr>
          </w:p>
        </w:tc>
        <w:tc>
          <w:tcPr>
            <w:tcW w:w="206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740" w:type="dxa"/>
            <w:vAlign w:val="bottom"/>
            <w:tcBorders>
              <w:bottom w:val="single" w:sz="8" w:color="CFF0FC"/>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43"/>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64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64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and other (income)</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640" w:type="dxa"/>
            <w:vAlign w:val="bottom"/>
            <w:tcBorders>
              <w:bottom w:val="single" w:sz="8" w:color="CFF0FC"/>
            </w:tcBorders>
            <w:shd w:val="clear" w:color="auto" w:fill="CFF0FC"/>
          </w:tcPr>
          <w:p>
            <w:pPr>
              <w:spacing w:after="0"/>
              <w:rPr>
                <w:sz w:val="23"/>
                <w:szCs w:val="23"/>
                <w:color w:val="auto"/>
              </w:rPr>
            </w:pP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574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7"/>
        </w:trPr>
        <w:tc>
          <w:tcPr>
            <w:tcW w:w="5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
        </w:trPr>
        <w:tc>
          <w:tcPr>
            <w:tcW w:w="5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-376555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-719455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-916305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-1062355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-1422400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three months ended March 31, 2025 includes a pension settlement charge of $4 million resulting from total lump sum payments exceeding annual service and interest cost of the applicable plan. For further information, refer to Note to the Consolidated Financial Statements No. 10, Pension, Savings and Other Postretirement Benefit Plans.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foreign currency exchange gains for the three months ended March 31, 2026 and 2025 include a $5 million gain and a $4 million gain, respectively, related to the euro.</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Royalty and other income for the three months ended March 31, 2026 includes $15 million related to royalty income from the OTR and Chemical business license agreements and transition services income related to the sales of the OTR tire business, the Dunlop brand and the Chemical business. Royalty and other income for the three months ended March 31, 2025 includes $5 million related to royalty income from the OTR business license agreement and transition services income related to the sale of the OTR tire business.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interest income; general and product liability expense - discontinued products, which consists of charges for claims against us related primarily to asbestos personal injury claims, net of probable insurance recoveries; and miscellaneous (income)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2026, we recorded income tax expense of $66 million on a loss before income taxes of $180 million. Income tax expense for the three months ended March 31, 2026 includes net discrete tax expense of $21 million, primarily related to an expected settlement of a prior year tax matter in one of our foreign locations.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2025, we recorded income tax expense of $13 million on income before income taxes of $131 million.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months ended March 31, 2026 primarily relates to losses in the U.S. and foreign jurisdictions in which no tax benefits are recorded and the discrete item noted above. The difference between our effective tax rate and the U.S. statutory rate of 21% for the three months ended March 31, 2025 was favorably impacted by gains recognized as a result of the sale of the OTR tire business in foreign jurisdictions where no taxes are recorded, net of losses in foreign jurisdictions in which no tax benefits are recorded.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we had approximately $1.5 billion and $1.4 billion, respectively, of U.S. federal, state and local net deferred tax assets and related valuation allowances totaling $1.5 billion and $1.4 billion, respectively. At</w:t>
      </w:r>
    </w:p>
    <w:p>
      <w:pPr>
        <w:sectPr>
          <w:pgSz w:w="11900" w:h="16838" w:orient="portrait"/>
          <w:cols w:equalWidth="0" w:num="1">
            <w:col w:w="11240"/>
          </w:cols>
          <w:pgMar w:left="320" w:top="33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both March 31, 2026 and December 31, 2025, we also had foreign net deferred tax assets of approximately $1.5 billion and related valuation allowances of approximately $1.3 billion. Our foreign valuation allowances include a $1.1 billion full valuation allowance on our net deferred tax assets in Luxembourg. Our losses in the U.S. and various foreign taxing jurisdictions in recent periods represented sufficient negative evidence to require us to maintain a full valuation allowance against certain of these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U.S. and foreign deferred tax assets will exist within the next twelve months.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2026. However, we are continuing to evaluate the Pillar Two model rules and related developments, including the side-by-side safe harbor package for U.S.-based multinationals, and their potential impact on future periods.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from 2021 onward and in Germany from 2018 onward. Generally, for our remaining tax jurisdictions, years from 2020 onward are still open to examination.</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Following an audit by the Internal Revenue Service ("IRS"), we received a Notice of Proposed Adjustment ("NOPA") during the second quarter of 2025 related to an intercompany sale of certain intellectual property in 2021. The IRS proposes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disagree with the IRS’s position as stated in the NOPA. We are currently challenging the proposed adjustment through the established IRS administrative procedures and are engaging in settlement discussions with the IRS. If the income recognition associated with the transaction is disallowed in full or in part, we will not be able to use a portion of the deferred tax assets that we utilized to offset the related federal taxes and we will need to write-off those deferred tax assets. However, since our U.S. deferred tax assets are in a full valuation allowance as of March 31, 2026, any such write-off of deferred tax assets would not have a material impact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640" w:type="dxa"/>
            <w:vAlign w:val="bottom"/>
          </w:tcPr>
          <w:p>
            <w:pPr>
              <w:spacing w:after="0"/>
              <w:rPr>
                <w:sz w:val="19"/>
                <w:szCs w:val="19"/>
                <w:color w:val="auto"/>
              </w:rPr>
            </w:pPr>
          </w:p>
        </w:tc>
        <w:tc>
          <w:tcPr>
            <w:tcW w:w="206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740" w:type="dxa"/>
            <w:vAlign w:val="bottom"/>
            <w:tcBorders>
              <w:bottom w:val="single" w:sz="8" w:color="CFF0FC"/>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640" w:type="dxa"/>
            <w:vAlign w:val="bottom"/>
            <w:tcBorders>
              <w:bottom w:val="single" w:sz="8" w:color="CFF0FC"/>
            </w:tcBorders>
            <w:shd w:val="clear" w:color="auto" w:fill="CFF0FC"/>
          </w:tcPr>
          <w:p>
            <w:pPr>
              <w:spacing w:after="0"/>
              <w:rPr>
                <w:sz w:val="20"/>
                <w:szCs w:val="20"/>
                <w:color w:val="auto"/>
              </w:rPr>
            </w:pPr>
          </w:p>
        </w:tc>
        <w:tc>
          <w:tcPr>
            <w:tcW w:w="20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Goodyear net income (loss)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640" w:type="dxa"/>
            <w:vAlign w:val="bottom"/>
            <w:tcBorders>
              <w:bottom w:val="single" w:sz="8" w:color="CFF0FC"/>
            </w:tcBorders>
            <w:shd w:val="clear" w:color="auto" w:fill="CFF0FC"/>
          </w:tcPr>
          <w:p>
            <w:pPr>
              <w:spacing w:after="0"/>
              <w:rPr>
                <w:sz w:val="24"/>
                <w:szCs w:val="24"/>
                <w:color w:val="auto"/>
              </w:rPr>
            </w:pP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vMerge w:val="continue"/>
          </w:tcPr>
          <w:p>
            <w:pPr>
              <w:spacing w:after="0"/>
              <w:rPr>
                <w:sz w:val="18"/>
                <w:szCs w:val="18"/>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80" w:type="dxa"/>
            <w:vAlign w:val="bottom"/>
          </w:tcPr>
          <w:p>
            <w:pPr>
              <w:spacing w:after="0"/>
              <w:rPr>
                <w:sz w:val="18"/>
                <w:szCs w:val="18"/>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6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Goodyear net income (loss)</w:t>
            </w: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640" w:type="dxa"/>
            <w:vAlign w:val="bottom"/>
            <w:tcBorders>
              <w:bottom w:val="single" w:sz="8" w:color="CFF0FC"/>
            </w:tcBorders>
            <w:shd w:val="clear" w:color="auto" w:fill="CFF0FC"/>
          </w:tcPr>
          <w:p>
            <w:pPr>
              <w:spacing w:after="0"/>
              <w:rPr>
                <w:sz w:val="23"/>
                <w:szCs w:val="23"/>
                <w:color w:val="auto"/>
              </w:rPr>
            </w:pPr>
          </w:p>
        </w:tc>
        <w:tc>
          <w:tcPr>
            <w:tcW w:w="21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6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-33655</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-213995</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-796290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-1302385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-1533525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-1713865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-2082165</wp:posOffset>
            </wp:positionV>
            <wp:extent cx="60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 average shares outstanding — diluted for the three months ended March 31, 2026 and 2025 excludes approximately 2 million and 3 million equivalent shares, respectively, related to options with exercise prices greater than the average market price of our common shares (i.e., "underwater" options). Additionally, weighted average shares outstanding — diluted for the three months ended March 31, 2026 excludes the dilutive effect of approximately 2 million equivalent shares, related primarily</w:t>
      </w:r>
    </w:p>
    <w:p>
      <w:pPr>
        <w:sectPr>
          <w:pgSz w:w="11900" w:h="16838" w:orient="portrait"/>
          <w:cols w:equalWidth="0" w:num="1">
            <w:col w:w="11240"/>
          </w:cols>
          <w:pgMar w:left="320" w:top="33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unvested restricted stock units and options with exercise prices less than the average market price of our common shares (i.e., "in-the-money" options), as their inclusion would have been anti-dilutive due to the Goodyear net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BUSINESS 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For the three months ended March 31, 2026, we operated our business through operating segments representing our regional tire businesses: Americas; Europe, Middle East and Africa; and Asia Pacific. Segment information is reported on the basis used for reporting to our Chief Executive Officer. Each of the SBUs is involved in the development, manufacture, distribution and sale of tires. Certain of the SBUs also provide related products and services, which include retreads and automotive and commercial truck maintenance and repair services.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Cost of Goods Sold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for the profit measure when making decisions about allocating capital and personnel to the segments. The CODM also uses segment operating income or loss for evaluating product pricing and to assess the performance for each segment by comparing the results and return on assets of each segment with one another.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following tables present segment sales, significant segment expenses and segment operating income, and the reconciliation of segment operating income to Income (Loss) before Income Taxes:</w:t>
      </w: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43"/>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Rationalizations (Note 3)</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(Note 3)</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6"/>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-1885315</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-1885315</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-1885315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-2956560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-2956560</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-2956560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ind w:left="360" w:right="40" w:hanging="334"/>
        <w:spacing w:after="0" w:line="229" w:lineRule="auto"/>
        <w:tabs>
          <w:tab w:leader="none" w:pos="347"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and Chemical business license agreement royalty income, in addition to transition services income related to the sales of the OTR tire business, the Dunlop brand and the Chemical business.</w:t>
      </w:r>
    </w:p>
    <w:p>
      <w:pPr>
        <w:spacing w:after="0" w:line="46" w:lineRule="exact"/>
        <w:rPr>
          <w:rFonts w:ascii="Times New Roman" w:cs="Times New Roman" w:eastAsia="Times New Roman" w:hAnsi="Times New Roman"/>
          <w:sz w:val="23"/>
          <w:szCs w:val="23"/>
          <w:color w:val="auto"/>
          <w:vertAlign w:val="superscript"/>
        </w:rPr>
      </w:pPr>
    </w:p>
    <w:p>
      <w:pPr>
        <w:ind w:left="340" w:hanging="314"/>
        <w:spacing w:after="0"/>
        <w:tabs>
          <w:tab w:leader="none" w:pos="34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and other income attributable to the SBUs.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1"/>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7"/>
                <w:szCs w:val="17"/>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43"/>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Rationalizations (Note 3)</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(Note 3)</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6"/>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-1885315</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-1885315</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-1885315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-2956560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-2956560</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-2956560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340" w:hanging="314"/>
        <w:spacing w:after="0" w:line="220" w:lineRule="auto"/>
        <w:tabs>
          <w:tab w:leader="none" w:pos="34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royalty income attributable to the SBUs, including royalty income related to the sale of the OTR tire business.</w:t>
      </w:r>
    </w:p>
    <w:p>
      <w:pPr>
        <w:spacing w:after="0" w:line="82" w:lineRule="exact"/>
        <w:rPr>
          <w:rFonts w:ascii="Times New Roman" w:cs="Times New Roman" w:eastAsia="Times New Roman" w:hAnsi="Times New Roman"/>
          <w:sz w:val="23"/>
          <w:szCs w:val="23"/>
          <w:color w:val="auto"/>
          <w:vertAlign w:val="superscript"/>
        </w:rPr>
      </w:pPr>
    </w:p>
    <w:p>
      <w:pPr>
        <w:ind w:left="340" w:hanging="314"/>
        <w:spacing w:after="0" w:line="207" w:lineRule="auto"/>
        <w:tabs>
          <w:tab w:leader="none" w:pos="34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income attributable to the SBUs.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4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w:t>
            </w: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7"/>
        </w:trPr>
        <w:tc>
          <w:tcPr>
            <w:tcW w:w="82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17,514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17,319</w:t>
            </w: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7"/>
        </w:trPr>
        <w:tc>
          <w:tcPr>
            <w:tcW w:w="82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18,469</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18,208</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-1250950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 of property, plant and equipment. For net sales, only the United States and Luxembourg were considered to be significant. For long-lived assets, only the United States and China were considered to be significant.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tcPr>
          <w:p>
            <w:pPr>
              <w:spacing w:after="0"/>
              <w:rPr>
                <w:sz w:val="14"/>
                <w:szCs w:val="14"/>
                <w:color w:val="auto"/>
              </w:rPr>
            </w:pPr>
          </w:p>
        </w:tc>
      </w:tr>
      <w:tr>
        <w:trPr>
          <w:trHeight w:val="190"/>
        </w:trPr>
        <w:tc>
          <w:tcPr>
            <w:tcW w:w="57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8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920" w:type="dxa"/>
            <w:vAlign w:val="bottom"/>
          </w:tcPr>
          <w:p>
            <w:pPr>
              <w:spacing w:after="0"/>
              <w:rPr>
                <w:sz w:val="16"/>
                <w:szCs w:val="16"/>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8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20" w:type="dxa"/>
            <w:vAlign w:val="bottom"/>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74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jc w:val="right"/>
              <w:ind w:right="169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7"/>
        </w:trPr>
        <w:tc>
          <w:tcPr>
            <w:tcW w:w="5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Luxembourg</w:t>
            </w:r>
          </w:p>
        </w:tc>
        <w:tc>
          <w:tcPr>
            <w:tcW w:w="1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International</w:t>
            </w:r>
          </w:p>
        </w:tc>
        <w:tc>
          <w:tcPr>
            <w:tcW w:w="18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7"/>
        </w:trPr>
        <w:tc>
          <w:tcPr>
            <w:tcW w:w="57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8"/>
        </w:trPr>
        <w:tc>
          <w:tcPr>
            <w:tcW w:w="574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16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5740" w:type="dxa"/>
            <w:vAlign w:val="bottom"/>
          </w:tcPr>
          <w:p>
            <w:pPr>
              <w:spacing w:after="0"/>
              <w:rPr>
                <w:sz w:val="12"/>
                <w:szCs w:val="12"/>
                <w:color w:val="auto"/>
              </w:rPr>
            </w:pPr>
          </w:p>
        </w:tc>
        <w:tc>
          <w:tcPr>
            <w:tcW w:w="1880" w:type="dxa"/>
            <w:vAlign w:val="bottom"/>
          </w:tcPr>
          <w:p>
            <w:pPr>
              <w:jc w:val="right"/>
              <w:ind w:right="138"/>
              <w:spacing w:after="0" w:line="13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20" w:type="dxa"/>
            <w:vAlign w:val="bottom"/>
          </w:tcPr>
          <w:p>
            <w:pPr>
              <w:jc w:val="right"/>
              <w:ind w:right="835"/>
              <w:spacing w:after="0" w:line="13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8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20" w:type="dxa"/>
            <w:vAlign w:val="bottom"/>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74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8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jc w:val="right"/>
              <w:ind w:right="169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8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7"/>
        </w:trPr>
        <w:tc>
          <w:tcPr>
            <w:tcW w:w="5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international</w:t>
            </w:r>
          </w:p>
        </w:tc>
        <w:tc>
          <w:tcPr>
            <w:tcW w:w="18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7"/>
        </w:trPr>
        <w:tc>
          <w:tcPr>
            <w:tcW w:w="57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9"/>
        </w:trPr>
        <w:tc>
          <w:tcPr>
            <w:tcW w:w="574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16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7,689</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-899795</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-2056765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Rationalizations, as described in Note to the Consolidated Financial Statements No. 3, Costs Associated with Rationalization Programs; net (gains) losses on asset sales, and asset write-offs, accelerated depreciation and accelerated lease costs were not charged (credited) to the SBUs for performance evaluation purposes but were attributable to the SBUs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60" w:type="dxa"/>
            <w:vAlign w:val="bottom"/>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100" w:type="dxa"/>
            <w:vAlign w:val="bottom"/>
            <w:tcBorders>
              <w:bottom w:val="single" w:sz="8" w:color="CCEEFF"/>
            </w:tcBorders>
          </w:tcPr>
          <w:p>
            <w:pPr>
              <w:spacing w:after="0"/>
              <w:rPr>
                <w:sz w:val="3"/>
                <w:szCs w:val="3"/>
                <w:color w:val="auto"/>
              </w:rPr>
            </w:pPr>
          </w:p>
        </w:tc>
        <w:tc>
          <w:tcPr>
            <w:tcW w:w="16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1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2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1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22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1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0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1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-1842135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60" w:type="dxa"/>
            <w:vAlign w:val="bottom"/>
            <w:gridSpan w:val="3"/>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19"/>
                <w:szCs w:val="19"/>
                <w:color w:val="auto"/>
              </w:rPr>
            </w:pPr>
          </w:p>
        </w:tc>
        <w:tc>
          <w:tcPr>
            <w:tcW w:w="206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7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6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6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(Gains) Losses on Asset Sales</w:t>
            </w: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6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5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gridSpan w:val="3"/>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21"/>
                <w:szCs w:val="21"/>
                <w:color w:val="auto"/>
              </w:rPr>
            </w:pPr>
          </w:p>
        </w:tc>
        <w:tc>
          <w:tcPr>
            <w:tcW w:w="2060" w:type="dxa"/>
            <w:vAlign w:val="bottom"/>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7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7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Asset Write-Offs, Accelerated Depreciation, and Accelerated Lease Costs,</w:t>
            </w:r>
          </w:p>
        </w:tc>
        <w:tc>
          <w:tcPr>
            <w:tcW w:w="6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w:t>
            </w:r>
          </w:p>
        </w:tc>
        <w:tc>
          <w:tcPr>
            <w:tcW w:w="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740" w:type="dxa"/>
            <w:vAlign w:val="bottom"/>
            <w:shd w:val="clear" w:color="auto" w:fill="CCEEFF"/>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Segment Asset Write-Offs, Accelerated Depreciation, and</w:t>
            </w:r>
          </w:p>
        </w:tc>
        <w:tc>
          <w:tcPr>
            <w:tcW w:w="640" w:type="dxa"/>
            <w:vAlign w:val="bottom"/>
            <w:vMerge w:val="restart"/>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58"/>
        </w:trPr>
        <w:tc>
          <w:tcPr>
            <w:tcW w:w="5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Accelerated Lease Costs, net</w:t>
            </w:r>
          </w:p>
        </w:tc>
        <w:tc>
          <w:tcPr>
            <w:tcW w:w="640" w:type="dxa"/>
            <w:vAlign w:val="bottom"/>
            <w:tcBorders>
              <w:bottom w:val="single" w:sz="8" w:color="auto"/>
            </w:tcBorders>
            <w:vMerge w:val="continue"/>
            <w:shd w:val="clear" w:color="auto" w:fill="CCEEFF"/>
          </w:tcPr>
          <w:p>
            <w:pPr>
              <w:spacing w:after="0"/>
              <w:rPr>
                <w:sz w:val="22"/>
                <w:szCs w:val="22"/>
                <w:color w:val="auto"/>
              </w:rPr>
            </w:pPr>
          </w:p>
        </w:tc>
        <w:tc>
          <w:tcPr>
            <w:tcW w:w="20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7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-2811145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-1148080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60" w:type="dxa"/>
            <w:vAlign w:val="bottom"/>
            <w:gridSpan w:val="3"/>
          </w:tcPr>
          <w:p>
            <w:pPr>
              <w:jc w:val="center"/>
              <w:ind w:left="10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center"/>
              <w:ind w:left="10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19"/>
                <w:szCs w:val="19"/>
                <w:color w:val="auto"/>
              </w:rPr>
            </w:pPr>
          </w:p>
        </w:tc>
        <w:tc>
          <w:tcPr>
            <w:tcW w:w="2060" w:type="dxa"/>
            <w:vAlign w:val="bottom"/>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7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6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6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gridSpan w:val="3"/>
          </w:tcPr>
          <w:p>
            <w:pPr>
              <w:jc w:val="center"/>
              <w:ind w:left="10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center"/>
              <w:ind w:left="10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19"/>
                <w:szCs w:val="19"/>
                <w:color w:val="auto"/>
              </w:rPr>
            </w:pPr>
          </w:p>
        </w:tc>
        <w:tc>
          <w:tcPr>
            <w:tcW w:w="2060" w:type="dxa"/>
            <w:vAlign w:val="bottom"/>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7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6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-3119755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-1285240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6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5"/>
                <w:szCs w:val="15"/>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ind w:left="1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19"/>
                <w:szCs w:val="19"/>
                <w:color w:val="auto"/>
              </w:rPr>
            </w:pPr>
          </w:p>
        </w:tc>
        <w:tc>
          <w:tcPr>
            <w:tcW w:w="2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7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6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6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Equity in (Income) Loss</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top w:val="single" w:sz="8" w:color="auto"/>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0"/>
        </w:trPr>
        <w:tc>
          <w:tcPr>
            <w:tcW w:w="5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-728345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FINANCING ARRANGEMENTS AND DERIVATIVE FINANCIAL INSTRUMENTS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2026, we had total credit arrangements of $9,842 million, of which $2,975 million were unused. At that date, approximately 29% of our debt was at variable interest rates averaging 5.98%.</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we had short term committed and uncommitted credit arrangements totaling $790 million, of which $289 million were unused. These arrangements are available primarily to certain of our foreign subsidiaries through various banks at quoted market interest rates.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483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506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4.875% Notes due 2027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7.625% Notes due 2027</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2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1,226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364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1,709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870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-33655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-213995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-419100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-599440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-1833880</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-2013585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-2365375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we had long term credit arrangements totaling $9,052 million, of which $2,686 million were unused.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256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1"/>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19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Pr>
          <w:p>
            <w:pPr>
              <w:spacing w:after="0"/>
              <w:rPr>
                <w:sz w:val="16"/>
                <w:szCs w:val="16"/>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37"/>
        </w:trPr>
        <w:tc>
          <w:tcPr>
            <w:tcW w:w="54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4.875% due 2027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7.625% due 2027</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 due 2028</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2.75% Euro Notes due 2028</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due 2029</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6.625% due 2030</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5.25% due April 2031</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5.25% due July 2031</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5.625% due 2033</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43"/>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 lien revolving credit facility due 2030</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5.99 %</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8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8.32 %</w:t>
            </w:r>
          </w:p>
        </w:tc>
      </w:tr>
      <w:tr>
        <w:trPr>
          <w:trHeight w:val="236"/>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23"/>
                <w:szCs w:val="23"/>
                <w:color w:val="auto"/>
              </w:rPr>
            </w:pPr>
          </w:p>
        </w:tc>
        <w:tc>
          <w:tcPr>
            <w:tcW w:w="14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23"/>
                <w:szCs w:val="23"/>
                <w:color w:val="auto"/>
              </w:rPr>
            </w:pPr>
          </w:p>
        </w:tc>
        <w:tc>
          <w:tcPr>
            <w:tcW w:w="1420" w:type="dxa"/>
            <w:vAlign w:val="bottom"/>
            <w:shd w:val="clear" w:color="auto" w:fill="CFF0FC"/>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5,276</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5,328</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
        </w:trPr>
        <w:tc>
          <w:tcPr>
            <w:tcW w:w="54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CFF0FC"/>
            </w:tcBorders>
          </w:tcPr>
          <w:p>
            <w:pPr>
              <w:spacing w:after="0" w:line="20" w:lineRule="exact"/>
              <w:rPr>
                <w:sz w:val="1"/>
                <w:szCs w:val="1"/>
                <w:color w:val="auto"/>
              </w:rPr>
            </w:pPr>
          </w:p>
        </w:tc>
      </w:tr>
      <w:tr>
        <w:trPr>
          <w:trHeight w:val="223"/>
        </w:trPr>
        <w:tc>
          <w:tcPr>
            <w:tcW w:w="5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-153670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-153670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-4328160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-4328160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-4328160</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ind w:left="340" w:hanging="314"/>
        <w:spacing w:after="0" w:line="220" w:lineRule="auto"/>
        <w:tabs>
          <w:tab w:leader="none" w:pos="3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2" w:lineRule="exact"/>
        <w:rPr>
          <w:rFonts w:ascii="Times New Roman" w:cs="Times New Roman" w:eastAsia="Times New Roman" w:hAnsi="Times New Roman"/>
          <w:sz w:val="23"/>
          <w:szCs w:val="23"/>
          <w:color w:val="auto"/>
          <w:vertAlign w:val="superscript"/>
        </w:rPr>
      </w:pPr>
    </w:p>
    <w:p>
      <w:pPr>
        <w:ind w:left="360" w:right="40" w:hanging="334"/>
        <w:spacing w:after="0" w:line="219" w:lineRule="auto"/>
        <w:tabs>
          <w:tab w:leader="none" w:pos="347"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no non-cash financing additions during the three months ended March 31, 2026 and $2 million of non-cash financing additions during the twelve months ended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we had $4,380 million of outstanding notes, compared to $4,391 million at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May 19, 2030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March 31, 2026, our borrowing base, and therefore our availability under this facility, was $505 million below the facility's stated amount of $2.75 billion.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average quarterly availability under the facility is greater than 25% of the total commitments under the facility,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plus 100 basis points). If Available Cash plus the average quarterly availability under the facility is equal to or less than 25% of the total commitments under the facility, then amounts drawn under the facility will bear interest, at our option, at (i) 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we had $530 million of borrowings and $1 million of letters of credit issued under the revolving credit facility. At December 31, 2025, we had no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there were $196 million (€170 million) of borrowings outstanding under the all-borrower tranche, $207 million (€180 million) of borrowings outstanding under the German tranche, and no letters of credit outstanding under the European revolving credit facility. At December 31, 2025, we had no borrowings and no letters of credit outstanding under the European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2032. The terms of the facility provide the flexibility to designate annually the maximum amount of funding available under the facility in an amount of not less than €30 million and not more than €450 million. For the period from October 2025 through October 2027,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18, 2032,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in October 2027.</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has customary representations, warranties, covenants and Early Amortisation Events. In addition, it is an Early Amortisation Event under the facility if GEBV’s ratio of Consolidated Net GEBV Indebtedness to Consolidated GEBV</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for a period of four consecutive fiscal quarters is greater than 3.0 to 1.0 at the end of any fiscal quarter. This financial covenant is substantially similar to the covenant included in our European revolving credit facility.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 amounts available and utilized under this program totaled $173 million (€150 million). At December 31, 2025, the amounts available and utilized under this program totaled $292 million (€249 million). The program does not qualify for sale accounting, and accordingly, these amounts are included in Long Term Debt and Finance Leases.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2025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2026, the gross amount of receivables sold was $833 million, compared to $892 million at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$891 million and $876 million at March 31, 2026 and December 31, 2025, respectively. The amounts confirmed to the financial institutions were $514 million and $551 million at March 31, 2026 and December 31, 2025,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March 31, 2026 and December 31, 2025, the amounts available and utilized under this facility were $200 million. The facility matures on November 22, 2026, has covenants relating to the Mexican and U.S. subsidiaries and has customary representations and warranties and defaults relating to the Mexican and U.S. subsidiaries' ability to perform their respective obligations under the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8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0" w:type="dxa"/>
            <w:vAlign w:val="bottom"/>
          </w:tcPr>
          <w:p>
            <w:pPr>
              <w:spacing w:after="0"/>
              <w:rPr>
                <w:sz w:val="1"/>
                <w:szCs w:val="1"/>
                <w:color w:val="auto"/>
              </w:rPr>
            </w:pPr>
          </w:p>
        </w:tc>
      </w:tr>
      <w:tr>
        <w:trPr>
          <w:trHeight w:val="20"/>
        </w:trPr>
        <w:tc>
          <w:tcPr>
            <w:tcW w:w="83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 Term Debt</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0" w:type="dxa"/>
            <w:vAlign w:val="bottom"/>
          </w:tcPr>
          <w:p>
            <w:pPr>
              <w:spacing w:after="0"/>
              <w:rPr>
                <w:sz w:val="1"/>
                <w:szCs w:val="1"/>
                <w:color w:val="auto"/>
              </w:rPr>
            </w:pPr>
          </w:p>
        </w:tc>
      </w:tr>
      <w:tr>
        <w:trPr>
          <w:trHeight w:val="20"/>
        </w:trPr>
        <w:tc>
          <w:tcPr>
            <w:tcW w:w="8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4/26-11/27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1/26-7/27</w:t>
            </w:r>
          </w:p>
        </w:tc>
        <w:tc>
          <w:tcPr>
            <w:tcW w:w="0" w:type="dxa"/>
            <w:vAlign w:val="bottom"/>
          </w:tcPr>
          <w:p>
            <w:pPr>
              <w:spacing w:after="0"/>
              <w:rPr>
                <w:sz w:val="1"/>
                <w:szCs w:val="1"/>
                <w:color w:val="auto"/>
              </w:rPr>
            </w:pPr>
          </w:p>
        </w:tc>
      </w:tr>
      <w:tr>
        <w:trPr>
          <w:trHeight w:val="27"/>
        </w:trPr>
        <w:tc>
          <w:tcPr>
            <w:tcW w:w="83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-530860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-873760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-1584960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w:t>
      </w:r>
    </w:p>
    <w:p>
      <w:pPr>
        <w:sectPr>
          <w:pgSz w:w="11900" w:h="16838" w:orient="portrait"/>
          <w:cols w:equalWidth="0" w:num="1">
            <w:col w:w="11240"/>
          </w:cols>
          <w:pgMar w:left="320" w:top="33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assessment and the approval, reporting and monitoring of derivative financial instrument activities. We do not hold or issue derivative financial instruments for trading purposes.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00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FF0FC"/>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0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243"/>
        </w:trPr>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4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-513715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these outstanding foreign currency derivatives had notional amounts of $1,709 million and $1,942 million, respectively, and were primarily related to intercompany loans. Other (Income) Expense included net transaction gains on derivatives of $13 million for the three months ended March 31, 2026 and net transaction losses on derivatives of $15 million for the three months ended March 31, 2025. These amounts were substantially offset in Other (Income) Expense by the effect of changing exchange rates on the underlying currency exposures.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14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5"/>
                <w:szCs w:val="15"/>
                <w:color w:val="auto"/>
              </w:rPr>
            </w:pPr>
          </w:p>
        </w:tc>
        <w:tc>
          <w:tcPr>
            <w:tcW w:w="162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00" w:type="dxa"/>
            <w:vAlign w:val="bottom"/>
          </w:tcPr>
          <w:p>
            <w:pPr>
              <w:spacing w:after="0"/>
              <w:rPr>
                <w:sz w:val="15"/>
                <w:szCs w:val="15"/>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5"/>
                <w:szCs w:val="15"/>
                <w:color w:val="auto"/>
              </w:rPr>
            </w:pPr>
          </w:p>
        </w:tc>
        <w:tc>
          <w:tcPr>
            <w:tcW w:w="104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6"/>
                <w:szCs w:val="16"/>
                <w:color w:val="auto"/>
              </w:rPr>
            </w:pPr>
          </w:p>
        </w:tc>
        <w:tc>
          <w:tcPr>
            <w:tcW w:w="108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6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March 31, 2026 and December 31, 2025:</w:t>
      </w: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0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3"/>
                <w:szCs w:val="23"/>
                <w:b w:val="1"/>
                <w:bCs w:val="1"/>
                <w:color w:val="auto"/>
                <w:vertAlign w:val="superscript"/>
              </w:rPr>
              <w:t>(1)</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57"/>
        </w:trPr>
        <w:tc>
          <w:tcPr>
            <w:tcW w:w="8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3"/>
                <w:szCs w:val="23"/>
                <w:b w:val="1"/>
                <w:bCs w:val="1"/>
                <w:color w:val="auto"/>
                <w:vertAlign w:val="superscript"/>
              </w:rPr>
              <w:t>(1)</w:t>
            </w:r>
          </w:p>
        </w:tc>
        <w:tc>
          <w:tcPr>
            <w:tcW w:w="24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7"/>
        </w:trPr>
        <w:tc>
          <w:tcPr>
            <w:tcW w:w="84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-1190625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 w:lineRule="exact"/>
        <w:rPr>
          <w:sz w:val="20"/>
          <w:szCs w:val="20"/>
          <w:color w:val="auto"/>
        </w:rPr>
      </w:pPr>
    </w:p>
    <w:p>
      <w:pPr>
        <w:jc w:val="both"/>
        <w:ind w:left="360" w:right="40" w:hanging="334"/>
        <w:spacing w:after="0" w:line="235" w:lineRule="auto"/>
        <w:tabs>
          <w:tab w:leader="none" w:pos="34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Notes Payable and Overdrafts of $483 million and $506 million at March 31, 2026 and December 31, 2025, respectively, of which $190 million and $216 million, respectively, are at fixed rates and $293 million and $290 million, respectively, are at variable rates. The carrying value of Notes Payable and Overdrafts approximates fair value due to the short term nature of the facilities.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 term debt with fair values of $4,080 million and $4,291 million at March 31, 2026 and December 31, 2025, respectively, were estimated using quoted Level 1 market prices. The carrying value of the remaining long term debt approximates fair value since the terms of the financing arrangements are similar to terms that could be obtained under current lending market conditions.</w:t>
      </w:r>
    </w:p>
    <w:p>
      <w:pPr>
        <w:spacing w:after="0" w:line="172" w:lineRule="exact"/>
        <w:rPr>
          <w:sz w:val="20"/>
          <w:szCs w:val="20"/>
          <w:color w:val="auto"/>
        </w:rPr>
      </w:pPr>
    </w:p>
    <w:p>
      <w:pPr>
        <w:ind w:right="4400"/>
        <w:spacing w:after="0" w:line="35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10.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center"/>
              <w:ind w:left="1056"/>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780" w:type="dxa"/>
            <w:vAlign w:val="bottom"/>
          </w:tcPr>
          <w:p>
            <w:pPr>
              <w:spacing w:after="0"/>
              <w:rPr>
                <w:sz w:val="16"/>
                <w:szCs w:val="16"/>
                <w:color w:val="auto"/>
              </w:rPr>
            </w:pPr>
          </w:p>
        </w:tc>
      </w:tr>
      <w:tr>
        <w:trPr>
          <w:trHeight w:val="37"/>
        </w:trPr>
        <w:tc>
          <w:tcPr>
            <w:tcW w:w="57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3"/>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158"/>
        </w:trPr>
        <w:tc>
          <w:tcPr>
            <w:tcW w:w="5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60" w:type="dxa"/>
            <w:vAlign w:val="bottom"/>
            <w:gridSpan w:val="3"/>
          </w:tcPr>
          <w:p>
            <w:pPr>
              <w:jc w:val="center"/>
              <w:ind w:left="1056"/>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3"/>
                <w:szCs w:val="13"/>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center"/>
              <w:ind w:left="10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21"/>
                <w:szCs w:val="21"/>
                <w:color w:val="auto"/>
              </w:rPr>
            </w:pPr>
          </w:p>
        </w:tc>
        <w:tc>
          <w:tcPr>
            <w:tcW w:w="2060" w:type="dxa"/>
            <w:vAlign w:val="bottom"/>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740" w:type="dxa"/>
            <w:vAlign w:val="bottom"/>
            <w:tcBorders>
              <w:bottom w:val="single" w:sz="8" w:color="CFF0FC"/>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44"/>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4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74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640" w:type="dxa"/>
            <w:vAlign w:val="bottom"/>
          </w:tcPr>
          <w:p>
            <w:pPr>
              <w:spacing w:after="0"/>
              <w:rPr>
                <w:sz w:val="21"/>
                <w:szCs w:val="21"/>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74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275"/>
        </w:trPr>
        <w:tc>
          <w:tcPr>
            <w:tcW w:w="5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60" w:type="dxa"/>
            <w:vAlign w:val="bottom"/>
            <w:gridSpan w:val="3"/>
          </w:tcPr>
          <w:p>
            <w:pPr>
              <w:jc w:val="center"/>
              <w:ind w:left="1056"/>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780" w:type="dxa"/>
            <w:vAlign w:val="bottom"/>
          </w:tcPr>
          <w:p>
            <w:pPr>
              <w:spacing w:after="0"/>
              <w:rPr>
                <w:sz w:val="23"/>
                <w:szCs w:val="23"/>
                <w:color w:val="auto"/>
              </w:rPr>
            </w:pPr>
          </w:p>
        </w:tc>
      </w:tr>
      <w:tr>
        <w:trPr>
          <w:trHeight w:val="37"/>
        </w:trPr>
        <w:tc>
          <w:tcPr>
            <w:tcW w:w="57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3"/>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171"/>
        </w:trPr>
        <w:tc>
          <w:tcPr>
            <w:tcW w:w="5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gridSpan w:val="3"/>
          </w:tcPr>
          <w:p>
            <w:pPr>
              <w:jc w:val="center"/>
              <w:ind w:left="10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4"/>
                <w:szCs w:val="14"/>
                <w:color w:val="auto"/>
              </w:rPr>
            </w:pPr>
          </w:p>
        </w:tc>
      </w:tr>
      <w:tr>
        <w:trPr>
          <w:trHeight w:val="190"/>
        </w:trPr>
        <w:tc>
          <w:tcPr>
            <w:tcW w:w="5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center"/>
              <w:ind w:left="10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40" w:type="dxa"/>
            <w:vAlign w:val="bottom"/>
          </w:tcPr>
          <w:p>
            <w:pPr>
              <w:spacing w:after="0"/>
              <w:rPr>
                <w:sz w:val="19"/>
                <w:szCs w:val="19"/>
                <w:color w:val="auto"/>
              </w:rPr>
            </w:pPr>
          </w:p>
        </w:tc>
        <w:tc>
          <w:tcPr>
            <w:tcW w:w="2060" w:type="dxa"/>
            <w:vAlign w:val="bottom"/>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740" w:type="dxa"/>
            <w:vAlign w:val="bottom"/>
            <w:tcBorders>
              <w:bottom w:val="single" w:sz="8" w:color="CFF0FC"/>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43"/>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640" w:type="dxa"/>
            <w:vAlign w:val="bottom"/>
            <w:tcBorders>
              <w:bottom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4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6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640" w:type="dxa"/>
            <w:vAlign w:val="bottom"/>
            <w:tcBorders>
              <w:bottom w:val="single" w:sz="8" w:color="CFF0FC"/>
            </w:tcBorders>
            <w:shd w:val="clear" w:color="auto" w:fill="CFF0FC"/>
          </w:tcPr>
          <w:p>
            <w:pPr>
              <w:spacing w:after="0"/>
              <w:rPr>
                <w:sz w:val="23"/>
                <w:szCs w:val="23"/>
                <w:color w:val="auto"/>
              </w:rPr>
            </w:pP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7"/>
        </w:trPr>
        <w:tc>
          <w:tcPr>
            <w:tcW w:w="5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640" w:type="dxa"/>
            <w:vAlign w:val="bottom"/>
            <w:tcBorders>
              <w:bottom w:val="single" w:sz="8" w:color="CFF0FC"/>
            </w:tcBorders>
            <w:shd w:val="clear" w:color="auto" w:fill="CFF0FC"/>
          </w:tcPr>
          <w:p>
            <w:pPr>
              <w:spacing w:after="0"/>
              <w:rPr>
                <w:sz w:val="23"/>
                <w:szCs w:val="23"/>
                <w:color w:val="auto"/>
              </w:rPr>
            </w:pPr>
          </w:p>
        </w:tc>
        <w:tc>
          <w:tcPr>
            <w:tcW w:w="2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7"/>
        </w:trPr>
        <w:tc>
          <w:tcPr>
            <w:tcW w:w="57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-3316605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-1430655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2025, a pension settlement charge of $4 million was recorded in Other (Income) Expense. The settlement charge resulted from total lump sum payments exceeding annual service and interest cost of the applicable plan. In addition,</w:t>
      </w:r>
    </w:p>
    <w:p>
      <w:pPr>
        <w:sectPr>
          <w:pgSz w:w="11900" w:h="16838" w:orient="portrait"/>
          <w:cols w:equalWidth="0" w:num="1">
            <w:col w:w="11240"/>
          </w:cols>
          <w:pgMar w:left="320" w:top="33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pension termination benefits charges of $4 million and $1 million were recorded related to the exit of employees under an approved rationalization plan and the sale of the OTR tire business,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net other postretirement benefits expense for the three months ended March 31, 2026 and 2025.</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contribute approximately $25 million to our funded non-U.S. pension plans in 2026. For the three months ended March 31, 2026, we contributed $3 million to our non-U.S. plans.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March 31, 2026 and 2025 was $29 million and $32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STOCK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granted 1.7 million restricted stock units and 0.7 million performance share units during the three months ended March 31, 2026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$8.72 for restricted stock units and $8.30 for performance share units granted during the three months ended March 31, 2026.</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stock-based compensation expense of $7 million and $6 million during the three months ended March 31, 2026 and 2025, respectively. At March 31, 2026, unearned compensation cost related to the unvested portion of all stock-based awards was approximately $39 million and is expected to be recognized over the remaining vesting period of the respective grants, through the first quarter of 2029.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$79 million at both March 31, 2026 and December 31, 2025 for anticipated costs related to various environmental matters, primarily the remediation of numerous waste disposal sites and certain properties sold by us. Of these amounts, $25 million and $22 million were included in Other Current Liabilities at March 31, 2026 and December 31, 2025,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$146 million and $145 million for anticipated costs related to workers’ compensation at March 31, 2026 and December 31, 2025, respectively. Of these amounts, $28 million were included in Other Current Liabilities as part of Compensation and Benefits at both March 31, 2026 and December 31, 2025.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March 31, 2026 and December 31, 2025, the liability was discounted using a risk-free rate of return. At March 31, 2026, we estimate that it is reasonably possible that the liability could exceed our recorded amounts by approximately $25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$428 million and $417 million, including related legal fees expected to be incurred, for potential product liability and other tort claims, including asbestos claims, at March 31, 2026 and December 31, 2025, respectively. Of these amounts, $89 million and $66 million were included in Other Current Liabilities at March 31, 2026 and December 31, 2025, respectively. The amounts recorded were estimated based on 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assessment of potential liability using an analysis of available information with respect to pending claims, historical experience and, where available, recent and current trends. Based upon that assessment, at March 31, 2026,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$3 million and within Other Assets of $2 million for Sumitomo Rubber Industries, Ltd. ("SRI's")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167,100 claims by defending, obtaining the dismissal thereof, or entering into a settlement. The sum of our accrued asbestos-related liability and gross payments to date, including legal costs, by us and our insurers totaled $601 million through March 31, 2026 and $597 million through December 31, 2025.</w:t>
      </w:r>
    </w:p>
    <w:p>
      <w:pPr>
        <w:spacing w:after="0" w:line="7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5"/>
                <w:szCs w:val="15"/>
                <w:color w:val="auto"/>
              </w:rPr>
            </w:pPr>
          </w:p>
        </w:tc>
        <w:tc>
          <w:tcPr>
            <w:tcW w:w="11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0" w:type="dxa"/>
            <w:vAlign w:val="bottom"/>
          </w:tcPr>
          <w:p>
            <w:pPr>
              <w:spacing w:after="0"/>
              <w:rPr>
                <w:sz w:val="17"/>
                <w:szCs w:val="17"/>
                <w:color w:val="auto"/>
              </w:rPr>
            </w:pPr>
          </w:p>
        </w:tc>
        <w:tc>
          <w:tcPr>
            <w:tcW w:w="12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30,400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35,400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12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-213995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-942340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340" w:hanging="314"/>
        <w:spacing w:after="0" w:line="232" w:lineRule="auto"/>
        <w:tabs>
          <w:tab w:leader="none" w:pos="3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$107 million at both March 31, 2026 and December 31, 2025.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$57 million at both March 31, 2026 and December 31, 2025. We expect that approximately 55% of asbestos claim related losses would be recoverable through insurance during the ten-year period covered by the estimated liability. Of these amounts, $10 million was included in Current Assets as part of Accounts Receivable at both March 31, 2026 and December 31, 2025.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2025, we had approximately $510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an audit by the IRS, we received a Notice of Proposed Adjustment ("NOPA") during the second quarter of 2025 related to an intercompany sale of certain intellectual property in 2021. The IRS proposes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disagree with the IRS’s position as stated in the NOPA. We are currently challenging the proposed adjustment through the established IRS administrative procedures and are engaging in settlement discussions with the IRS. If the income recognition associated with the transaction is disallowed in full or in part, we will not be able to use a portion of the deferred tax assets that we utilized to offset the related federal taxes and we will need to write-off those deferred tax assets. However, since our U.S. deferred tax assets are in a full valuation allowance as of March 31, 2026, any such write-off of deferred tax assets would not have a material impact on our results of operations.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$15 million at both March 31, 2026 and December 31, 2025. We issue guarantees to financial institutions or other entities on behalf of certain of our affiliates, lessors or customers. We generally do not require collateral in connection with the issuance of these guarantees.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March 31, 2026, this guarantee amount has been reduced to $15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During the first quarter of 2026, the revolving loan commitment decreased from $130 million to $100 million. The carrying value of our net investment in TireHub was $40 million and $44 million, which includes an outstanding loan receivable of $83 million and $103 million, including $1 million and $2 million of interest, at March 31, 2026 and December 31, 2025, respectively, and was included in Other Assets on our Consolidated Balance Sheets. Our investment in TireHub is accounted for under the equity method of accounting and, as such, includes our 50% share of the net income (losses) of TireHub.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three months of 2026, we did not repurchase any shares from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three months ended March 31, 2026 and 2025, after tax and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34290</wp:posOffset>
            </wp:positionV>
            <wp:extent cx="60325" cy="5918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59182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34290</wp:posOffset>
            </wp:positionV>
            <wp:extent cx="60325" cy="5918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59182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34290</wp:posOffset>
            </wp:positionV>
            <wp:extent cx="60325" cy="5918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59182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Actuarial</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 and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 (Losses)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from Securities</w:t>
            </w: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(3,588)</w:t>
            </w:r>
          </w:p>
        </w:tc>
        <w:tc>
          <w:tcPr>
            <w:tcW w:w="20" w:type="dxa"/>
            <w:vAlign w:val="bottom"/>
          </w:tcPr>
          <w:p>
            <w:pPr>
              <w:spacing w:after="0"/>
              <w:rPr>
                <w:sz w:val="21"/>
                <w:szCs w:val="21"/>
                <w:color w:val="auto"/>
              </w:rPr>
            </w:pPr>
          </w:p>
        </w:tc>
      </w:tr>
      <w:tr>
        <w:trPr>
          <w:trHeight w:val="225"/>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2"/>
                <w:szCs w:val="22"/>
                <w:color w:val="auto"/>
              </w:rPr>
            </w:pPr>
          </w:p>
        </w:tc>
      </w:tr>
      <w:tr>
        <w:trPr>
          <w:trHeight w:val="237"/>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(1,904)</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(3,569)</w:t>
            </w:r>
          </w:p>
        </w:tc>
        <w:tc>
          <w:tcPr>
            <w:tcW w:w="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7"/>
        </w:trPr>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Actuarial</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 and</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 (Losses)</w:t>
            </w: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8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from Securities</w:t>
            </w: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3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(2,140)</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(3,844)</w:t>
            </w:r>
          </w:p>
        </w:tc>
        <w:tc>
          <w:tcPr>
            <w:tcW w:w="20" w:type="dxa"/>
            <w:vAlign w:val="bottom"/>
          </w:tcPr>
          <w:p>
            <w:pPr>
              <w:spacing w:after="0"/>
              <w:rPr>
                <w:sz w:val="21"/>
                <w:szCs w:val="21"/>
                <w:color w:val="auto"/>
              </w:rPr>
            </w:pPr>
          </w:p>
        </w:tc>
      </w:tr>
      <w:tr>
        <w:trPr>
          <w:trHeight w:val="225"/>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80" w:type="dxa"/>
            <w:vAlign w:val="bottom"/>
          </w:tcPr>
          <w:p>
            <w:pPr>
              <w:spacing w:after="0"/>
              <w:rPr>
                <w:sz w:val="20"/>
                <w:szCs w:val="20"/>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4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2"/>
                <w:szCs w:val="22"/>
                <w:color w:val="auto"/>
              </w:rPr>
            </w:pPr>
          </w:p>
        </w:tc>
      </w:tr>
      <w:tr>
        <w:trPr>
          <w:trHeight w:val="237"/>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(1,679)</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(2,109)</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(3,787)</w:t>
            </w:r>
          </w:p>
        </w:tc>
        <w:tc>
          <w:tcPr>
            <w:tcW w:w="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0"/>
        </w:trPr>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-1628140</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-1628140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p>
      <w:pPr>
        <w:spacing w:after="0" w:line="57"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5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4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360" w:type="dxa"/>
            <w:vAlign w:val="bottom"/>
            <w:gridSpan w:val="3"/>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Amount Reclassified</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4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60" w:type="dxa"/>
            <w:vAlign w:val="bottom"/>
            <w:gridSpan w:val="3"/>
            <w:vMerge w:val="continue"/>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42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500" w:type="dxa"/>
            <w:vAlign w:val="bottom"/>
          </w:tcPr>
          <w:p>
            <w:pPr>
              <w:spacing w:after="0"/>
              <w:rPr>
                <w:sz w:val="16"/>
                <w:szCs w:val="16"/>
                <w:color w:val="auto"/>
              </w:rPr>
            </w:pPr>
          </w:p>
        </w:tc>
        <w:tc>
          <w:tcPr>
            <w:tcW w:w="236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37"/>
        </w:trPr>
        <w:tc>
          <w:tcPr>
            <w:tcW w:w="4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before tax</w:t>
            </w: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FF0FC"/>
            </w:tcBorders>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FF0FC"/>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FF0FC"/>
            </w:tcBorders>
            <w:shd w:val="clear" w:color="auto" w:fill="CFF0FC"/>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500" w:type="dxa"/>
            <w:vAlign w:val="bottom"/>
          </w:tcPr>
          <w:p>
            <w:pPr>
              <w:spacing w:after="0"/>
              <w:rPr>
                <w:sz w:val="21"/>
                <w:szCs w:val="21"/>
                <w:color w:val="auto"/>
              </w:rPr>
            </w:pP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FF0FC"/>
            </w:tcBorders>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FF0FC"/>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FF0FC"/>
            </w:tcBorders>
            <w:shd w:val="clear" w:color="auto" w:fill="CFF0FC"/>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486"/>
        </w:trPr>
        <w:tc>
          <w:tcPr>
            <w:tcW w:w="4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and unrecognized</w:t>
            </w:r>
          </w:p>
        </w:tc>
        <w:tc>
          <w:tcPr>
            <w:tcW w:w="5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gains and losses</w:t>
            </w: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FF0FC"/>
            </w:tcBorders>
            <w:shd w:val="clear" w:color="auto" w:fill="CFF0FC"/>
          </w:tcPr>
          <w:p>
            <w:pPr>
              <w:spacing w:after="0"/>
              <w:rPr>
                <w:sz w:val="20"/>
                <w:szCs w:val="20"/>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 and</w:t>
            </w: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 due to curtailments,</w:t>
            </w: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divestitures</w:t>
            </w:r>
          </w:p>
        </w:tc>
        <w:tc>
          <w:tcPr>
            <w:tcW w:w="500" w:type="dxa"/>
            <w:vAlign w:val="bottom"/>
          </w:tcPr>
          <w:p>
            <w:pPr>
              <w:spacing w:after="0"/>
              <w:rPr>
                <w:sz w:val="20"/>
                <w:szCs w:val="20"/>
                <w:color w:val="auto"/>
              </w:rPr>
            </w:pP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Unrecognized net actuarial losses and</w:t>
            </w:r>
          </w:p>
        </w:tc>
        <w:tc>
          <w:tcPr>
            <w:tcW w:w="5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FF0FC"/>
            </w:tcBorders>
            <w:shd w:val="clear" w:color="auto" w:fill="CFF0FC"/>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500" w:type="dxa"/>
            <w:vAlign w:val="bottom"/>
          </w:tcPr>
          <w:p>
            <w:pPr>
              <w:spacing w:after="0"/>
              <w:rPr>
                <w:sz w:val="21"/>
                <w:szCs w:val="21"/>
                <w:color w:val="auto"/>
              </w:rPr>
            </w:pPr>
          </w:p>
        </w:tc>
        <w:tc>
          <w:tcPr>
            <w:tcW w:w="1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shd w:val="clear" w:color="auto" w:fill="CFF0FC"/>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70"/>
        </w:trPr>
        <w:tc>
          <w:tcPr>
            <w:tcW w:w="4220" w:type="dxa"/>
            <w:vAlign w:val="bottom"/>
            <w:tcBorders>
              <w:bottom w:val="single" w:sz="8" w:color="CFF0FC"/>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7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Borders>
              <w:bottom w:val="single" w:sz="8" w:color="CFF0FC"/>
            </w:tcBorders>
            <w:shd w:val="clear" w:color="auto" w:fill="CFF0FC"/>
          </w:tcPr>
          <w:p>
            <w:pPr>
              <w:spacing w:after="0"/>
              <w:rPr>
                <w:sz w:val="24"/>
                <w:szCs w:val="24"/>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-33655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-213360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-33655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-565150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-1045210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-1045210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-2287905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-2785110</wp:posOffset>
            </wp:positionV>
            <wp:extent cx="6032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-2999740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6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60" w:type="dxa"/>
            <w:vAlign w:val="bottom"/>
          </w:tcPr>
          <w:p>
            <w:pPr>
              <w:jc w:val="right"/>
              <w:ind w:right="11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5440" w:type="dxa"/>
            <w:vAlign w:val="bottom"/>
            <w:tcBorders>
              <w:bottom w:val="single" w:sz="8" w:color="CFF0FC"/>
            </w:tcBorders>
          </w:tcPr>
          <w:p>
            <w:pPr>
              <w:spacing w:after="0"/>
              <w:rPr>
                <w:sz w:val="3"/>
                <w:szCs w:val="3"/>
                <w:color w:val="auto"/>
              </w:rPr>
            </w:pPr>
          </w:p>
        </w:tc>
        <w:tc>
          <w:tcPr>
            <w:tcW w:w="300" w:type="dxa"/>
            <w:vAlign w:val="bottom"/>
            <w:tcBorders>
              <w:bottom w:val="single" w:sz="8" w:color="CFF0FC"/>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Minority Shareholders</w:t>
            </w:r>
          </w:p>
        </w:tc>
        <w:tc>
          <w:tcPr>
            <w:tcW w:w="940" w:type="dxa"/>
            <w:vAlign w:val="bottom"/>
            <w:tcBorders>
              <w:bottom w:val="single" w:sz="8" w:color="CFF0FC"/>
            </w:tcBorders>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spacing w:after="0"/>
              <w:rPr>
                <w:sz w:val="23"/>
                <w:szCs w:val="23"/>
                <w:color w:val="auto"/>
              </w:rPr>
            </w:pPr>
          </w:p>
        </w:tc>
        <w:tc>
          <w:tcPr>
            <w:tcW w:w="2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940" w:type="dxa"/>
            <w:vAlign w:val="bottom"/>
            <w:tcBorders>
              <w:bottom w:val="single" w:sz="8" w:color="CFF0FC"/>
            </w:tcBorders>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FF0FC"/>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44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-582295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-762000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-1464945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1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49 manufacturing facilities in 19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for the first quarter of 2026 include an 11.6% decrease in tire unit shipments compared to 2025 driven by weakness in the replacement industry and consumer trends, increased competitiveness globally and planned rationalization of lower-tier product offerings. In the first quarter of 2026, we also experienced approximately $50 million of inflationary cost pressures.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three months of 2026 were $3,881 million, compared to $4,253 million in the first three months of 2025. Net sales decreased in 2026 primarily due to lower global tire volume and the impacts of our divestitures. These decreases were partially offset by the impact of changes in foreign exchange rates globally and favorable price and product mix.</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three months of 2026, Goodyear net loss was $249 million, or $0.86 per share, compared to Goodyear net income of $115 million, or $0.40 per share, in the first three months of 2025. The change in Goodyear net income (loss) was primarily due to a gain on the sale of our off-the-road ("OTR") tire business in 2025, lower segment operating income and higher U.S. and Foreign tax expense, partially offset by lower interest expense.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segment operating income for the first three months of 2026 was $95 million, compared to $195 million in the first three months of 2025. The $100 million decrease was primarily due to increased conversion costs of $155 million, driven by the effect of lower tire production on fixed cost absorption and inflation, lower tire volume of $87 million, higher tariff costs of $58 million, offset by an estimated tariff refund of $46 million, the impact of divestitures, including $30 million related to the sale of the Chemical business and $13 million related to the sale of the Dunlop brand, excluding the favorable impact of the Dunlop offtake supply agreement of $6 million, higher Selling, Administrative and General expenses (“SAG”) of $17 million, and increased costs related to other-tire related businesses of $9 million. These decreases were partially offset by benefits from our Goodyear Forward transformation plan ("Goodyear Forward") of $107 million, lower raw material costs of $88 million and favorable price and product mix of $15 million. Refer to "Results of Operations —Segment Information"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we had $723 million in cash and cash equivalents as well as $2,975 million of unused availability under our various credit agreements, compared to $801 million and $4,421 million, respectively, at December 31, 2025. For the three months ended March 31, 2026, net cash used for operating activities was $718 million, reflecting the Company's cash used for working capital of $650 million and rationalization payments of $83 million. Net cash used for investing activities was $174 million, primarily representing capital expenditures of $175 million. Net cash provided by financing activities was $820 million, primarily due to net borrowings of $807 million. Refer to "Liquidity and Capital Resources" for additional information.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combination of macroeconomic, regulatory and geopolitical uncertainties provides limited visibility to global tire unit volumes for the remainder of 2026. Given our production levels in the first quarter of 2026, we expect unabsorbed overhead to be approximately $90 million in the second quarter of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Goodyear Forward plan to deliver approximately $325 million of incremental savings in 2026.</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current spot prices, we expect raw material costs to provide a benefit of approximately $100 million in the second quarter of 2026 compared to the second quarter of 2025. In the second half of 2026, we expect raw material costs to be a headwind of approximately $200 million compared to the second half of 2025. Natural and synthetic rubber prices and other commodity prices historically have been volatile, and our raw material costs could change based on future price fluctuations and changes in foreign exchange rates. We continue to focus on price and product mix, to substitute lower cost materials where possible, to work to identify additional substitution opportunities, and to reduce the amount of material required in each tire to minimize the impact of higher raw material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inflation, tariffs and other costs will increase approximately $420 million in 2026, net of expected IEEPA tariff refunds.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also to “Liquidity and Capital Resources” for commentary regarding our outlook on 2026 cash flow; “Forward-Looking Information – Safe Harbor Statement” for a discussion of our use of forward-looking statements; and “Item 1A. Risk Factors” in our 2025 Form 10-K for a discussion of the risk factors that may impact our business, results of operations, financial condition or liquidity.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three months of 2026 were $3,881 million, a decrease of $372 million, or 8.7%, from $4,253 million in the first three months of 2025. Goodyear net loss was $249 million, or $0.86 per share, in the first three months of 2026, compared to Goodyear net income of $115 million, or $0.40 per share, in the first three months of 2025.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in the first three months of 2026 primarily due to lower global tire volume of $408 million and the impacts of our divestitures, including $125 million related to the sale of the Chemical business and $94 million related to the sale of the Dunlop brand, excluding the favorable impact of the Dunlop offtake supply agreement of $42 million. These decreases were partially offset by the impact of changes in foreign exchange rates globally of $165 million and favorable price and product mix of $37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Worldwide tire unit sales in the first three months of 2026 were 34.0 million units, decreasing 4.5 million units, or 11.6%, from 38.5 million units in the first three months of 2025 due to weakness in the replacement industry and consumer trends, increased competitiveness globally and planned rationalization of lower-tier product offerings. Replacement tire volume decreased globally by 4.8 million units, or 17.8%. OE tire volume increased by 0.3 million units, or 3.4%, driven by Americas and EMEA.</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("CGS") in the first three months of 2026 was $3,188 million, decreasing $325 million, or 9.3%, from $3,513 million in the first three months of 2025. CGS decreased primarily due to lower tire volume of $321 million, savings related to the Goodyear Forward plan of $95 million, impacts related to divestitures, including $89 million related to the sale of the Chemical business and $81 million related to the sale of the Dunlop brand, excluding increased offtake supply agreement costs of $36 million, lower raw material costs of $88 million and a decrease in asset write-offs, accelerated depreciation and accelerated lease charges of $27 million. These decreases were partially offset by higher conversion costs of $155 million, foreign currency translation of $134 million, higher tariff costs of $58 million, offset by an estimated tariff refund of $46 million, and a charge related to an expected settlement of a prior year tax matter in one of our foreign locations of $8 million ($8 million after-tax and minority).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first three months of 2026 and 2025 included pension expense of $3 million and $2 million, respectively. CGS in the first three months of 2026 included $2 million of incremental savings from rationalization plans. CGS was 82.1% of sales in the first three months of 2026, compared to 82.6% in the first three months of 2025.</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SAG in the first three months of 2026 was $668 million, increasing $18 million, or 2.8%, from $650 million in the first three months of 2025. SAG increased primarily due to foreign currency translation of $28 million, increases in inflation of $9 million and higher advertising costs of $4 million. These increases were partially offset by savings related to the Goodyear Forward plan of $9 million, benefits related to divestitures of $6 million, primarily due to the sale of the Chemical business, a decrease in corporate information technology costs of $4 million, and a decrease in asset write-offs, accelerated depreciation and accelerated lease charges of $3 million. SAG in the first three months of 2025 also included costs related to the Goodyear Forward plan of $2 million ($2 million after-tax and minority).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first three months of 2026 and 2025 included pension expense of $2 million and $3 million, respectively. SAG in the first three months of 2026 included $3 million of incremental savings from rationalization plans. SAG was 17.2% of sales in the first three months of 2026, compared to 15.3% in the first three months of 2025.</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net rationalization charges of $104 million ($95 million after-tax and minority) in the first three months of 2026 and $81 million ($64 million after-tax and minority) in the first three months of 2025. Net rationalization charges in the first three months of 2026 primarily related to a plan in EMEA to improve its cost structure, the closures of our Fulda and Fürstenwalde, Germany tire manufacturing facilities ("Fulda and Fürstenwalde") and a global SAG plan. Net rationalization charges in the first three months of 2025 primarily related to the elimination of commercial tire production at our Danville, Virginia tire manufacturing facility ("Danville"), the closures of Fulda and Fürstenwalde, and a plan to reduce SAG headcount in Americas and Corporate. For further information, refer to Note to the Consolidated Financial Statements No. 3, Costs Associated with Rationalization Programs.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and SAG in the first three months of 2026 included $16 million ($16 million after-tax and minority) of asset write-offs, accelerated depreciation and accelerated lease charges, primarily related to the closures of Fulda and Fürstenwalde and the announced closure of the Tall Timbers mold plant in Americas. CGS and SAG in the first three months of 2025 included $46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($39 million after-tax and minority) of asset write offs, accelerated depreciation and accelerated lease charges, primarily related to Fulda, Fürstenwalde and Danville.</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in the first three months of 2026 was $95 million, decreasing $20 million, or 17.4%, from $115 million in the first three months of 2025. The average interest rate was 5.76% in the first three months of 2026 compared to 5.82% in the first three months of 2025. The average debt balance was $6,592 million in the first three months of 2026 compared to $7,910 million in the first three months of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three months of 2026 include net gains on asset sales of $3 million ($3 million after-tax and minority), compared to net gains on asset and other sales of $262 million ($237 million after-tax and minority) in the first three months of 2025, primarily due to the gain of $260 million on the sale of the OTR tire business.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in the first three months of 2026 was $9 million of expense, compared to $25 million of expense in the first three months of 2025. The decrease in Other (Income) Expense was primarily due to an increase in royalty and other income of $10 million. The first three months of 2025 also included transaction and other costs of $5 million ($3 million after-tax and minority) related to the sale of the Dunlop brand and a pension settlement charge of $4 million ($3 million after-tax and minority).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three months of 2026, we recorded income tax expense of $66 million on a loss before income taxes of $180 million. Income tax expense for the three months ended March 31, 2026 includes net discrete tax expense of $21 million ($21 million after minority interest), primarily related to an expected settlement of a prior year tax matter in one of our foreign locations. In the first three months of 2025, we recorded income tax expense of $13 million on income before income taxes of $131 million.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months ended March 31, 2026 primarily related to losses in U.S. and foreign jurisdictions in which no tax benefits were recorded and the discrete item noted above. The difference between our effective tax rate and the U.S. statutory rate of 21% for the three months ended March 31, 2025 was favorably impacted by gains recognized as a result of the sale of the OTR tire business in foreign jurisdictions where no taxes are recorded, net of losses in foreign jurisdictions in which no tax benefits are recorded.</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2026 and December 31, 2025, we had approximately $1.5 billion and $1.4 billion, respectively, of U.S. federal, state and local net deferred tax assets and related valuation allowances totaling $1.5 billion and $1.4 billion, respectively. At both March 31, 2026 and December 31, 2025, we also had foreign net deferred tax assets of approximately $1.5 billion and related valuation allowances of approximately $1.3 billion. Our foreign valuation allowances include a $1.1 billion full valuation allowance on our net deferred tax assets in Luxembourg. Our losses in the U.S. and various foreign taxing jurisdictions in recent periods represented sufficient negative evidence to require us to maintain a full valuation allowance against certain of these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U.S. and foreign deferred tax assets will exist within the next twelve months.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has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2026. However, we are continuing to evaluate the Pillar Two model rules and related developments, including the side-by-side safe harbor package for U.S.-based multinationals, and their potential impact on future periods.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refer to Note to the Consolidated Financial Statements No. 5, Income Taxes.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shareholders’ net income was $3 million in both the first three months of 2026 and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operating income does not include net rationalization charges, asset sales, goodwill and other impairment charges, and certain other items.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segment operating income for the first quarter of 2026 was $95 million, a decrease of $100 million, or 51.3%, from $195 million in the first quarter of 2025. Total segment operating margin in the first quarter of 2026 was 2.4%, compared to 4.6% in the first quarter of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40" w:type="dxa"/>
            <w:vAlign w:val="bottom"/>
          </w:tcPr>
          <w:p>
            <w:pPr>
              <w:spacing w:after="0"/>
              <w:rPr>
                <w:sz w:val="16"/>
                <w:szCs w:val="16"/>
                <w:color w:val="auto"/>
              </w:rPr>
            </w:pPr>
          </w:p>
        </w:tc>
      </w:tr>
      <w:tr>
        <w:trPr>
          <w:trHeight w:val="37"/>
        </w:trPr>
        <w:tc>
          <w:tcPr>
            <w:tcW w:w="23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171"/>
        </w:trPr>
        <w:tc>
          <w:tcPr>
            <w:tcW w:w="2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Pr>
          <w:p>
            <w:pPr>
              <w:spacing w:after="0"/>
              <w:rPr>
                <w:sz w:val="16"/>
                <w:szCs w:val="16"/>
                <w:color w:val="auto"/>
              </w:rPr>
            </w:pPr>
          </w:p>
        </w:tc>
        <w:tc>
          <w:tcPr>
            <w:tcW w:w="168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40" w:type="dxa"/>
            <w:vAlign w:val="bottom"/>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320" w:type="dxa"/>
            <w:vAlign w:val="bottom"/>
            <w:tcBorders>
              <w:bottom w:val="single" w:sz="8" w:color="CFF0FC"/>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243"/>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54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FF0FC"/>
            </w:tcBorders>
            <w:shd w:val="clear" w:color="auto" w:fill="CFF0FC"/>
          </w:tcPr>
          <w:p>
            <w:pPr>
              <w:spacing w:after="0"/>
              <w:rPr>
                <w:sz w:val="21"/>
                <w:szCs w:val="21"/>
                <w:color w:val="auto"/>
              </w:rPr>
            </w:pPr>
          </w:p>
        </w:tc>
        <w:tc>
          <w:tcPr>
            <w:tcW w:w="2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2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shd w:val="clear" w:color="auto" w:fill="CFF0FC"/>
          </w:tcPr>
          <w:p>
            <w:pPr>
              <w:spacing w:after="0"/>
              <w:rPr>
                <w:sz w:val="21"/>
                <w:szCs w:val="21"/>
                <w:color w:val="auto"/>
              </w:rPr>
            </w:pPr>
          </w:p>
        </w:tc>
        <w:tc>
          <w:tcPr>
            <w:tcW w:w="2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5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-676275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-676275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-676275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Americas unit sales in the first three months of 2026 decreased 3.1 million units, or 17.0%, to 15.3 million units. Replacement tire volume decreased 3.4 million units, or 23.2%, primarily due to weakness in the replacement industry and consumer trends, as well as increased competitiveness and planned rationalization of lower-tier product offerings. OE tire volume increased 0.3 million units, or 8.2%, primarily in the U.S. and Brazil.</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three months of 2026 were $2,063 million, decreasing $439 million, or 17.5%, from $2,502 million in the first three months of 2025. The decrease in net sales was primarily due to lower tire volume of $341 million and the impact of the sale of the Chemical business of $125 million. These decreases were partially offset by the positive impact of changes in foreign exchange rates of $40 million, primarily related to the strengthening of the Brazilian real and Mexican peso.</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in the first three months of 2026 was $37 million, decreasing $118 million, or 76.1%, from $155 million in the first three months of 2025. The decrease in operating income was due to higher conversion costs of $101 million, driven by the effect of lower tire production on fixed cost absorption and inflation, lower tire volume of $75 million, higher tariff costs of $58 million, offset by an estimated tariff refund of $46 million, the impact of the sale of the Chemical business of $31 million, unfavorable price and product mix of $25 million, and higher SAG of $18 million, primarily driven by higher advertising costs. These decreases were partially offset by a $75 million benefit related to the Goodyear Forward plan and lower raw material costs of $63 million.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three months of 2026 excluded net rationalization charges of $11 million and asset write-offs, accelerated depreciation and accelerated lease costs of $7 million. Operating income in the first three months of 2025 excluded net rationalization charges of $62 million, asset write-offs, accelerated depreciation and accelerated lease costs of $28 million, and net gains on asset sales of $1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0" w:type="dxa"/>
            <w:vAlign w:val="bottom"/>
          </w:tcPr>
          <w:p>
            <w:pPr>
              <w:spacing w:after="0"/>
              <w:rPr>
                <w:sz w:val="16"/>
                <w:szCs w:val="16"/>
                <w:color w:val="auto"/>
              </w:rPr>
            </w:pPr>
          </w:p>
        </w:tc>
      </w:tr>
      <w:tr>
        <w:trPr>
          <w:trHeight w:val="37"/>
        </w:trPr>
        <w:tc>
          <w:tcPr>
            <w:tcW w:w="22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158"/>
        </w:trPr>
        <w:tc>
          <w:tcPr>
            <w:tcW w:w="2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jc w:val="right"/>
              <w:ind w:right="777"/>
              <w:spacing w:after="0" w:line="158" w:lineRule="exact"/>
              <w:rPr>
                <w:sz w:val="20"/>
                <w:szCs w:val="20"/>
                <w:color w:val="auto"/>
              </w:rPr>
            </w:pPr>
            <w:r>
              <w:rPr>
                <w:rFonts w:ascii="Times New Roman" w:cs="Times New Roman" w:eastAsia="Times New Roman" w:hAnsi="Times New Roman"/>
                <w:sz w:val="14"/>
                <w:szCs w:val="14"/>
                <w:b w:val="1"/>
                <w:bCs w:val="1"/>
                <w:color w:val="auto"/>
              </w:rPr>
              <w:t>Percent</w:t>
            </w:r>
          </w:p>
        </w:tc>
      </w:tr>
      <w:tr>
        <w:trPr>
          <w:trHeight w:val="204"/>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Pr>
          <w:p>
            <w:pPr>
              <w:spacing w:after="0"/>
              <w:rPr>
                <w:sz w:val="17"/>
                <w:szCs w:val="17"/>
                <w:color w:val="auto"/>
              </w:rPr>
            </w:pPr>
          </w:p>
        </w:tc>
        <w:tc>
          <w:tcPr>
            <w:tcW w:w="1660" w:type="dxa"/>
            <w:vAlign w:val="bottom"/>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200" w:type="dxa"/>
            <w:vAlign w:val="bottom"/>
            <w:tcBorders>
              <w:bottom w:val="single" w:sz="8" w:color="CFF0FC"/>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44"/>
        </w:trPr>
        <w:tc>
          <w:tcPr>
            <w:tcW w:w="2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5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FF0FC"/>
            </w:tcBorders>
            <w:shd w:val="clear" w:color="auto" w:fill="CFF0FC"/>
          </w:tcPr>
          <w:p>
            <w:pPr>
              <w:spacing w:after="0"/>
              <w:rPr>
                <w:sz w:val="21"/>
                <w:szCs w:val="21"/>
                <w:color w:val="auto"/>
              </w:rPr>
            </w:pPr>
          </w:p>
        </w:tc>
        <w:tc>
          <w:tcPr>
            <w:tcW w:w="2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7"/>
        </w:trPr>
        <w:tc>
          <w:tcPr>
            <w:tcW w:w="2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2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21"/>
                <w:szCs w:val="21"/>
                <w:color w:val="auto"/>
              </w:rPr>
            </w:pPr>
          </w:p>
        </w:tc>
        <w:tc>
          <w:tcPr>
            <w:tcW w:w="2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5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-676910</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-676910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-676910</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unit sales in the first three months of 2026 decreased 1.1 million units, or 8.5%, to 11.2 million units. Replacement tire volume decreased 1.3 million units, or 15.2%, primarily in our consumer business, reflecting market softness, increased competition and planned rationalization of lower-tier product offerings. OE tire volume increased 0.2 million units, or 8.1%, primarily in our consumer business, reflecting share gains driven by new fitments.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three months of 2026 were $1,363 million, increasing $86 million, or 6.7%, from $1,277 million in the first three months of 2025. The increase in net sales was primarily driven by the positive impact of changes in foreign exchange rates of $122 million, driven by a stronger euro, British pound and Polish zloty, partially offset by a weaker Turkish lira, improvements in price and product mix of $55 million, and higher sales in the other tire-related businesses of $11 million, primarily due to growth in fleet solutions. These increases were partially offset by the impact of the sale of the Dunlop brand of $93 million, excluding the favorable impact of the offtake supply agreement of $42 million, and lower tire volume of $51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the first three months of 2026 was $1 million, increasing $6 million from an operating loss of $5 million in the first three months of 2025. The change in operating income (loss) was primarily due to favorable price and product mix of $36 million, benefits related to the Goodyear Forward plan of $26 million and lower raw material costs of $16 million. These increases were partially offset by higher conversion costs of $51 million, lower earnings related to the sale of the Dunlop brand of $13 million, excluding the favorable impact of the offtake supply agreement of $6 million, lower tire volume of $8 million, foreign currency translation of $4 million, and higher administrative and professional expenses of $2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three months of 2026 excluded net rationalizations charges of $85 million, asset write-offs, accelerated depreciation and accelerated lease costs of $8 million and net gains on asset sales of $1 million. Operating income in the first three months of 2025 excluded asset write-offs, accelerated depreciation and accelerated lease costs of $16 million, net rationalization charges of $12 million and net gains on asset sales of $1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80" w:type="dxa"/>
            <w:vAlign w:val="bottom"/>
          </w:tcPr>
          <w:p>
            <w:pPr>
              <w:spacing w:after="0"/>
              <w:rPr>
                <w:sz w:val="16"/>
                <w:szCs w:val="16"/>
                <w:color w:val="auto"/>
              </w:rPr>
            </w:pPr>
          </w:p>
        </w:tc>
      </w:tr>
      <w:tr>
        <w:trPr>
          <w:trHeight w:val="37"/>
        </w:trPr>
        <w:tc>
          <w:tcPr>
            <w:tcW w:w="22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171"/>
        </w:trPr>
        <w:tc>
          <w:tcPr>
            <w:tcW w:w="2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Pr>
          <w:p>
            <w:pPr>
              <w:spacing w:after="0"/>
              <w:rPr>
                <w:sz w:val="16"/>
                <w:szCs w:val="16"/>
                <w:color w:val="auto"/>
              </w:rPr>
            </w:pPr>
          </w:p>
        </w:tc>
        <w:tc>
          <w:tcPr>
            <w:tcW w:w="162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80" w:type="dxa"/>
            <w:vAlign w:val="bottom"/>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26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43"/>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5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FF0FC"/>
            </w:tcBorders>
            <w:shd w:val="clear" w:color="auto" w:fill="CFF0FC"/>
          </w:tcPr>
          <w:p>
            <w:pPr>
              <w:spacing w:after="0"/>
              <w:rPr>
                <w:sz w:val="21"/>
                <w:szCs w:val="21"/>
                <w:color w:val="auto"/>
              </w:rPr>
            </w:pPr>
          </w:p>
        </w:tc>
        <w:tc>
          <w:tcPr>
            <w:tcW w:w="2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2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21"/>
                <w:szCs w:val="21"/>
                <w:color w:val="auto"/>
              </w:rPr>
            </w:pPr>
          </w:p>
        </w:tc>
        <w:tc>
          <w:tcPr>
            <w:tcW w:w="2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520" w:type="dxa"/>
            <w:vAlign w:val="bottom"/>
          </w:tcPr>
          <w:p>
            <w:pPr>
              <w:spacing w:after="0"/>
              <w:rPr>
                <w:sz w:val="21"/>
                <w:szCs w:val="21"/>
                <w:color w:val="auto"/>
              </w:rPr>
            </w:pPr>
          </w:p>
        </w:tc>
        <w:tc>
          <w:tcPr>
            <w:tcW w:w="16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-676910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-676910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-676910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Asia Pacific unit sales in the first three months of 2026 decreased 0.3 million units, or 3.8%, to 7.5 million units. Replacement tire volume decreased 0.1 million units, or 2.3%, due to softness in consumer replacement. OE tire volume decreased 0.2 million units, or 5.1%, primarily in China.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three months of 2026 were $455 million, decreasing $19 million, or 4.0%, from $474 million in the first three months of 2025. The decrease in net sales was primarily due to lower tire volume of $16 million and unfavorable price and product mix of $6 million. These decreases were partially offset by the positive impact of changes in foreign exchange rates of $3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three months of 2026 was $57 million, increasing $12 million, or 26.7%, from $45 million in the first three months of 2025. The increase in operating income was primarily due to lower raw material costs of $9 million, benefits related to the Goodyear Forward plan of $6 million, and favorable price and product mix of $4 million. These increases were partially offset by lower tire volume of $4 million and higher conversion costs of $3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three months of 2026 excluded net rationalization charges of $1 million and asset write-offs, accelerated depreciation and accelerated lease costs of $1 million. Operating income in the first three months of 2025 excluded asset write-offs, accelerated depreciation and accelerated lease costs of $2 million and net rationalization charges of $1 million.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we had $723 million in cash and cash equivalents, compared to $801 million at December 31, 2025. For the three months ended March 31, 2026, net cash used for operating activities was $718 million, reflecting the Company's cash used for working capital of $650 million and rationalization payments of $83 million. Net cash used for investing activities was $174 million, primarily representing capital expenditures of $175 million. Net cash provided by financing activities was $820 million, primarily due to net borrowings of $807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we had $2,975 million of unused availability under our various credit agreements, compared to $4,421 million at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unused availability under our credit facilities at those dates: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0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84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2,975</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4,421</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2026 full-year cash flow needs to include capital expenditures of approximately $725 million. We also expect interest expense to be approximately $425 million; rationalization payments to be approximately $225 million; income tax payments to be $150 million to $175 million, excluding one time items; and cash contributions to our global pension plans to be approximately $25 million. We are targeting working capital to be a source of cash of approximately $100 million in 2026.</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March 31, 2026, approximately $771 million of net assets, including approximately $187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operating activities was $718 million in the first three months of 2026, compared to net cash used for operating activities of $538 million in the first three months of 2025. The $180 million increase in net cash used for operating activities was primarily due to $185 million in cash received in 2025 for deferred amounts related to the trademark license and product supply agreements associated with the sale of our OTR tire business and lower segment operating income of $100 million, partially offset by a lower use of working capital of $100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cash used for working capital reflects a decrease in cash used for Accounts Receivable of $156 million and Inventory of $71 million, partially offset by an increase in cash used for Accounts Payable — Trade of $127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was $174 million in the first three months of 2026, compared to net cash provided by investing activities of $432 million in the first three months of 2025. The $606 million increase in net cash used for investing activities was primarily due to cash provided by asset dispositions of $720 million in the first three months of 2025 due to the sale of the OTR tire business, partially offset by decreased capital expenditures of $84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$820 million in the first three months of 2026, compared to net cash provided by financing activities of $211 million in the first three months of 2025. The $609 million increase in cash provided by financing activities was primarily related to net borrowings of $807 million in the first three months of 2026, compared to net borrowings of $198 million in the first three months of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$9,842 million available at March 31, 2026, of which $2,975 million were unused, compared to $10,525 million available at December 31, 2025, of which $4,421 million were unused. At March 31, 2026, we had long term credit arrangements totaling $9,052 million, of which $2,686 million were unused, compared to $9,707 million and $4,145 million, respectively, at December 31, 2025. At March 31, 2026, we had short term committed and uncommitted credit arrangements totaling $790 million, of which $289 million were unused, compared to $818 million and $276 million, respectively, at December 31, 2025. The continued availability of the short term uncommitted arrangements is at the discretion of the relevant lenders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we had $4,380 million of outstanding notes, compared to $4,391 million at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May 19, 2030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March 31, 2026, our borrowing base, and therefore our availability under the facility, was $505 million below the facility's stated amount of $2.75 billion.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we had $530 million of borrowings and $1 million of letters of credit issued under the revolving credit facility. At December 31, 2025, we had no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there were $196 million (€170 million) of borrowings outstanding under the all-borrower tranche, $207 million (€180 million) of borrowings outstanding under the German tranche, and no letters of credit outstanding under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European revolving credit facility. At December 31, 2025, we had no borrowings and no letters of credit outstanding under the European revolving credit facility.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2032. The terms of the facility provide the flexibility to designate annually the maximum amount of funding available under the facility in an amount of not less than €30 million and not more than €450 million. For the period from October 2025 through October 2027,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18, 2032,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in October 2027.</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warranties, covenants and Early Amortisation Events. In addition, it is an Early Amortisation Event under the facility if GEBV’s ratio of Consolidated Net GEBV Indebtedness to Consolidated GEBV EBITDA for a period of four consecutive fiscal quarters is greater than 3.0 to 1.0 at the end of any fiscal quarter. This financial covenant is substantially similar to the covenant included in our European revolving credit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 amounts available and utilized under this program totaled $173 million (€150 million). At December 31, 2025, the amounts available and utilized under this program totaled $292 million (€249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2026, the gross amount of receivables sold was $833 million, compared to $892 million at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we had $203 million in letters of credit issued under bilateral letter of credit agreements and other foreign credit facilities. The majority of these letter of credit agreements are in lieu of security deposits.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$891 million and $876 million at March 31, 2026 and December 31, 2025, respectively. The amounts confirmed to the financial institutions were $514 million and $551 million at March 31, 2026 and December 31, 2025,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2025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8, Financing Arrangements and Derivative Financial Instruments, in this Form 10-Q.</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first lien revolving credit facility contains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 indentures governing our notes also contain certain covenants that, among other things, limit our ability to incur liens,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March 31, 2026, our unused availability under this facility of $1,713 million, plus our Available Cash of $113 million, totaled $1,826 million, which is in excess of $275 million.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March 31, 2026, we were in compliance with this financial covenant.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Our credit facilities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we are permitted to pay dividends on and repurchase our capital stock (which constitute restricted payments) as long as no default will have occurred and be continuing, additional indebtedness can be incurred under the credit facilities following the payment, and certain financial tests are satisfied.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three months of 2026, we did not repurchase any shares from employees.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are not expected to significantly affect our ability to pay dividends or repurchase our capital stock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$700 million outstanding principal amount of 4.875% senior notes due 2027, the $850 million outstanding principal amount of 5% senior notes due 2029, the $500 million outstanding principal amount of 6.625% senior notes due 2030,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1700" w:hanging="801"/>
        <w:spacing w:after="0" w:line="261" w:lineRule="auto"/>
        <w:tabs>
          <w:tab w:leader="none" w:pos="1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1700" w:hanging="801"/>
        <w:spacing w:after="0" w:line="261" w:lineRule="auto"/>
        <w:tabs>
          <w:tab w:leader="none" w:pos="1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71"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4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71"/>
        </w:trPr>
        <w:tc>
          <w:tcPr>
            <w:tcW w:w="8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0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4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6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5,058</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5,948</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4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3,121</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6,929</w:t>
            </w:r>
          </w:p>
        </w:tc>
      </w:tr>
      <w:tr>
        <w:trPr>
          <w:trHeight w:val="27"/>
        </w:trPr>
        <w:tc>
          <w:tcPr>
            <w:tcW w:w="84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-864870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360" w:right="40" w:hanging="334"/>
        <w:spacing w:after="0" w:line="229" w:lineRule="auto"/>
        <w:tabs>
          <w:tab w:leader="none" w:pos="347"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receivables due from Non-Guarantor Subsidiaries of $1,459 million and $1,574 million as of March 31, 2026 and December 31, 2025,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4"/>
                <w:szCs w:val="14"/>
                <w:color w:val="auto"/>
              </w:rPr>
            </w:pPr>
          </w:p>
        </w:tc>
        <w:tc>
          <w:tcPr>
            <w:tcW w:w="11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7"/>
                <w:szCs w:val="17"/>
                <w:color w:val="auto"/>
              </w:rPr>
            </w:pPr>
          </w:p>
        </w:tc>
        <w:tc>
          <w:tcPr>
            <w:tcW w:w="12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1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8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r>
              <w:rPr>
                <w:rFonts w:ascii="Times New Roman" w:cs="Times New Roman" w:eastAsia="Times New Roman" w:hAnsi="Times New Roman"/>
                <w:sz w:val="23"/>
                <w:szCs w:val="23"/>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bl>
    <w:p>
      <w:pPr>
        <w:jc w:val="both"/>
        <w:ind w:left="360" w:right="40" w:hanging="334"/>
        <w:spacing w:after="0" w:line="232" w:lineRule="auto"/>
        <w:tabs>
          <w:tab w:leader="none" w:pos="34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income from intercompany transactions with Non-Guarantor Subsidiaries of $112 million for the three months ended March 31, 2026, primarily from royalties, intercompany product sales, dividends and interest, and $557 million for the year ended December 31, 2025, primarily from royalties, dividends, interest and intercompany product sales.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tested for impairment annually or more frequently if an indicator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is present. Intangible assets with finite lives are amortized over their useful lives and are reviewed for impairment whenever events or circumstances warrant such review. Goodwill and intangible assets are written down to fair value if considered impaired.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Intangible Assets totaled $43 million and $658 million, respectively, at March 31, 2026, compared to $42 million and $663 million, respectively, at December 31, 2025. All goodwill was associated with the reporting unit in our Asia Pacific segment at March 31, 2026 and December 31, 2025.</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intangible assets with indefinite useful lives are not amortized but are assessed for impairment annually on October 31 with the option to perform a qualitative assessment to determine whether further impairment testing is necessary or to perform a quantitative assessment by comparing the fair value of the reporting unit or indefinite-lived intangible asset to its carrying value. In addition to the annual assessment, impairment evaluation is considered during interim periods when events occur or circumstances change that would more likely than not reduce the fair value of the asset below its carrying value. During our annual impairment assessment and in subsequent interim periods, we review events that occur or circumstances that change, including the macroeconomic environment, our business performance and our market capitalization, to determine if a quantitative impairment assessment is necessary. We review our business performance and the macroeconomic environment against our recent expectations and evaluate book value compared to market capitalization, including fluctuations in our stock price, to determine if this could be an indicator of potential impairment. Consideration is given as to whether a fluctuation in our stock price is a result of current market conditions, due to a transitory event or an event that is expected to continue to affect us, or is consistent with our historical stock price volatility. We also consider these factors compared to the results of our most recent quantitative impairment assessment.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qualitative assessment, we assess whether it is more likely than not (defined as a likelihood of more than 50%) that the fair value of our goodwill or indefinite-lived intangible assets is less than the respective carrying values. If it is more likely than not that an impairment exists, then a quantitative impairment assessment is performed. If under the quantitative assessment the fair value is less than the carrying value, an impairment loss will be recorded for the difference between the carrying value and the fair value. Under the quantitative assessment, we estimate the fair value of goodwill using the discounted cash flows of a reporting unit. For indefinite-lived intangible assets we estimate the fair value using discounted cash flows following a relief-from-royalty method utilizing a market-based royalty rate. Forecasts of future cash flows are based on our best estimate of projected revenue and projected operating margin, based primarily on sales and production volume, pricing, raw material costs, market share, industry outlook, general economic conditions, and certain strategic actions we plan to implement. Cash flows are discounted using our weighted average cost of capital.</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2025, we completed a qualitative impairment analysis of our Asia Pacific reporting unit. After considering the results of our most recent quantitative annual testing, the capital markets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environment, macroeconomic conditions, tire industry competition and trends, our results of operations, and other factors, we concluded that it was not more likely than not that the fair value of our Asia Pacific reporting unit was less than the carrying value and, therefore, did not perform a quantitative analysis.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2025, we completed a quantitative impairment analysis of our indefinite-lived intangible assets to determine if their fair values were less than their carrying amounts. Based on the results of the quantitative impairment assessments, the Company determined that no impairment was required as the estimated fair values of our indefinite-lived intangible assets exceeded or approximated their respective carrying values. We identified $435 million of indefinite-lived intangible assets related to the Cooper Tire acquisition for which the estimated fair values approximated their respective carrying values. We determined the fair value of the indefinite-lived intangible assets using the relief-from-royalty method, which calculates the cost savings associated with owning rather than licensing the assets. The most critical assumptions used in the calculation of the fair value are projected revenue, discount rate and royalty rate.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first quarter of 2026, macroeconomic factors and geopolitical events adversely impacted our results and contributed to a decline in our volume. We considered the impact on the fair value of our goodwill reporting unit and indefinite-lived intangible assets. During this review, we considered the nature and extent of current market conditions, forecasts for reporting units and individual brands, as well as the quantitative analysis performed during our annual 2025 impairment test. Based on our review of external and internal factors compared to our latest quantitative assessment, we determined it was not more likely than not that the fair value of our goodwill or indefinite-lived intangible assets is less than the respective carrying value, and thus, a triggering event had not occurred which would require an interim impairment test to be performed. We will continue to monitor our results and market conditions to determine if a future analysis would be required. The fair value of the indefinite-lived intangible assets is sensitive to differences between estimated and actual revenue, including changes in the discount rate and royalty rate used to evaluate the fair value of these assets. Although we believe our estimate of fair value is reasonable, the indefinite-lived intangible asset performance is dependent on our ability to execute our business plan. If our future financial performance falls below our expectations, which may include a continued and sustained decline in volumes, or there are adverse revisions to significant assumptions, including projected revenues, discount rates or royalty rates, this could be indicative that the fair values of these indefinite-lived intangible assets have declined below their carrying values, and therefore we may need to record a material, non-cash impairment charge in a future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187" w:lineRule="exact"/>
        <w:rPr>
          <w:sz w:val="20"/>
          <w:szCs w:val="20"/>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obligations to the purchasers of our OTR tire business, the Dunlop brand and our Chemical business may disrupt our current and future plans or operations;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energy and transportation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inflationary cost pressures, including with respect to wages, benefits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continue to be, negatively impacted by changes in tariffs, trade agreements or trade restrictions on imported tires, raw materials and other goods or equipment;</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availability, timing and amount of any refunds of IEEPA tariffs remains uncertain, and the amount, if any, that we ultimately recover may differ from the amount we previously paid or be materially delayed;</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700" w:hanging="801"/>
        <w:spacing w:after="0" w:line="282"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7"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net amount recorded;</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jc w:val="both"/>
        <w:ind w:left="1700" w:hanging="801"/>
        <w:spacing w:after="0" w:line="266"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March 31, 2026, approximately 29% of our debt was at variable interest rates averaging 5.98%.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March 31, 2026: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6120" w:type="dxa"/>
            <w:vAlign w:val="bottom"/>
          </w:tcPr>
          <w:p>
            <w:pPr>
              <w:spacing w:after="0"/>
              <w:rPr>
                <w:sz w:val="3"/>
                <w:szCs w:val="3"/>
                <w:color w:val="auto"/>
              </w:rPr>
            </w:pPr>
          </w:p>
        </w:tc>
        <w:tc>
          <w:tcPr>
            <w:tcW w:w="4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6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7"/>
        </w:trPr>
        <w:tc>
          <w:tcPr>
            <w:tcW w:w="61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w:t>
            </w:r>
          </w:p>
        </w:tc>
      </w:tr>
      <w:tr>
        <w:trPr>
          <w:trHeight w:val="27"/>
        </w:trPr>
        <w:tc>
          <w:tcPr>
            <w:tcW w:w="6120" w:type="dxa"/>
            <w:vAlign w:val="bottom"/>
            <w:shd w:val="clear" w:color="auto" w:fill="CFF0FC"/>
          </w:tcPr>
          <w:p>
            <w:pPr>
              <w:spacing w:after="0"/>
              <w:rPr>
                <w:sz w:val="2"/>
                <w:szCs w:val="2"/>
                <w:color w:val="auto"/>
              </w:rPr>
            </w:pPr>
          </w:p>
        </w:tc>
        <w:tc>
          <w:tcPr>
            <w:tcW w:w="42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March 31, 2026,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March 31, 2026: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61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1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6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4/26-4/27</w:t>
            </w:r>
          </w:p>
        </w:tc>
      </w:tr>
      <w:tr>
        <w:trPr>
          <w:trHeight w:val="27"/>
        </w:trPr>
        <w:tc>
          <w:tcPr>
            <w:tcW w:w="6120" w:type="dxa"/>
            <w:vAlign w:val="bottom"/>
            <w:shd w:val="clear" w:color="auto" w:fill="CFF0FC"/>
          </w:tcPr>
          <w:p>
            <w:pPr>
              <w:spacing w:after="0"/>
              <w:rPr>
                <w:sz w:val="2"/>
                <w:szCs w:val="2"/>
                <w:color w:val="auto"/>
              </w:rPr>
            </w:pPr>
          </w:p>
        </w:tc>
        <w:tc>
          <w:tcPr>
            <w:tcW w:w="41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March 31, 2026,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March 31, 2026 as follows: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 (liability):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59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900" w:type="dxa"/>
            <w:vAlign w:val="bottom"/>
            <w:shd w:val="clear" w:color="auto" w:fill="CFF0FC"/>
          </w:tcPr>
          <w:p>
            <w:pPr>
              <w:spacing w:after="0"/>
              <w:rPr>
                <w:sz w:val="2"/>
                <w:szCs w:val="2"/>
                <w:color w:val="auto"/>
              </w:rPr>
            </w:pPr>
          </w:p>
        </w:tc>
        <w:tc>
          <w:tcPr>
            <w:tcW w:w="45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March 31, 2026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2025, we were one of numerous defendants in legal proceedings in certain state and federal courts involving approximately 30,400 claimants relating to their alleged exposure to materials containing asbestos in products allegedly manufactured by us or asbestos materials present in our facilities. During the first three months of 2026, approximately 250 claims were filed against us and approximately 100 were settled or dismissed. The amounts expended on asbestos defense and claim resolution by us and our insurers during the first three months of 2026 was $4 million. At March 31, 2026, there were approximately 30,550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Commission Antitrust Investigation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30, 2024, the European Commission carried out unannounced inspections at the premises of companies active in the tire industry in several Member States in the European Union in connection with an investigation into potential violations of European Union antitrust rules with respect to new replacement tires for passenger cars, vans, trucks and busses sold in the European Economic Area. We were one of the companies that was inspected. We are cooperating with the European Commission’s investigation.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number of civil lawsuits have been subsequently filed in the United States and elsewhere against companies active in the tire industry, including us, alleging violations of antitrust laws with respect to new replacement tires for passenger cars, vans, trucks and busses sold in the relevant jurisdictions, and similar additional lawsuits could be brought against us in the future. The U.S. lawsuits have been transferred to a multidistrict litigation in the U.S. District Court for the Northern District of Ohio. On February 25, 2025, the District Court granted our motion to dismiss the U.S. lawsuits and, on March 31, 2026, the District Court denied the plaintiffs’ motions for leave to file amended complaints. We intend to continue to defend these lawsuits, the ultimate outcome of which cannot be predicted at this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legal proceedings described above and in our 2025 Form 10-K and quarterly reports on Form 10-Q,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or foreign jurisdictions for remedial investigation and cleanup, which sites were allegedly used by us in the past for the disposal of industrial waste materials. Based on available information and other than as described in our 2025 Form 10-K and quarterly reports on Form 10-Q, we do not consider any such action, assessment, claim, investigation or proceeding to be material, within the meaning of that term as used in Item 103 of Regulation S-K and the instructions thereto. As permitted by SEC regulations, we use a threshold of $1 million for purposes of determining whether disclosure is required with respect to any environmental proceedings in which a governmental authority is a party and we reasonably believe that such proceeding will result in monetary sanctions (exclusive of interest and costs).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legal proceedings, refer to Note to the Consolidated Financial Statements No. 20, Commitments and Contingent Liabilities, and Part I, Item 3, Legal Proceedings, in our 2025 Form 10-K, and Note to the Consolidated Financial Statements No. 12, Commitments and Contingent Liabilities,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2025 Form 10-K for a discussion of our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March 31, 2026, none of our directors or officers informed us of the adoption, modification or termination of a "Rule 10b5-1 trading arrangement" or a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68580</wp:posOffset>
            </wp:positionV>
            <wp:extent cx="18345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23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23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1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240" w:type="dxa"/>
            <w:vAlign w:val="bottom"/>
            <w:gridSpan w:val="2"/>
          </w:tcPr>
          <w:p>
            <w:pPr>
              <w:jc w:val="center"/>
              <w:ind w:right="204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7240" w:type="dxa"/>
            <w:vAlign w:val="bottom"/>
            <w:gridSpan w:val="3"/>
          </w:tcPr>
          <w:p>
            <w:pPr>
              <w:ind w:left="1900"/>
              <w:spacing w:after="0" w:line="160" w:lineRule="exact"/>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140" w:hanging="70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162" w:lineRule="exact"/>
        <w:rPr>
          <w:sz w:val="20"/>
          <w:szCs w:val="20"/>
          <w:color w:val="auto"/>
        </w:rPr>
      </w:pPr>
    </w:p>
    <w:p>
      <w:pPr>
        <w:ind w:left="420"/>
        <w:spacing w:after="0"/>
        <w:tabs>
          <w:tab w:leader="none" w:pos="1120" w:val="left"/>
          <w:tab w:leader="none" w:pos="9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154" w:lineRule="exact"/>
        <w:rPr>
          <w:sz w:val="20"/>
          <w:szCs w:val="20"/>
          <w:color w:val="auto"/>
        </w:rPr>
      </w:pPr>
    </w:p>
    <w:p>
      <w:pPr>
        <w:ind w:left="1140" w:hanging="70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4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pursuant to Rule 13a-14(a) under the Securities Exchange Act of 1934.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153" w:lineRule="exact"/>
        <w:rPr>
          <w:sz w:val="20"/>
          <w:szCs w:val="20"/>
          <w:color w:val="auto"/>
        </w:rPr>
      </w:pPr>
    </w:p>
    <w:p>
      <w:pPr>
        <w:ind w:left="1140" w:hanging="70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48"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6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57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85"/>
        </w:trPr>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6"/>
              </w:rPr>
              <w:t>101</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20" w:type="dxa"/>
            <w:vAlign w:val="bottom"/>
          </w:tcPr>
          <w:p>
            <w:pPr>
              <w:spacing w:after="0"/>
              <w:rPr>
                <w:sz w:val="24"/>
                <w:szCs w:val="24"/>
                <w:color w:val="auto"/>
              </w:rPr>
            </w:pPr>
          </w:p>
        </w:tc>
      </w:tr>
      <w:tr>
        <w:trPr>
          <w:trHeight w:val="346"/>
        </w:trPr>
        <w:tc>
          <w:tcPr>
            <w:tcW w:w="76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6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920" w:type="dxa"/>
            <w:vAlign w:val="bottom"/>
          </w:tcPr>
          <w:p>
            <w:pPr>
              <w:spacing w:after="0"/>
              <w:rPr>
                <w:sz w:val="20"/>
                <w:szCs w:val="20"/>
                <w:color w:val="auto"/>
              </w:rPr>
            </w:pPr>
          </w:p>
        </w:tc>
      </w:tr>
      <w:tr>
        <w:trPr>
          <w:trHeight w:val="364"/>
        </w:trPr>
        <w:tc>
          <w:tcPr>
            <w:tcW w:w="76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126" w:lineRule="exact"/>
        <w:rPr>
          <w:sz w:val="20"/>
          <w:szCs w:val="20"/>
          <w:color w:val="auto"/>
        </w:rPr>
      </w:pPr>
    </w:p>
    <w:p>
      <w:pPr>
        <w:ind w:left="1140" w:hanging="75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61" w:lineRule="exact"/>
        <w:rPr>
          <w:rFonts w:ascii="Times New Roman" w:cs="Times New Roman" w:eastAsia="Times New Roman" w:hAnsi="Times New Roman"/>
          <w:sz w:val="18"/>
          <w:szCs w:val="18"/>
          <w:color w:val="auto"/>
        </w:rPr>
      </w:pPr>
    </w:p>
    <w:p>
      <w:pPr>
        <w:ind w:left="1140" w:right="1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2026,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337" w:right="10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660" w:val="left"/>
          <w:tab w:leader="none" w:pos="4940" w:val="left"/>
          <w:tab w:leader="none" w:pos="7200" w:val="left"/>
        </w:tabs>
        <w:rPr>
          <w:sz w:val="20"/>
          <w:szCs w:val="20"/>
          <w:color w:val="auto"/>
        </w:rPr>
      </w:pPr>
      <w:r>
        <w:rPr>
          <w:rFonts w:ascii="Times New Roman" w:cs="Times New Roman" w:eastAsia="Times New Roman" w:hAnsi="Times New Roman"/>
          <w:sz w:val="18"/>
          <w:szCs w:val="18"/>
          <w:color w:val="auto"/>
        </w:rPr>
        <w:t>Date:</w:t>
        <w:tab/>
        <w:t>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ARGARET</w:t>
      </w:r>
      <w:r>
        <w:rPr>
          <w:rFonts w:ascii="Times New Roman" w:cs="Times New Roman" w:eastAsia="Times New Roman" w:hAnsi="Times New Roman"/>
          <w:sz w:val="17"/>
          <w:szCs w:val="17"/>
          <w:color w:val="auto"/>
        </w:rPr>
        <w:t xml:space="preserve"> V. S</w:t>
      </w:r>
      <w:r>
        <w:rPr>
          <w:rFonts w:ascii="Times New Roman" w:cs="Times New Roman" w:eastAsia="Times New Roman" w:hAnsi="Times New Roman"/>
          <w:sz w:val="13"/>
          <w:szCs w:val="13"/>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34290</wp:posOffset>
            </wp:positionV>
            <wp:extent cx="3480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Margaret V. Snyder, Vice President and Controller (Signing on behalf of the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Registrant as a duly authorized officer of the Registrant and signing as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Accounting Officer of the Registrant.)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33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March 31, 2026, guarantors of the Company's 4.875% senior notes due 2027, 5% senior notes due 2029, 6.625% senior notes due 2030, 5.25% senior notes due April 2031, 5.25% senior notes due July 2031 and 5.625% senior notes due 2033: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6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w:t>
            </w:r>
          </w:p>
        </w:tc>
      </w:tr>
      <w:tr>
        <w:trPr>
          <w:trHeight w:val="198"/>
        </w:trPr>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4860" w:type="dxa"/>
            <w:vAlign w:val="bottom"/>
            <w:gridSpan w:val="3"/>
          </w:tcPr>
          <w:p>
            <w:pPr>
              <w:ind w:left="2040"/>
              <w:spacing w:after="0" w:line="198" w:lineRule="exact"/>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250"/>
        </w:trPr>
        <w:tc>
          <w:tcPr>
            <w:tcW w:w="60" w:type="dxa"/>
            <w:vAlign w:val="bottom"/>
          </w:tcPr>
          <w:p>
            <w:pPr>
              <w:spacing w:after="0"/>
              <w:rPr>
                <w:sz w:val="21"/>
                <w:szCs w:val="21"/>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4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38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7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T&amp;WA,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2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180" w:lineRule="exact"/>
        <w:rPr>
          <w:sz w:val="20"/>
          <w:szCs w:val="20"/>
          <w:color w:val="auto"/>
        </w:rPr>
      </w:pPr>
    </w:p>
    <w:p>
      <w:pPr>
        <w:ind w:left="1220" w:hanging="1212"/>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220" w:hanging="1212"/>
        <w:spacing w:after="0" w:line="266"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220" w:right="20" w:hanging="1212"/>
        <w:spacing w:after="0" w:line="282"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1220" w:hanging="1212"/>
        <w:spacing w:after="0" w:line="261"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440" w:hanging="1217"/>
        <w:spacing w:after="0" w:line="261" w:lineRule="auto"/>
        <w:tabs>
          <w:tab w:leader="none" w:pos="24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440" w:hanging="1217"/>
        <w:spacing w:after="0" w:line="261" w:lineRule="auto"/>
        <w:tabs>
          <w:tab w:leader="none" w:pos="24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1220" w:hanging="1212"/>
        <w:spacing w:after="0" w:line="266"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3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440" w:hanging="1217"/>
        <w:spacing w:after="0" w:line="282" w:lineRule="auto"/>
        <w:tabs>
          <w:tab w:leader="none" w:pos="242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34290</wp:posOffset>
            </wp:positionV>
            <wp:extent cx="42862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180" w:lineRule="exact"/>
        <w:rPr>
          <w:sz w:val="20"/>
          <w:szCs w:val="20"/>
          <w:color w:val="auto"/>
        </w:rPr>
      </w:pPr>
    </w:p>
    <w:p>
      <w:pPr>
        <w:ind w:left="1220" w:hanging="1212"/>
        <w:spacing w:after="0"/>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220" w:hanging="1212"/>
        <w:spacing w:after="0" w:line="266"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220" w:right="20" w:hanging="1212"/>
        <w:spacing w:after="0" w:line="282"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1220" w:hanging="1212"/>
        <w:spacing w:after="0" w:line="261"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440" w:hanging="1217"/>
        <w:spacing w:after="0" w:line="261" w:lineRule="auto"/>
        <w:tabs>
          <w:tab w:leader="none" w:pos="24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440" w:hanging="1217"/>
        <w:spacing w:after="0" w:line="261" w:lineRule="auto"/>
        <w:tabs>
          <w:tab w:leader="none" w:pos="24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1220" w:hanging="1212"/>
        <w:spacing w:after="0" w:line="266"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440" w:hanging="1217"/>
        <w:spacing w:after="0" w:line="282" w:lineRule="auto"/>
        <w:tabs>
          <w:tab w:leader="none" w:pos="24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34290</wp:posOffset>
            </wp:positionV>
            <wp:extent cx="42862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March 31, 2026, as filed with the Securities and Exchange Commission (the “10-Q Report”) that to their knowledge:</w:t>
      </w:r>
    </w:p>
    <w:p>
      <w:pPr>
        <w:spacing w:after="0" w:line="135" w:lineRule="exact"/>
        <w:rPr>
          <w:sz w:val="20"/>
          <w:szCs w:val="20"/>
          <w:color w:val="auto"/>
        </w:rPr>
      </w:pPr>
    </w:p>
    <w:p>
      <w:pPr>
        <w:ind w:left="1300" w:hanging="129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hanging="1292"/>
        <w:spacing w:after="0" w:line="282" w:lineRule="auto"/>
        <w:tabs>
          <w:tab w:leader="none" w:pos="12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100"/>
        <w:spacing w:after="0"/>
        <w:tabs>
          <w:tab w:leader="none" w:pos="574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7"/>
          <w:szCs w:val="17"/>
          <w:color w:val="auto"/>
        </w:rPr>
        <w:t xml:space="preserve"> W. S</w:t>
      </w:r>
      <w:r>
        <w:rPr>
          <w:rFonts w:ascii="Times New Roman" w:cs="Times New Roman" w:eastAsia="Times New Roman" w:hAnsi="Times New Roman"/>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34290</wp:posOffset>
            </wp:positionV>
            <wp:extent cx="43116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5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Mark W. Stewart</w:t>
      </w:r>
    </w:p>
    <w:p>
      <w:pPr>
        <w:spacing w:after="0" w:line="6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6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
        <w:spacing w:after="0"/>
        <w:tabs>
          <w:tab w:leader="none" w:pos="556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34290</wp:posOffset>
            </wp:positionV>
            <wp:extent cx="43116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1650" cy="8890"/>
                    </a:xfrm>
                    <a:prstGeom prst="rect">
                      <a:avLst/>
                    </a:prstGeom>
                    <a:noFill/>
                  </pic:spPr>
                </pic:pic>
              </a:graphicData>
            </a:graphic>
          </wp:anchor>
        </w:drawing>
      </w:r>
    </w:p>
    <w:p>
      <w:pPr>
        <w:spacing w:after="0" w:line="5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6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The Goodyear Tire &amp; Rubber Company</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22"/>
    </w:lvl>
  </w:abstractNum>
  <w:abstractNum w:abstractNumId="12">
    <w:nsid w:val="41A7C4C9"/>
    <w:multiLevelType w:val="hybridMultilevel"/>
    <w:lvl w:ilvl="0">
      <w:lvlJc w:val="left"/>
      <w:lvlText w:val="%1"/>
      <w:numFmt w:val="decimal"/>
      <w:start w:val="31"/>
    </w:lvl>
  </w:abstractNum>
  <w:abstractNum w:abstractNumId="13">
    <w:nsid w:val="6B68079A"/>
    <w:multiLevelType w:val="hybridMultilevel"/>
    <w:lvl w:ilvl="0">
      <w:lvlJc w:val="left"/>
      <w:lvlText w:val="%1"/>
      <w:numFmt w:val="decimal"/>
      <w:start w:val="32"/>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2026-05-07T11:27:10Z</dcterms:created>
  <dcterms:modified xsi:type="dcterms:W3CDTF">2026-05-07T11:27:10Z</dcterms:modified>
</cp:coreProperties>
</file>